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6B4B" w:rsidRPr="002B6B4B" w:rsidRDefault="002B6B4B" w:rsidP="002B6B4B">
      <w:pPr>
        <w:pageBreakBefore/>
        <w:spacing w:before="4200" w:after="240" w:line="240" w:lineRule="auto"/>
        <w:contextualSpacing/>
        <w:rPr>
          <w:rFonts w:ascii="Calibri" w:eastAsia="MS Gothic" w:hAnsi="Calibri"/>
          <w:b/>
          <w:color w:val="1C1F58"/>
          <w:spacing w:val="5"/>
          <w:kern w:val="28"/>
          <w:sz w:val="72"/>
          <w:szCs w:val="72"/>
          <w:lang w:val="en"/>
        </w:rPr>
      </w:pPr>
      <w:r w:rsidRPr="002B6B4B">
        <w:rPr>
          <w:rFonts w:ascii="Calibri" w:eastAsia="MS Gothic" w:hAnsi="Calibri"/>
          <w:b/>
          <w:color w:val="1C1F58"/>
          <w:spacing w:val="5"/>
          <w:kern w:val="28"/>
          <w:sz w:val="72"/>
          <w:szCs w:val="72"/>
          <w:lang w:val="en"/>
        </w:rPr>
        <w:t>Paper 4: National Mental Health Commission request for ad hoc analysis of the Mental Health Establishments National Minimum Data Set</w:t>
      </w:r>
    </w:p>
    <w:p w:rsidR="002B6B4B" w:rsidRPr="002B6B4B" w:rsidRDefault="002B6B4B" w:rsidP="002B6B4B">
      <w:pPr>
        <w:spacing w:before="0" w:after="0" w:line="240" w:lineRule="auto"/>
        <w:rPr>
          <w:rFonts w:ascii="Calibri" w:eastAsia="MS Mincho" w:hAnsi="Calibri"/>
          <w:szCs w:val="24"/>
          <w:lang w:val="en-US" w:eastAsia="en-US"/>
        </w:rPr>
      </w:pPr>
      <w:r w:rsidRPr="002B6B4B">
        <w:rPr>
          <w:rFonts w:ascii="Calibri" w:eastAsia="MS Mincho" w:hAnsi="Calibri"/>
          <w:szCs w:val="24"/>
          <w:lang w:val="en-US" w:eastAsia="en-US"/>
        </w:rPr>
        <w:t>This paper presents state and territory mental health data prepared by the Australian Institute of Health and Welfare in support of the Review’s work. This data was made available to the Commission late in the Review process through the Mental Health Drug and Alcohol Principal Committee</w:t>
      </w:r>
      <w:r w:rsidR="0095684B">
        <w:rPr>
          <w:rFonts w:ascii="Calibri" w:eastAsia="MS Mincho" w:hAnsi="Calibri"/>
          <w:szCs w:val="24"/>
          <w:lang w:val="en-US" w:eastAsia="en-US"/>
        </w:rPr>
        <w:t xml:space="preserve"> of the Australian Health Ministers’ Advisory Council (AHMAC)</w:t>
      </w:r>
      <w:r w:rsidRPr="002B6B4B">
        <w:rPr>
          <w:rFonts w:ascii="Calibri" w:eastAsia="MS Mincho" w:hAnsi="Calibri"/>
          <w:szCs w:val="24"/>
          <w:lang w:val="en-US" w:eastAsia="en-US"/>
        </w:rPr>
        <w:t>, and disaggregates state and territory information by remoteness category.</w:t>
      </w:r>
    </w:p>
    <w:p w:rsidR="00C2188A" w:rsidRDefault="00C2188A" w:rsidP="00502F93">
      <w:pPr>
        <w:sectPr w:rsidR="00C2188A" w:rsidSect="00C2188A">
          <w:headerReference w:type="even" r:id="rId9"/>
          <w:headerReference w:type="default" r:id="rId10"/>
          <w:footerReference w:type="even" r:id="rId11"/>
          <w:footerReference w:type="default" r:id="rId12"/>
          <w:headerReference w:type="first" r:id="rId13"/>
          <w:footerReference w:type="first" r:id="rId14"/>
          <w:type w:val="oddPage"/>
          <w:pgSz w:w="11906" w:h="16838" w:code="9"/>
          <w:pgMar w:top="1418" w:right="1418" w:bottom="1701" w:left="1418" w:header="1134" w:footer="567" w:gutter="0"/>
          <w:pgNumType w:start="1"/>
          <w:cols w:space="708"/>
          <w:docGrid w:linePitch="360"/>
        </w:sectPr>
      </w:pPr>
    </w:p>
    <w:p w:rsidR="002B6B4B" w:rsidRDefault="002B6B4B" w:rsidP="00502F93">
      <w:pPr>
        <w:sectPr w:rsidR="002B6B4B" w:rsidSect="00C2188A">
          <w:footerReference w:type="default" r:id="rId15"/>
          <w:pgSz w:w="11906" w:h="16838" w:code="9"/>
          <w:pgMar w:top="1418" w:right="1418" w:bottom="1701" w:left="1418" w:header="1134" w:footer="567" w:gutter="0"/>
          <w:pgNumType w:start="1"/>
          <w:cols w:space="708"/>
          <w:docGrid w:linePitch="360"/>
        </w:sectPr>
      </w:pPr>
    </w:p>
    <w:p w:rsidR="00502F93" w:rsidRDefault="00502F93" w:rsidP="00A72CA9">
      <w:pPr>
        <w:spacing w:before="1600"/>
        <w:jc w:val="right"/>
      </w:pPr>
    </w:p>
    <w:p w:rsidR="00502F93" w:rsidRDefault="00502F93" w:rsidP="00502F93">
      <w:pPr>
        <w:pStyle w:val="Title"/>
        <w:jc w:val="right"/>
        <w:rPr>
          <w:sz w:val="40"/>
          <w:szCs w:val="40"/>
        </w:rPr>
      </w:pPr>
      <w:r>
        <w:rPr>
          <w:noProof/>
        </w:rPr>
        <w:drawing>
          <wp:inline distT="0" distB="0" distL="0" distR="0" wp14:anchorId="7156CB43" wp14:editId="29C0BBFB">
            <wp:extent cx="1440000" cy="1134000"/>
            <wp:effectExtent l="0" t="0" r="8255" b="9525"/>
            <wp:docPr id="6" name="Picture 6" descr="Australian Institute of Health and Welfare logo" title="Australian Institute of Health and Welfar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AIHW_stack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40000" cy="1134000"/>
                    </a:xfrm>
                    <a:prstGeom prst="rect">
                      <a:avLst/>
                    </a:prstGeom>
                    <a:noFill/>
                    <a:ln>
                      <a:noFill/>
                    </a:ln>
                  </pic:spPr>
                </pic:pic>
              </a:graphicData>
            </a:graphic>
          </wp:inline>
        </w:drawing>
      </w:r>
    </w:p>
    <w:p w:rsidR="00502F93" w:rsidRDefault="00502F93" w:rsidP="00502F93">
      <w:pPr>
        <w:pStyle w:val="Title"/>
        <w:jc w:val="right"/>
        <w:rPr>
          <w:sz w:val="40"/>
          <w:szCs w:val="40"/>
        </w:rPr>
      </w:pPr>
    </w:p>
    <w:p w:rsidR="00502F93" w:rsidRPr="00B1204E" w:rsidRDefault="00502F93" w:rsidP="00502F93">
      <w:pPr>
        <w:pStyle w:val="AIHWbodytext"/>
        <w:jc w:val="right"/>
        <w:rPr>
          <w:lang w:eastAsia="en-AU"/>
        </w:rPr>
      </w:pPr>
    </w:p>
    <w:p w:rsidR="00502F93" w:rsidRDefault="00502F93" w:rsidP="00502F93">
      <w:pPr>
        <w:pStyle w:val="Title"/>
        <w:jc w:val="right"/>
        <w:rPr>
          <w:sz w:val="40"/>
          <w:szCs w:val="40"/>
        </w:rPr>
      </w:pPr>
    </w:p>
    <w:p w:rsidR="00D859F2" w:rsidRPr="00493C36" w:rsidRDefault="00D859F2" w:rsidP="00493C36">
      <w:pPr>
        <w:pStyle w:val="Heading1-Cover"/>
      </w:pPr>
      <w:bookmarkStart w:id="1" w:name="_Toc403057856"/>
      <w:r w:rsidRPr="00493C36">
        <w:t xml:space="preserve">National Mental Health Commission request for </w:t>
      </w:r>
      <w:r w:rsidR="00D27F8A" w:rsidRPr="00493C36">
        <w:br/>
      </w:r>
      <w:r w:rsidRPr="00493C36">
        <w:t>ad hoc analysis of the Mental Health Establishments National Minimum Data Set</w:t>
      </w:r>
      <w:bookmarkEnd w:id="1"/>
    </w:p>
    <w:p w:rsidR="00502F93" w:rsidRDefault="00502F93" w:rsidP="00502F93">
      <w:pPr>
        <w:pStyle w:val="AIHWbodytext"/>
        <w:rPr>
          <w:lang w:eastAsia="en-AU"/>
        </w:rPr>
      </w:pPr>
    </w:p>
    <w:p w:rsidR="00502F93" w:rsidRPr="00594F32" w:rsidRDefault="000F1B66" w:rsidP="00F94276">
      <w:pPr>
        <w:pStyle w:val="AIHWbodytext"/>
        <w:spacing w:before="2600"/>
        <w:jc w:val="right"/>
        <w:rPr>
          <w:b/>
          <w:noProof/>
        </w:rPr>
      </w:pPr>
      <w:r w:rsidRPr="00594F32">
        <w:rPr>
          <w:b/>
          <w:noProof/>
        </w:rPr>
        <w:t>October</w:t>
      </w:r>
      <w:r w:rsidR="00D859F2" w:rsidRPr="00594F32">
        <w:rPr>
          <w:b/>
          <w:noProof/>
        </w:rPr>
        <w:t xml:space="preserve"> </w:t>
      </w:r>
      <w:r w:rsidR="00502F93" w:rsidRPr="00594F32">
        <w:rPr>
          <w:b/>
          <w:noProof/>
        </w:rPr>
        <w:t>2014</w:t>
      </w:r>
    </w:p>
    <w:p w:rsidR="00502F93" w:rsidRDefault="00502F93" w:rsidP="00502F93">
      <w:pPr>
        <w:rPr>
          <w:b/>
          <w:noProof/>
        </w:rPr>
      </w:pPr>
      <w:r>
        <w:rPr>
          <w:b/>
          <w:noProof/>
        </w:rPr>
        <w:br w:type="page"/>
      </w:r>
    </w:p>
    <w:p w:rsidR="00502F93" w:rsidRDefault="00502F93" w:rsidP="00502F93">
      <w:pPr>
        <w:spacing w:before="180" w:after="90"/>
        <w:jc w:val="right"/>
        <w:rPr>
          <w:b/>
          <w:noProof/>
        </w:rPr>
      </w:pPr>
    </w:p>
    <w:p w:rsidR="00502F93" w:rsidRDefault="00502F93" w:rsidP="00502F93">
      <w:pPr>
        <w:jc w:val="center"/>
      </w:pPr>
    </w:p>
    <w:p w:rsidR="00502F93" w:rsidRDefault="00502F93" w:rsidP="00F94276">
      <w:pPr>
        <w:spacing w:before="6000"/>
        <w:jc w:val="center"/>
      </w:pPr>
      <w:r>
        <w:t>[Intentionally Blank]</w:t>
      </w:r>
    </w:p>
    <w:p w:rsidR="00502F93" w:rsidRDefault="00502F93" w:rsidP="00502F93">
      <w:pPr>
        <w:spacing w:after="0" w:line="240" w:lineRule="auto"/>
      </w:pPr>
      <w:r>
        <w:br w:type="page"/>
      </w:r>
    </w:p>
    <w:sdt>
      <w:sdtPr>
        <w:rPr>
          <w:rFonts w:ascii="Book Antiqua" w:eastAsia="Times New Roman" w:hAnsi="Book Antiqua" w:cs="Times New Roman"/>
          <w:b w:val="0"/>
          <w:bCs w:val="0"/>
          <w:color w:val="004080"/>
          <w:sz w:val="22"/>
          <w:szCs w:val="22"/>
        </w:rPr>
        <w:id w:val="1250078344"/>
        <w:docPartObj>
          <w:docPartGallery w:val="Table of Contents"/>
          <w:docPartUnique/>
        </w:docPartObj>
      </w:sdtPr>
      <w:sdtEndPr>
        <w:rPr>
          <w:noProof/>
          <w:color w:val="auto"/>
        </w:rPr>
      </w:sdtEndPr>
      <w:sdtContent>
        <w:p w:rsidR="00502F93" w:rsidRPr="001847B6" w:rsidRDefault="00CE4AF7" w:rsidP="00502F93">
          <w:pPr>
            <w:pStyle w:val="TOCHeading"/>
            <w:rPr>
              <w:color w:val="004080"/>
            </w:rPr>
          </w:pPr>
          <w:r w:rsidRPr="001847B6">
            <w:rPr>
              <w:color w:val="004080"/>
            </w:rPr>
            <w:t xml:space="preserve">Table of </w:t>
          </w:r>
          <w:r w:rsidR="00502F93" w:rsidRPr="001847B6">
            <w:rPr>
              <w:color w:val="004080"/>
            </w:rPr>
            <w:t>Contents</w:t>
          </w:r>
        </w:p>
        <w:p w:rsidR="008E4A1C" w:rsidRDefault="00502F93">
          <w:pPr>
            <w:pStyle w:val="TOC3"/>
            <w:rPr>
              <w:rFonts w:asciiTheme="minorHAnsi" w:eastAsiaTheme="minorEastAsia" w:hAnsiTheme="minorHAnsi" w:cstheme="minorBidi"/>
              <w:noProof/>
              <w:szCs w:val="22"/>
              <w:lang w:eastAsia="en-AU"/>
            </w:rPr>
          </w:pPr>
          <w:r>
            <w:fldChar w:fldCharType="begin"/>
          </w:r>
          <w:r>
            <w:instrText xml:space="preserve"> TOC \o "1-3" \h \z \u </w:instrText>
          </w:r>
          <w:r>
            <w:fldChar w:fldCharType="separate"/>
          </w:r>
          <w:hyperlink w:anchor="_Toc403057856" w:history="1">
            <w:r w:rsidR="008E4A1C" w:rsidRPr="003825AD">
              <w:rPr>
                <w:rStyle w:val="Hyperlink"/>
                <w:rFonts w:asciiTheme="majorHAnsi" w:eastAsiaTheme="majorEastAsia" w:hAnsiTheme="majorHAnsi" w:cstheme="majorBidi"/>
                <w:noProof/>
                <w:spacing w:val="5"/>
                <w:kern w:val="28"/>
                <w:lang w:eastAsia="en-AU"/>
              </w:rPr>
              <w:t>National Mental Health Commission request for ad hoc analysis of the Mental Health Establishments National Minimum Data Set</w:t>
            </w:r>
            <w:r w:rsidR="008E4A1C">
              <w:rPr>
                <w:noProof/>
                <w:webHidden/>
              </w:rPr>
              <w:tab/>
            </w:r>
            <w:r w:rsidR="008E4A1C">
              <w:rPr>
                <w:noProof/>
                <w:webHidden/>
              </w:rPr>
              <w:fldChar w:fldCharType="begin"/>
            </w:r>
            <w:r w:rsidR="008E4A1C">
              <w:rPr>
                <w:noProof/>
                <w:webHidden/>
              </w:rPr>
              <w:instrText xml:space="preserve"> PAGEREF _Toc403057856 \h </w:instrText>
            </w:r>
            <w:r w:rsidR="008E4A1C">
              <w:rPr>
                <w:noProof/>
                <w:webHidden/>
              </w:rPr>
            </w:r>
            <w:r w:rsidR="008E4A1C">
              <w:rPr>
                <w:noProof/>
                <w:webHidden/>
              </w:rPr>
              <w:fldChar w:fldCharType="separate"/>
            </w:r>
            <w:r w:rsidR="007E1D68">
              <w:rPr>
                <w:noProof/>
                <w:webHidden/>
              </w:rPr>
              <w:t>1</w:t>
            </w:r>
            <w:r w:rsidR="008E4A1C">
              <w:rPr>
                <w:noProof/>
                <w:webHidden/>
              </w:rPr>
              <w:fldChar w:fldCharType="end"/>
            </w:r>
          </w:hyperlink>
        </w:p>
        <w:p w:rsidR="008E4A1C" w:rsidRDefault="005015C3">
          <w:pPr>
            <w:pStyle w:val="TOC2"/>
            <w:rPr>
              <w:rFonts w:asciiTheme="minorHAnsi" w:eastAsiaTheme="minorEastAsia" w:hAnsiTheme="minorHAnsi" w:cstheme="minorBidi"/>
              <w:noProof/>
              <w:szCs w:val="22"/>
              <w:lang w:eastAsia="en-AU"/>
            </w:rPr>
          </w:pPr>
          <w:hyperlink w:anchor="_Toc403057857" w:history="1">
            <w:r w:rsidR="008E4A1C" w:rsidRPr="003825AD">
              <w:rPr>
                <w:rStyle w:val="Hyperlink"/>
                <w:noProof/>
              </w:rPr>
              <w:t>1.</w:t>
            </w:r>
            <w:r w:rsidR="008E4A1C">
              <w:rPr>
                <w:rFonts w:asciiTheme="minorHAnsi" w:eastAsiaTheme="minorEastAsia" w:hAnsiTheme="minorHAnsi" w:cstheme="minorBidi"/>
                <w:noProof/>
                <w:szCs w:val="22"/>
                <w:lang w:eastAsia="en-AU"/>
              </w:rPr>
              <w:tab/>
            </w:r>
            <w:r w:rsidR="008E4A1C" w:rsidRPr="003825AD">
              <w:rPr>
                <w:rStyle w:val="Hyperlink"/>
                <w:noProof/>
              </w:rPr>
              <w:t>Background</w:t>
            </w:r>
            <w:r w:rsidR="008E4A1C">
              <w:rPr>
                <w:noProof/>
                <w:webHidden/>
              </w:rPr>
              <w:tab/>
            </w:r>
            <w:r w:rsidR="008E4A1C">
              <w:rPr>
                <w:noProof/>
                <w:webHidden/>
              </w:rPr>
              <w:fldChar w:fldCharType="begin"/>
            </w:r>
            <w:r w:rsidR="008E4A1C">
              <w:rPr>
                <w:noProof/>
                <w:webHidden/>
              </w:rPr>
              <w:instrText xml:space="preserve"> PAGEREF _Toc403057857 \h </w:instrText>
            </w:r>
            <w:r w:rsidR="008E4A1C">
              <w:rPr>
                <w:noProof/>
                <w:webHidden/>
              </w:rPr>
            </w:r>
            <w:r w:rsidR="008E4A1C">
              <w:rPr>
                <w:noProof/>
                <w:webHidden/>
              </w:rPr>
              <w:fldChar w:fldCharType="separate"/>
            </w:r>
            <w:r w:rsidR="007E1D68">
              <w:rPr>
                <w:noProof/>
                <w:webHidden/>
              </w:rPr>
              <w:t>4</w:t>
            </w:r>
            <w:r w:rsidR="008E4A1C">
              <w:rPr>
                <w:noProof/>
                <w:webHidden/>
              </w:rPr>
              <w:fldChar w:fldCharType="end"/>
            </w:r>
          </w:hyperlink>
        </w:p>
        <w:p w:rsidR="008E4A1C" w:rsidRDefault="005015C3">
          <w:pPr>
            <w:pStyle w:val="TOC2"/>
            <w:rPr>
              <w:rFonts w:asciiTheme="minorHAnsi" w:eastAsiaTheme="minorEastAsia" w:hAnsiTheme="minorHAnsi" w:cstheme="minorBidi"/>
              <w:noProof/>
              <w:szCs w:val="22"/>
              <w:lang w:eastAsia="en-AU"/>
            </w:rPr>
          </w:pPr>
          <w:hyperlink w:anchor="_Toc403057858" w:history="1">
            <w:r w:rsidR="008E4A1C" w:rsidRPr="003825AD">
              <w:rPr>
                <w:rStyle w:val="Hyperlink"/>
                <w:noProof/>
              </w:rPr>
              <w:t>2.</w:t>
            </w:r>
            <w:r w:rsidR="008E4A1C">
              <w:rPr>
                <w:rFonts w:asciiTheme="minorHAnsi" w:eastAsiaTheme="minorEastAsia" w:hAnsiTheme="minorHAnsi" w:cstheme="minorBidi"/>
                <w:noProof/>
                <w:szCs w:val="22"/>
                <w:lang w:eastAsia="en-AU"/>
              </w:rPr>
              <w:tab/>
            </w:r>
            <w:r w:rsidR="008E4A1C" w:rsidRPr="003825AD">
              <w:rPr>
                <w:rStyle w:val="Hyperlink"/>
                <w:noProof/>
              </w:rPr>
              <w:t>Current activity</w:t>
            </w:r>
            <w:r w:rsidR="008E4A1C">
              <w:rPr>
                <w:noProof/>
                <w:webHidden/>
              </w:rPr>
              <w:tab/>
            </w:r>
            <w:r w:rsidR="008E4A1C">
              <w:rPr>
                <w:noProof/>
                <w:webHidden/>
              </w:rPr>
              <w:fldChar w:fldCharType="begin"/>
            </w:r>
            <w:r w:rsidR="008E4A1C">
              <w:rPr>
                <w:noProof/>
                <w:webHidden/>
              </w:rPr>
              <w:instrText xml:space="preserve"> PAGEREF _Toc403057858 \h </w:instrText>
            </w:r>
            <w:r w:rsidR="008E4A1C">
              <w:rPr>
                <w:noProof/>
                <w:webHidden/>
              </w:rPr>
            </w:r>
            <w:r w:rsidR="008E4A1C">
              <w:rPr>
                <w:noProof/>
                <w:webHidden/>
              </w:rPr>
              <w:fldChar w:fldCharType="separate"/>
            </w:r>
            <w:r w:rsidR="007E1D68">
              <w:rPr>
                <w:noProof/>
                <w:webHidden/>
              </w:rPr>
              <w:t>4</w:t>
            </w:r>
            <w:r w:rsidR="008E4A1C">
              <w:rPr>
                <w:noProof/>
                <w:webHidden/>
              </w:rPr>
              <w:fldChar w:fldCharType="end"/>
            </w:r>
          </w:hyperlink>
        </w:p>
        <w:p w:rsidR="008E4A1C" w:rsidRDefault="005015C3">
          <w:pPr>
            <w:pStyle w:val="TOC2"/>
            <w:rPr>
              <w:rFonts w:asciiTheme="minorHAnsi" w:eastAsiaTheme="minorEastAsia" w:hAnsiTheme="minorHAnsi" w:cstheme="minorBidi"/>
              <w:noProof/>
              <w:szCs w:val="22"/>
              <w:lang w:eastAsia="en-AU"/>
            </w:rPr>
          </w:pPr>
          <w:hyperlink w:anchor="_Toc403057859" w:history="1">
            <w:r w:rsidR="008E4A1C" w:rsidRPr="003825AD">
              <w:rPr>
                <w:rStyle w:val="Hyperlink"/>
                <w:bCs/>
                <w:noProof/>
              </w:rPr>
              <w:t>3.</w:t>
            </w:r>
            <w:r w:rsidR="008E4A1C">
              <w:rPr>
                <w:rFonts w:asciiTheme="minorHAnsi" w:eastAsiaTheme="minorEastAsia" w:hAnsiTheme="minorHAnsi" w:cstheme="minorBidi"/>
                <w:noProof/>
                <w:szCs w:val="22"/>
                <w:lang w:eastAsia="en-AU"/>
              </w:rPr>
              <w:tab/>
            </w:r>
            <w:r w:rsidR="008E4A1C" w:rsidRPr="003825AD">
              <w:rPr>
                <w:rStyle w:val="Hyperlink"/>
                <w:bCs/>
                <w:noProof/>
              </w:rPr>
              <w:t>Methodology and caveats</w:t>
            </w:r>
            <w:r w:rsidR="008E4A1C">
              <w:rPr>
                <w:noProof/>
                <w:webHidden/>
              </w:rPr>
              <w:tab/>
            </w:r>
            <w:r w:rsidR="008E4A1C">
              <w:rPr>
                <w:noProof/>
                <w:webHidden/>
              </w:rPr>
              <w:fldChar w:fldCharType="begin"/>
            </w:r>
            <w:r w:rsidR="008E4A1C">
              <w:rPr>
                <w:noProof/>
                <w:webHidden/>
              </w:rPr>
              <w:instrText xml:space="preserve"> PAGEREF _Toc403057859 \h </w:instrText>
            </w:r>
            <w:r w:rsidR="008E4A1C">
              <w:rPr>
                <w:noProof/>
                <w:webHidden/>
              </w:rPr>
            </w:r>
            <w:r w:rsidR="008E4A1C">
              <w:rPr>
                <w:noProof/>
                <w:webHidden/>
              </w:rPr>
              <w:fldChar w:fldCharType="separate"/>
            </w:r>
            <w:r w:rsidR="007E1D68">
              <w:rPr>
                <w:noProof/>
                <w:webHidden/>
              </w:rPr>
              <w:t>5</w:t>
            </w:r>
            <w:r w:rsidR="008E4A1C">
              <w:rPr>
                <w:noProof/>
                <w:webHidden/>
              </w:rPr>
              <w:fldChar w:fldCharType="end"/>
            </w:r>
          </w:hyperlink>
        </w:p>
        <w:p w:rsidR="008E4A1C" w:rsidRDefault="005015C3">
          <w:pPr>
            <w:pStyle w:val="TOC3"/>
            <w:rPr>
              <w:rFonts w:asciiTheme="minorHAnsi" w:eastAsiaTheme="minorEastAsia" w:hAnsiTheme="minorHAnsi" w:cstheme="minorBidi"/>
              <w:noProof/>
              <w:szCs w:val="22"/>
              <w:lang w:eastAsia="en-AU"/>
            </w:rPr>
          </w:pPr>
          <w:hyperlink w:anchor="_Toc403057860" w:history="1">
            <w:r w:rsidR="008E4A1C" w:rsidRPr="003825AD">
              <w:rPr>
                <w:rStyle w:val="Hyperlink"/>
                <w:noProof/>
              </w:rPr>
              <w:t>Specialised mental health services</w:t>
            </w:r>
            <w:r w:rsidR="008E4A1C">
              <w:rPr>
                <w:noProof/>
                <w:webHidden/>
              </w:rPr>
              <w:tab/>
            </w:r>
            <w:r w:rsidR="008E4A1C">
              <w:rPr>
                <w:noProof/>
                <w:webHidden/>
              </w:rPr>
              <w:fldChar w:fldCharType="begin"/>
            </w:r>
            <w:r w:rsidR="008E4A1C">
              <w:rPr>
                <w:noProof/>
                <w:webHidden/>
              </w:rPr>
              <w:instrText xml:space="preserve"> PAGEREF _Toc403057860 \h </w:instrText>
            </w:r>
            <w:r w:rsidR="008E4A1C">
              <w:rPr>
                <w:noProof/>
                <w:webHidden/>
              </w:rPr>
            </w:r>
            <w:r w:rsidR="008E4A1C">
              <w:rPr>
                <w:noProof/>
                <w:webHidden/>
              </w:rPr>
              <w:fldChar w:fldCharType="separate"/>
            </w:r>
            <w:r w:rsidR="007E1D68">
              <w:rPr>
                <w:noProof/>
                <w:webHidden/>
              </w:rPr>
              <w:t>5</w:t>
            </w:r>
            <w:r w:rsidR="008E4A1C">
              <w:rPr>
                <w:noProof/>
                <w:webHidden/>
              </w:rPr>
              <w:fldChar w:fldCharType="end"/>
            </w:r>
          </w:hyperlink>
        </w:p>
        <w:p w:rsidR="008E4A1C" w:rsidRDefault="005015C3">
          <w:pPr>
            <w:pStyle w:val="TOC2"/>
            <w:rPr>
              <w:rFonts w:asciiTheme="minorHAnsi" w:eastAsiaTheme="minorEastAsia" w:hAnsiTheme="minorHAnsi" w:cstheme="minorBidi"/>
              <w:noProof/>
              <w:szCs w:val="22"/>
              <w:lang w:eastAsia="en-AU"/>
            </w:rPr>
          </w:pPr>
          <w:hyperlink w:anchor="_Toc403057861" w:history="1">
            <w:r w:rsidR="008E4A1C" w:rsidRPr="003825AD">
              <w:rPr>
                <w:rStyle w:val="Hyperlink"/>
                <w:bCs/>
                <w:noProof/>
              </w:rPr>
              <w:t>4.</w:t>
            </w:r>
            <w:r w:rsidR="008E4A1C">
              <w:rPr>
                <w:rFonts w:asciiTheme="minorHAnsi" w:eastAsiaTheme="minorEastAsia" w:hAnsiTheme="minorHAnsi" w:cstheme="minorBidi"/>
                <w:noProof/>
                <w:szCs w:val="22"/>
                <w:lang w:eastAsia="en-AU"/>
              </w:rPr>
              <w:tab/>
            </w:r>
            <w:r w:rsidR="008E4A1C" w:rsidRPr="003825AD">
              <w:rPr>
                <w:rStyle w:val="Hyperlink"/>
                <w:bCs/>
                <w:noProof/>
              </w:rPr>
              <w:t>Jurisdictional data</w:t>
            </w:r>
            <w:r w:rsidR="008E4A1C">
              <w:rPr>
                <w:noProof/>
                <w:webHidden/>
              </w:rPr>
              <w:tab/>
            </w:r>
            <w:r w:rsidR="008E4A1C">
              <w:rPr>
                <w:noProof/>
                <w:webHidden/>
              </w:rPr>
              <w:fldChar w:fldCharType="begin"/>
            </w:r>
            <w:r w:rsidR="008E4A1C">
              <w:rPr>
                <w:noProof/>
                <w:webHidden/>
              </w:rPr>
              <w:instrText xml:space="preserve"> PAGEREF _Toc403057861 \h </w:instrText>
            </w:r>
            <w:r w:rsidR="008E4A1C">
              <w:rPr>
                <w:noProof/>
                <w:webHidden/>
              </w:rPr>
            </w:r>
            <w:r w:rsidR="008E4A1C">
              <w:rPr>
                <w:noProof/>
                <w:webHidden/>
              </w:rPr>
              <w:fldChar w:fldCharType="separate"/>
            </w:r>
            <w:r w:rsidR="007E1D68">
              <w:rPr>
                <w:noProof/>
                <w:webHidden/>
              </w:rPr>
              <w:t>8</w:t>
            </w:r>
            <w:r w:rsidR="008E4A1C">
              <w:rPr>
                <w:noProof/>
                <w:webHidden/>
              </w:rPr>
              <w:fldChar w:fldCharType="end"/>
            </w:r>
          </w:hyperlink>
        </w:p>
        <w:p w:rsidR="008E4A1C" w:rsidRDefault="005015C3">
          <w:pPr>
            <w:pStyle w:val="TOC3"/>
            <w:rPr>
              <w:rFonts w:asciiTheme="minorHAnsi" w:eastAsiaTheme="minorEastAsia" w:hAnsiTheme="minorHAnsi" w:cstheme="minorBidi"/>
              <w:noProof/>
              <w:szCs w:val="22"/>
              <w:lang w:eastAsia="en-AU"/>
            </w:rPr>
          </w:pPr>
          <w:hyperlink w:anchor="_Toc403057862" w:history="1">
            <w:r w:rsidR="008E4A1C" w:rsidRPr="003825AD">
              <w:rPr>
                <w:rStyle w:val="Hyperlink"/>
                <w:noProof/>
              </w:rPr>
              <w:t>New South Wales</w:t>
            </w:r>
            <w:r w:rsidR="008E4A1C">
              <w:rPr>
                <w:noProof/>
                <w:webHidden/>
              </w:rPr>
              <w:tab/>
            </w:r>
            <w:r w:rsidR="008E4A1C">
              <w:rPr>
                <w:noProof/>
                <w:webHidden/>
              </w:rPr>
              <w:fldChar w:fldCharType="begin"/>
            </w:r>
            <w:r w:rsidR="008E4A1C">
              <w:rPr>
                <w:noProof/>
                <w:webHidden/>
              </w:rPr>
              <w:instrText xml:space="preserve"> PAGEREF _Toc403057862 \h </w:instrText>
            </w:r>
            <w:r w:rsidR="008E4A1C">
              <w:rPr>
                <w:noProof/>
                <w:webHidden/>
              </w:rPr>
            </w:r>
            <w:r w:rsidR="008E4A1C">
              <w:rPr>
                <w:noProof/>
                <w:webHidden/>
              </w:rPr>
              <w:fldChar w:fldCharType="separate"/>
            </w:r>
            <w:r w:rsidR="007E1D68">
              <w:rPr>
                <w:noProof/>
                <w:webHidden/>
              </w:rPr>
              <w:t>8</w:t>
            </w:r>
            <w:r w:rsidR="008E4A1C">
              <w:rPr>
                <w:noProof/>
                <w:webHidden/>
              </w:rPr>
              <w:fldChar w:fldCharType="end"/>
            </w:r>
          </w:hyperlink>
        </w:p>
        <w:p w:rsidR="008E4A1C" w:rsidRDefault="005015C3">
          <w:pPr>
            <w:pStyle w:val="TOC3"/>
            <w:rPr>
              <w:rFonts w:asciiTheme="minorHAnsi" w:eastAsiaTheme="minorEastAsia" w:hAnsiTheme="minorHAnsi" w:cstheme="minorBidi"/>
              <w:noProof/>
              <w:szCs w:val="22"/>
              <w:lang w:eastAsia="en-AU"/>
            </w:rPr>
          </w:pPr>
          <w:hyperlink w:anchor="_Toc403057863" w:history="1">
            <w:r w:rsidR="008E4A1C" w:rsidRPr="003825AD">
              <w:rPr>
                <w:rStyle w:val="Hyperlink"/>
                <w:noProof/>
              </w:rPr>
              <w:t>Victoria</w:t>
            </w:r>
            <w:r w:rsidR="008E4A1C">
              <w:rPr>
                <w:noProof/>
                <w:webHidden/>
              </w:rPr>
              <w:tab/>
            </w:r>
            <w:r w:rsidR="008E4A1C">
              <w:rPr>
                <w:noProof/>
                <w:webHidden/>
              </w:rPr>
              <w:fldChar w:fldCharType="begin"/>
            </w:r>
            <w:r w:rsidR="008E4A1C">
              <w:rPr>
                <w:noProof/>
                <w:webHidden/>
              </w:rPr>
              <w:instrText xml:space="preserve"> PAGEREF _Toc403057863 \h </w:instrText>
            </w:r>
            <w:r w:rsidR="008E4A1C">
              <w:rPr>
                <w:noProof/>
                <w:webHidden/>
              </w:rPr>
            </w:r>
            <w:r w:rsidR="008E4A1C">
              <w:rPr>
                <w:noProof/>
                <w:webHidden/>
              </w:rPr>
              <w:fldChar w:fldCharType="separate"/>
            </w:r>
            <w:r w:rsidR="007E1D68">
              <w:rPr>
                <w:noProof/>
                <w:webHidden/>
              </w:rPr>
              <w:t>13</w:t>
            </w:r>
            <w:r w:rsidR="008E4A1C">
              <w:rPr>
                <w:noProof/>
                <w:webHidden/>
              </w:rPr>
              <w:fldChar w:fldCharType="end"/>
            </w:r>
          </w:hyperlink>
        </w:p>
        <w:p w:rsidR="008E4A1C" w:rsidRDefault="005015C3">
          <w:pPr>
            <w:pStyle w:val="TOC3"/>
            <w:rPr>
              <w:rFonts w:asciiTheme="minorHAnsi" w:eastAsiaTheme="minorEastAsia" w:hAnsiTheme="minorHAnsi" w:cstheme="minorBidi"/>
              <w:noProof/>
              <w:szCs w:val="22"/>
              <w:lang w:eastAsia="en-AU"/>
            </w:rPr>
          </w:pPr>
          <w:hyperlink w:anchor="_Toc403057864" w:history="1">
            <w:r w:rsidR="008E4A1C" w:rsidRPr="003825AD">
              <w:rPr>
                <w:rStyle w:val="Hyperlink"/>
                <w:noProof/>
              </w:rPr>
              <w:t>Queensland</w:t>
            </w:r>
            <w:r w:rsidR="008E4A1C">
              <w:rPr>
                <w:noProof/>
                <w:webHidden/>
              </w:rPr>
              <w:tab/>
            </w:r>
            <w:r w:rsidR="008E4A1C">
              <w:rPr>
                <w:noProof/>
                <w:webHidden/>
              </w:rPr>
              <w:fldChar w:fldCharType="begin"/>
            </w:r>
            <w:r w:rsidR="008E4A1C">
              <w:rPr>
                <w:noProof/>
                <w:webHidden/>
              </w:rPr>
              <w:instrText xml:space="preserve"> PAGEREF _Toc403057864 \h </w:instrText>
            </w:r>
            <w:r w:rsidR="008E4A1C">
              <w:rPr>
                <w:noProof/>
                <w:webHidden/>
              </w:rPr>
            </w:r>
            <w:r w:rsidR="008E4A1C">
              <w:rPr>
                <w:noProof/>
                <w:webHidden/>
              </w:rPr>
              <w:fldChar w:fldCharType="separate"/>
            </w:r>
            <w:r w:rsidR="007E1D68">
              <w:rPr>
                <w:noProof/>
                <w:webHidden/>
              </w:rPr>
              <w:t>18</w:t>
            </w:r>
            <w:r w:rsidR="008E4A1C">
              <w:rPr>
                <w:noProof/>
                <w:webHidden/>
              </w:rPr>
              <w:fldChar w:fldCharType="end"/>
            </w:r>
          </w:hyperlink>
        </w:p>
        <w:p w:rsidR="008E4A1C" w:rsidRDefault="005015C3">
          <w:pPr>
            <w:pStyle w:val="TOC3"/>
            <w:rPr>
              <w:rFonts w:asciiTheme="minorHAnsi" w:eastAsiaTheme="minorEastAsia" w:hAnsiTheme="minorHAnsi" w:cstheme="minorBidi"/>
              <w:noProof/>
              <w:szCs w:val="22"/>
              <w:lang w:eastAsia="en-AU"/>
            </w:rPr>
          </w:pPr>
          <w:hyperlink w:anchor="_Toc403057865" w:history="1">
            <w:r w:rsidR="008E4A1C" w:rsidRPr="003825AD">
              <w:rPr>
                <w:rStyle w:val="Hyperlink"/>
                <w:noProof/>
              </w:rPr>
              <w:t>Western Australia</w:t>
            </w:r>
            <w:r w:rsidR="008E4A1C">
              <w:rPr>
                <w:noProof/>
                <w:webHidden/>
              </w:rPr>
              <w:tab/>
            </w:r>
            <w:r w:rsidR="008E4A1C">
              <w:rPr>
                <w:noProof/>
                <w:webHidden/>
              </w:rPr>
              <w:fldChar w:fldCharType="begin"/>
            </w:r>
            <w:r w:rsidR="008E4A1C">
              <w:rPr>
                <w:noProof/>
                <w:webHidden/>
              </w:rPr>
              <w:instrText xml:space="preserve"> PAGEREF _Toc403057865 \h </w:instrText>
            </w:r>
            <w:r w:rsidR="008E4A1C">
              <w:rPr>
                <w:noProof/>
                <w:webHidden/>
              </w:rPr>
            </w:r>
            <w:r w:rsidR="008E4A1C">
              <w:rPr>
                <w:noProof/>
                <w:webHidden/>
              </w:rPr>
              <w:fldChar w:fldCharType="separate"/>
            </w:r>
            <w:r w:rsidR="007E1D68">
              <w:rPr>
                <w:noProof/>
                <w:webHidden/>
              </w:rPr>
              <w:t>23</w:t>
            </w:r>
            <w:r w:rsidR="008E4A1C">
              <w:rPr>
                <w:noProof/>
                <w:webHidden/>
              </w:rPr>
              <w:fldChar w:fldCharType="end"/>
            </w:r>
          </w:hyperlink>
        </w:p>
        <w:p w:rsidR="008E4A1C" w:rsidRDefault="005015C3">
          <w:pPr>
            <w:pStyle w:val="TOC3"/>
            <w:rPr>
              <w:rFonts w:asciiTheme="minorHAnsi" w:eastAsiaTheme="minorEastAsia" w:hAnsiTheme="minorHAnsi" w:cstheme="minorBidi"/>
              <w:noProof/>
              <w:szCs w:val="22"/>
              <w:lang w:eastAsia="en-AU"/>
            </w:rPr>
          </w:pPr>
          <w:hyperlink w:anchor="_Toc403057866" w:history="1">
            <w:r w:rsidR="008E4A1C" w:rsidRPr="003825AD">
              <w:rPr>
                <w:rStyle w:val="Hyperlink"/>
                <w:noProof/>
              </w:rPr>
              <w:t>South Australia</w:t>
            </w:r>
            <w:r w:rsidR="008E4A1C">
              <w:rPr>
                <w:noProof/>
                <w:webHidden/>
              </w:rPr>
              <w:tab/>
            </w:r>
            <w:r w:rsidR="008E4A1C">
              <w:rPr>
                <w:noProof/>
                <w:webHidden/>
              </w:rPr>
              <w:fldChar w:fldCharType="begin"/>
            </w:r>
            <w:r w:rsidR="008E4A1C">
              <w:rPr>
                <w:noProof/>
                <w:webHidden/>
              </w:rPr>
              <w:instrText xml:space="preserve"> PAGEREF _Toc403057866 \h </w:instrText>
            </w:r>
            <w:r w:rsidR="008E4A1C">
              <w:rPr>
                <w:noProof/>
                <w:webHidden/>
              </w:rPr>
            </w:r>
            <w:r w:rsidR="008E4A1C">
              <w:rPr>
                <w:noProof/>
                <w:webHidden/>
              </w:rPr>
              <w:fldChar w:fldCharType="separate"/>
            </w:r>
            <w:r w:rsidR="007E1D68">
              <w:rPr>
                <w:noProof/>
                <w:webHidden/>
              </w:rPr>
              <w:t>29</w:t>
            </w:r>
            <w:r w:rsidR="008E4A1C">
              <w:rPr>
                <w:noProof/>
                <w:webHidden/>
              </w:rPr>
              <w:fldChar w:fldCharType="end"/>
            </w:r>
          </w:hyperlink>
        </w:p>
        <w:p w:rsidR="008E4A1C" w:rsidRDefault="005015C3">
          <w:pPr>
            <w:pStyle w:val="TOC3"/>
            <w:rPr>
              <w:rFonts w:asciiTheme="minorHAnsi" w:eastAsiaTheme="minorEastAsia" w:hAnsiTheme="minorHAnsi" w:cstheme="minorBidi"/>
              <w:noProof/>
              <w:szCs w:val="22"/>
              <w:lang w:eastAsia="en-AU"/>
            </w:rPr>
          </w:pPr>
          <w:hyperlink w:anchor="_Toc403057867" w:history="1">
            <w:r w:rsidR="008E4A1C" w:rsidRPr="003825AD">
              <w:rPr>
                <w:rStyle w:val="Hyperlink"/>
                <w:noProof/>
              </w:rPr>
              <w:t>Tasmania</w:t>
            </w:r>
            <w:r w:rsidR="008E4A1C">
              <w:rPr>
                <w:noProof/>
                <w:webHidden/>
              </w:rPr>
              <w:tab/>
            </w:r>
            <w:r w:rsidR="008E4A1C">
              <w:rPr>
                <w:noProof/>
                <w:webHidden/>
              </w:rPr>
              <w:fldChar w:fldCharType="begin"/>
            </w:r>
            <w:r w:rsidR="008E4A1C">
              <w:rPr>
                <w:noProof/>
                <w:webHidden/>
              </w:rPr>
              <w:instrText xml:space="preserve"> PAGEREF _Toc403057867 \h </w:instrText>
            </w:r>
            <w:r w:rsidR="008E4A1C">
              <w:rPr>
                <w:noProof/>
                <w:webHidden/>
              </w:rPr>
            </w:r>
            <w:r w:rsidR="008E4A1C">
              <w:rPr>
                <w:noProof/>
                <w:webHidden/>
              </w:rPr>
              <w:fldChar w:fldCharType="separate"/>
            </w:r>
            <w:r w:rsidR="007E1D68">
              <w:rPr>
                <w:noProof/>
                <w:webHidden/>
              </w:rPr>
              <w:t>35</w:t>
            </w:r>
            <w:r w:rsidR="008E4A1C">
              <w:rPr>
                <w:noProof/>
                <w:webHidden/>
              </w:rPr>
              <w:fldChar w:fldCharType="end"/>
            </w:r>
          </w:hyperlink>
        </w:p>
        <w:p w:rsidR="008E4A1C" w:rsidRDefault="005015C3">
          <w:pPr>
            <w:pStyle w:val="TOC3"/>
            <w:rPr>
              <w:rFonts w:asciiTheme="minorHAnsi" w:eastAsiaTheme="minorEastAsia" w:hAnsiTheme="minorHAnsi" w:cstheme="minorBidi"/>
              <w:noProof/>
              <w:szCs w:val="22"/>
              <w:lang w:eastAsia="en-AU"/>
            </w:rPr>
          </w:pPr>
          <w:hyperlink w:anchor="_Toc403057868" w:history="1">
            <w:r w:rsidR="008E4A1C" w:rsidRPr="003825AD">
              <w:rPr>
                <w:rStyle w:val="Hyperlink"/>
                <w:noProof/>
              </w:rPr>
              <w:t>Northern Territory</w:t>
            </w:r>
            <w:r w:rsidR="008E4A1C">
              <w:rPr>
                <w:noProof/>
                <w:webHidden/>
              </w:rPr>
              <w:tab/>
            </w:r>
            <w:r w:rsidR="008E4A1C">
              <w:rPr>
                <w:noProof/>
                <w:webHidden/>
              </w:rPr>
              <w:fldChar w:fldCharType="begin"/>
            </w:r>
            <w:r w:rsidR="008E4A1C">
              <w:rPr>
                <w:noProof/>
                <w:webHidden/>
              </w:rPr>
              <w:instrText xml:space="preserve"> PAGEREF _Toc403057868 \h </w:instrText>
            </w:r>
            <w:r w:rsidR="008E4A1C">
              <w:rPr>
                <w:noProof/>
                <w:webHidden/>
              </w:rPr>
            </w:r>
            <w:r w:rsidR="008E4A1C">
              <w:rPr>
                <w:noProof/>
                <w:webHidden/>
              </w:rPr>
              <w:fldChar w:fldCharType="separate"/>
            </w:r>
            <w:r w:rsidR="007E1D68">
              <w:rPr>
                <w:noProof/>
                <w:webHidden/>
              </w:rPr>
              <w:t>42</w:t>
            </w:r>
            <w:r w:rsidR="008E4A1C">
              <w:rPr>
                <w:noProof/>
                <w:webHidden/>
              </w:rPr>
              <w:fldChar w:fldCharType="end"/>
            </w:r>
          </w:hyperlink>
        </w:p>
        <w:p w:rsidR="00502F93" w:rsidRDefault="00502F93" w:rsidP="00502F93">
          <w:r>
            <w:rPr>
              <w:b/>
              <w:bCs/>
              <w:noProof/>
            </w:rPr>
            <w:fldChar w:fldCharType="end"/>
          </w:r>
        </w:p>
      </w:sdtContent>
    </w:sdt>
    <w:p w:rsidR="00502F93" w:rsidRDefault="00502F93" w:rsidP="00502F93">
      <w:pPr>
        <w:spacing w:after="0" w:line="240" w:lineRule="auto"/>
        <w:rPr>
          <w:rFonts w:ascii="Arial" w:hAnsi="Arial"/>
          <w:color w:val="17365D"/>
          <w:sz w:val="36"/>
          <w:szCs w:val="20"/>
          <w:lang w:eastAsia="en-US"/>
        </w:rPr>
      </w:pPr>
      <w:r>
        <w:rPr>
          <w:b/>
        </w:rPr>
        <w:br w:type="page"/>
      </w:r>
    </w:p>
    <w:p w:rsidR="000F1B66" w:rsidRDefault="000F1B66" w:rsidP="000F1B66">
      <w:pPr>
        <w:pStyle w:val="Heading2"/>
        <w:numPr>
          <w:ilvl w:val="0"/>
          <w:numId w:val="18"/>
        </w:numPr>
        <w:ind w:left="567"/>
        <w:jc w:val="both"/>
      </w:pPr>
      <w:bookmarkStart w:id="2" w:name="_Toc401568517"/>
      <w:bookmarkStart w:id="3" w:name="_Toc403057857"/>
      <w:r>
        <w:lastRenderedPageBreak/>
        <w:t>Background</w:t>
      </w:r>
      <w:bookmarkEnd w:id="2"/>
      <w:bookmarkEnd w:id="3"/>
    </w:p>
    <w:p w:rsidR="000F1B66" w:rsidRPr="00621901" w:rsidRDefault="000F1B66" w:rsidP="00D27F8A">
      <w:pPr>
        <w:pStyle w:val="AIHWbodytext"/>
      </w:pPr>
      <w:r w:rsidRPr="00621901">
        <w:t xml:space="preserve">The Australian Government tasked the National Mental Health Commission (NMHC) to conduct a national Review of Mental Health Programmes and Services (The Review). </w:t>
      </w:r>
    </w:p>
    <w:p w:rsidR="000F1B66" w:rsidRPr="00621901" w:rsidRDefault="000F1B66" w:rsidP="00D27F8A">
      <w:pPr>
        <w:pStyle w:val="AIHWbodytext"/>
      </w:pPr>
      <w:r w:rsidRPr="00621901">
        <w:t xml:space="preserve">The Review </w:t>
      </w:r>
      <w:r w:rsidR="0095684B">
        <w:t>examined</w:t>
      </w:r>
      <w:r w:rsidRPr="00621901">
        <w:t xml:space="preserve"> existing mental health services and programmes across all levels of government, and the private and non-government sectors. The focus of the review </w:t>
      </w:r>
      <w:r w:rsidR="0095684B">
        <w:t>has been</w:t>
      </w:r>
      <w:r w:rsidRPr="00621901">
        <w:t xml:space="preserve"> to assess the efficiency and effectiveness of programmes and services in supporting individuals experiencing mental health issues and their families and other support people to lead a contributing life and to engage productively in the community. </w:t>
      </w:r>
    </w:p>
    <w:p w:rsidR="000F1B66" w:rsidRPr="00621901" w:rsidRDefault="000F1B66" w:rsidP="00D27F8A">
      <w:pPr>
        <w:pStyle w:val="AIHWbodytext"/>
      </w:pPr>
      <w:r w:rsidRPr="00621901">
        <w:t>In evaluating available mental health data on which to base the Review the NMHC has identified considerable published data on mental health expenditure, facilities and workforce at the jurisdictional level; but note that there is a paucity of data at the sub-jurisdictional level.</w:t>
      </w:r>
    </w:p>
    <w:p w:rsidR="000F1B66" w:rsidRPr="005703DF" w:rsidRDefault="000F1B66" w:rsidP="000F1B66">
      <w:pPr>
        <w:pStyle w:val="Heading2"/>
        <w:numPr>
          <w:ilvl w:val="0"/>
          <w:numId w:val="18"/>
        </w:numPr>
        <w:ind w:left="567"/>
        <w:jc w:val="both"/>
        <w:rPr>
          <w:rFonts w:asciiTheme="minorHAnsi" w:hAnsiTheme="minorHAnsi" w:cstheme="minorHAnsi"/>
        </w:rPr>
      </w:pPr>
      <w:bookmarkStart w:id="4" w:name="_Toc401568518"/>
      <w:bookmarkStart w:id="5" w:name="_Toc403057858"/>
      <w:r w:rsidRPr="00FF69AC">
        <w:t>Current activity</w:t>
      </w:r>
      <w:bookmarkEnd w:id="4"/>
      <w:bookmarkEnd w:id="5"/>
    </w:p>
    <w:p w:rsidR="000F1B66" w:rsidRPr="00621901" w:rsidRDefault="000F1B66" w:rsidP="00CB7CCD">
      <w:pPr>
        <w:pStyle w:val="AIHWbodytext"/>
      </w:pPr>
      <w:r w:rsidRPr="00621901">
        <w:t xml:space="preserve">In light of this identified data gap, the NMHC approached the Mental Health Drug and Alcohol Principal Committee (MHDAPC) to request approval for an ad hoc sub-jurisdictional analysis of the Mental Health Establishments NMDS (MHE NMDS), to be undertaken by the Australian Institute of Health and Welfare (AIHW).  </w:t>
      </w:r>
    </w:p>
    <w:p w:rsidR="000F1B66" w:rsidRPr="00621901" w:rsidRDefault="000F1B66" w:rsidP="00CB7CCD">
      <w:pPr>
        <w:pStyle w:val="AIHWbodytext"/>
      </w:pPr>
      <w:r w:rsidRPr="00621901">
        <w:t xml:space="preserve">In response to this request the MHDAPC established a time limited Data Protocol Working Group (DPWG) to assist the NMHC in formulating a data request for consideration, through MHDAPC, by the Australian Health Ministers’ Advisory Council (AHMAC). </w:t>
      </w:r>
    </w:p>
    <w:p w:rsidR="000F1B66" w:rsidRPr="00621901" w:rsidRDefault="000F1B66" w:rsidP="00CB7CCD">
      <w:pPr>
        <w:pStyle w:val="AIHWbodytext"/>
      </w:pPr>
      <w:r w:rsidRPr="00621901">
        <w:t>An initial draft of the populated data request was circulated to the Mental Health Information Strategy Standing Committee (MHISSC) and the Mental Health, Drug and Alcohol Principal Committee (MHDAPC) for consideration</w:t>
      </w:r>
      <w:r>
        <w:t xml:space="preserve"> and clearance prior to potential provision to the NMHC</w:t>
      </w:r>
      <w:r w:rsidRPr="00621901">
        <w:t xml:space="preserve">. </w:t>
      </w:r>
      <w:proofErr w:type="gramStart"/>
      <w:r w:rsidRPr="00621901">
        <w:t xml:space="preserve">Feedback from </w:t>
      </w:r>
      <w:r w:rsidR="00D27F8A">
        <w:t xml:space="preserve">both </w:t>
      </w:r>
      <w:r w:rsidRPr="00621901">
        <w:t>MHISSC and MHDAPC have</w:t>
      </w:r>
      <w:proofErr w:type="gramEnd"/>
      <w:r w:rsidRPr="00621901">
        <w:t xml:space="preserve"> been incorporated.</w:t>
      </w:r>
      <w:r>
        <w:t xml:space="preserve"> </w:t>
      </w:r>
    </w:p>
    <w:p w:rsidR="000F1B66" w:rsidRDefault="000F1B66" w:rsidP="00CB7CCD">
      <w:pPr>
        <w:pStyle w:val="AIHWbodytext"/>
        <w:rPr>
          <w:color w:val="000000"/>
          <w:lang w:val="en"/>
        </w:rPr>
      </w:pPr>
      <w:r>
        <w:rPr>
          <w:lang w:val="en"/>
        </w:rPr>
        <w:t>S</w:t>
      </w:r>
      <w:r w:rsidR="00DD759E">
        <w:rPr>
          <w:lang w:val="en"/>
        </w:rPr>
        <w:t>even</w:t>
      </w:r>
      <w:r>
        <w:rPr>
          <w:lang w:val="en"/>
        </w:rPr>
        <w:t xml:space="preserve"> jurisdictions</w:t>
      </w:r>
      <w:r w:rsidR="0095684B">
        <w:rPr>
          <w:lang w:val="en"/>
        </w:rPr>
        <w:t xml:space="preserve"> –</w:t>
      </w:r>
      <w:r>
        <w:rPr>
          <w:lang w:val="en"/>
        </w:rPr>
        <w:t xml:space="preserve"> New South Wales, Queensland, Victoria, Western Australia, </w:t>
      </w:r>
      <w:r w:rsidR="00DD759E">
        <w:rPr>
          <w:lang w:val="en"/>
        </w:rPr>
        <w:t xml:space="preserve">South Australia, </w:t>
      </w:r>
      <w:r>
        <w:rPr>
          <w:lang w:val="en"/>
        </w:rPr>
        <w:t xml:space="preserve">Tasmania and the Northern Territory </w:t>
      </w:r>
      <w:r w:rsidR="0095684B">
        <w:rPr>
          <w:lang w:val="en"/>
        </w:rPr>
        <w:t xml:space="preserve">– </w:t>
      </w:r>
      <w:r>
        <w:rPr>
          <w:lang w:val="en"/>
        </w:rPr>
        <w:t xml:space="preserve">approved the provision of </w:t>
      </w:r>
      <w:r w:rsidR="0095684B">
        <w:rPr>
          <w:lang w:val="en"/>
        </w:rPr>
        <w:t>this analysis</w:t>
      </w:r>
      <w:r>
        <w:rPr>
          <w:lang w:val="en"/>
        </w:rPr>
        <w:t xml:space="preserve"> to the NMHC for the purpose of informing</w:t>
      </w:r>
      <w:r w:rsidR="00DD759E">
        <w:rPr>
          <w:lang w:val="en"/>
        </w:rPr>
        <w:t xml:space="preserve"> </w:t>
      </w:r>
      <w:r w:rsidR="0095684B">
        <w:rPr>
          <w:lang w:val="en"/>
        </w:rPr>
        <w:t>t</w:t>
      </w:r>
      <w:r w:rsidR="00DD759E">
        <w:rPr>
          <w:lang w:val="en"/>
        </w:rPr>
        <w:t>he Review. Data from these seven</w:t>
      </w:r>
      <w:r>
        <w:rPr>
          <w:lang w:val="en"/>
        </w:rPr>
        <w:t xml:space="preserve"> jurisdictions are included in </w:t>
      </w:r>
      <w:r w:rsidR="008E4A1C">
        <w:rPr>
          <w:lang w:val="en"/>
        </w:rPr>
        <w:t xml:space="preserve">the main body of </w:t>
      </w:r>
      <w:r>
        <w:rPr>
          <w:lang w:val="en"/>
        </w:rPr>
        <w:t xml:space="preserve">this document. </w:t>
      </w:r>
      <w:r w:rsidR="008E4A1C">
        <w:rPr>
          <w:lang w:val="en"/>
        </w:rPr>
        <w:t xml:space="preserve">Publically available data for the Australian Capital Territory has been collated and included as </w:t>
      </w:r>
      <w:r w:rsidR="00D27F8A">
        <w:rPr>
          <w:lang w:val="en"/>
        </w:rPr>
        <w:t>A</w:t>
      </w:r>
      <w:r w:rsidR="008E4A1C">
        <w:rPr>
          <w:lang w:val="en"/>
        </w:rPr>
        <w:t>ppendix 1.</w:t>
      </w:r>
      <w:r>
        <w:rPr>
          <w:lang w:val="en"/>
        </w:rPr>
        <w:br w:type="page"/>
      </w:r>
    </w:p>
    <w:p w:rsidR="000F1B66" w:rsidRPr="002265C7" w:rsidRDefault="000F1B66" w:rsidP="000F1B66">
      <w:pPr>
        <w:pStyle w:val="Heading2"/>
        <w:numPr>
          <w:ilvl w:val="0"/>
          <w:numId w:val="18"/>
        </w:numPr>
        <w:ind w:left="567"/>
        <w:jc w:val="both"/>
        <w:rPr>
          <w:bCs/>
        </w:rPr>
      </w:pPr>
      <w:bookmarkStart w:id="6" w:name="_Toc401568519"/>
      <w:bookmarkStart w:id="7" w:name="_Toc403057859"/>
      <w:r w:rsidRPr="002265C7">
        <w:rPr>
          <w:bCs/>
        </w:rPr>
        <w:lastRenderedPageBreak/>
        <w:t>Methodology and caveats</w:t>
      </w:r>
      <w:bookmarkEnd w:id="6"/>
      <w:bookmarkEnd w:id="7"/>
      <w:r w:rsidRPr="002265C7">
        <w:rPr>
          <w:bCs/>
        </w:rPr>
        <w:t xml:space="preserve"> </w:t>
      </w:r>
    </w:p>
    <w:p w:rsidR="000F1B66" w:rsidRPr="00A454D0" w:rsidRDefault="000F1B66" w:rsidP="000F1B66">
      <w:pPr>
        <w:pStyle w:val="Heading3"/>
      </w:pPr>
      <w:bookmarkStart w:id="8" w:name="_Toc401568520"/>
      <w:bookmarkStart w:id="9" w:name="_Toc403057860"/>
      <w:r w:rsidRPr="00A454D0">
        <w:t>Specialised mental health services</w:t>
      </w:r>
      <w:bookmarkEnd w:id="8"/>
      <w:bookmarkEnd w:id="9"/>
    </w:p>
    <w:p w:rsidR="000F1B66" w:rsidRPr="00450F41" w:rsidRDefault="000F1B66" w:rsidP="00CB7CCD">
      <w:pPr>
        <w:pStyle w:val="AIHWbodytext"/>
      </w:pPr>
      <w:r w:rsidRPr="00450F41">
        <w:t>Data</w:t>
      </w:r>
      <w:r>
        <w:t xml:space="preserve"> has </w:t>
      </w:r>
      <w:r w:rsidRPr="00450F41">
        <w:t xml:space="preserve">been sourced from the </w:t>
      </w:r>
      <w:r>
        <w:t xml:space="preserve">National Mental Health Establishments Database (NMHED). Jurisdictions supply these data in accordance with the definitions published in the </w:t>
      </w:r>
      <w:r w:rsidRPr="00450F41">
        <w:t>Mental Health Establishments National Minimum Data Set (MHE NMDS)</w:t>
      </w:r>
      <w:r>
        <w:t xml:space="preserve"> (see </w:t>
      </w:r>
      <w:proofErr w:type="spellStart"/>
      <w:r>
        <w:t>METeOR</w:t>
      </w:r>
      <w:proofErr w:type="spellEnd"/>
      <w:r>
        <w:t xml:space="preserve"> ID </w:t>
      </w:r>
      <w:hyperlink r:id="rId17" w:history="1">
        <w:r w:rsidRPr="003E7B5E">
          <w:rPr>
            <w:rStyle w:val="Hyperlink"/>
            <w:rFonts w:cs="Arial"/>
          </w:rPr>
          <w:t>424725</w:t>
        </w:r>
      </w:hyperlink>
      <w:r>
        <w:t xml:space="preserve"> for the 2011–12 definitions)</w:t>
      </w:r>
      <w:r w:rsidRPr="00450F41">
        <w:t>.</w:t>
      </w:r>
      <w:r w:rsidRPr="00450F41">
        <w:rPr>
          <w:rFonts w:ascii="Calibri" w:hAnsi="Calibri"/>
          <w:b/>
          <w:bCs/>
          <w:color w:val="1F497D"/>
        </w:rPr>
        <w:t xml:space="preserve"> </w:t>
      </w:r>
      <w:r w:rsidRPr="00450F41">
        <w:t>The scope of the MHE NMDS includes all specialised mental health services managed or funded, partially or fully, by state or territory health authorities. Specialised mental health services are those with the primary function of providing treatment, rehabilitation or community health support targeted towards people with a mental disorder or psychiatric disability. These activities are delivered from a service or facility that is readily identifiable as both specialised and serving a mental health care function.</w:t>
      </w:r>
    </w:p>
    <w:p w:rsidR="000F1B66" w:rsidRPr="00D54B04" w:rsidRDefault="000F1B66" w:rsidP="00CB7CCD">
      <w:pPr>
        <w:pStyle w:val="Heading3"/>
      </w:pPr>
      <w:r w:rsidRPr="00D54B04">
        <w:t xml:space="preserve">Remoteness </w:t>
      </w:r>
    </w:p>
    <w:p w:rsidR="000F1B66" w:rsidRDefault="000F1B66" w:rsidP="00CB7CCD">
      <w:pPr>
        <w:pStyle w:val="AIHWbodytext"/>
      </w:pPr>
      <w:r>
        <w:t xml:space="preserve">The data presented in the following tables is a measure of the distribution of services and does not reflect the residential location of persons accessing the service. Service access data </w:t>
      </w:r>
      <w:r w:rsidR="0095684B">
        <w:t xml:space="preserve">currently </w:t>
      </w:r>
      <w:r>
        <w:t xml:space="preserve">cannot be linked to MHE NMDS data. The remoteness allocation of a specialised mental health service </w:t>
      </w:r>
      <w:r w:rsidRPr="00450F41">
        <w:t xml:space="preserve">is </w:t>
      </w:r>
      <w:r>
        <w:t xml:space="preserve">reported by jurisdictions </w:t>
      </w:r>
      <w:r w:rsidRPr="00450F41">
        <w:t xml:space="preserve">based on the </w:t>
      </w:r>
      <w:r w:rsidRPr="00450F41">
        <w:rPr>
          <w:b/>
        </w:rPr>
        <w:t>primary location of the service</w:t>
      </w:r>
      <w:r w:rsidRPr="00450F41">
        <w:t>, defined by the</w:t>
      </w:r>
      <w:r>
        <w:t xml:space="preserve"> data element </w:t>
      </w:r>
      <w:r w:rsidRPr="00A454D0">
        <w:rPr>
          <w:i/>
          <w:iCs/>
        </w:rPr>
        <w:t>Geographical Location of Establishment</w:t>
      </w:r>
      <w:r>
        <w:t>. M</w:t>
      </w:r>
      <w:r w:rsidRPr="00A454D0">
        <w:t>ore specifically,</w:t>
      </w:r>
      <w:r>
        <w:t xml:space="preserve"> the</w:t>
      </w:r>
      <w:r w:rsidRPr="00A454D0">
        <w:t xml:space="preserve"> ASGC 2010</w:t>
      </w:r>
      <w:r>
        <w:t xml:space="preserve"> classification</w:t>
      </w:r>
      <w:r w:rsidRPr="00A454D0">
        <w:t xml:space="preserve"> (</w:t>
      </w:r>
      <w:proofErr w:type="spellStart"/>
      <w:r w:rsidRPr="00A454D0">
        <w:t>METeOR</w:t>
      </w:r>
      <w:proofErr w:type="spellEnd"/>
      <w:r w:rsidRPr="00A454D0">
        <w:rPr>
          <w:rStyle w:val="apple-converted-space"/>
          <w:rFonts w:cs="Arial"/>
          <w:color w:val="222222"/>
        </w:rPr>
        <w:t> </w:t>
      </w:r>
      <w:hyperlink r:id="rId18" w:tgtFrame="_blank" w:history="1">
        <w:r w:rsidRPr="00A454D0">
          <w:rPr>
            <w:rStyle w:val="Hyperlink"/>
            <w:rFonts w:cs="Arial"/>
            <w:color w:val="1155CC"/>
          </w:rPr>
          <w:t>413243</w:t>
        </w:r>
      </w:hyperlink>
      <w:r w:rsidRPr="00A454D0">
        <w:t xml:space="preserve">) </w:t>
      </w:r>
      <w:r>
        <w:t xml:space="preserve">was used </w:t>
      </w:r>
      <w:r w:rsidRPr="00A454D0">
        <w:t>for the 2011–12 collection period and ASGC 2006 (</w:t>
      </w:r>
      <w:proofErr w:type="spellStart"/>
      <w:r w:rsidRPr="00A454D0">
        <w:t>METeOR</w:t>
      </w:r>
      <w:proofErr w:type="spellEnd"/>
      <w:r w:rsidRPr="00A454D0">
        <w:rPr>
          <w:rStyle w:val="apple-converted-space"/>
          <w:rFonts w:cs="Arial"/>
          <w:color w:val="222222"/>
        </w:rPr>
        <w:t> </w:t>
      </w:r>
      <w:hyperlink r:id="rId19" w:tgtFrame="_blank" w:history="1">
        <w:r w:rsidRPr="00A454D0">
          <w:rPr>
            <w:rStyle w:val="Hyperlink"/>
            <w:rFonts w:cs="Arial"/>
            <w:color w:val="1155CC"/>
          </w:rPr>
          <w:t>341798</w:t>
        </w:r>
      </w:hyperlink>
      <w:r w:rsidRPr="00A454D0">
        <w:t>)</w:t>
      </w:r>
      <w:r>
        <w:t xml:space="preserve"> </w:t>
      </w:r>
      <w:r w:rsidRPr="00A454D0">
        <w:t xml:space="preserve">for the 2007–08 collection </w:t>
      </w:r>
      <w:proofErr w:type="gramStart"/>
      <w:r w:rsidRPr="00A454D0">
        <w:t>period</w:t>
      </w:r>
      <w:proofErr w:type="gramEnd"/>
      <w:r w:rsidRPr="00A454D0">
        <w:t>. Data for both years was analysed using concordance files mapped to the 2011 population.</w:t>
      </w:r>
    </w:p>
    <w:p w:rsidR="000F1B66" w:rsidRDefault="000F1B66" w:rsidP="00CB7CCD">
      <w:pPr>
        <w:pStyle w:val="AIHWbodytext"/>
      </w:pPr>
      <w:r w:rsidRPr="00C43C90">
        <w:t>The nature of the ASGC location data mean</w:t>
      </w:r>
      <w:r w:rsidR="0095684B">
        <w:t>s</w:t>
      </w:r>
      <w:r w:rsidRPr="00C43C90">
        <w:t xml:space="preserve"> that some</w:t>
      </w:r>
      <w:r>
        <w:t xml:space="preserve"> location</w:t>
      </w:r>
      <w:r w:rsidRPr="00C43C90">
        <w:t xml:space="preserve"> codes map to more than one remoteness category</w:t>
      </w:r>
      <w:r>
        <w:t xml:space="preserve">. Where this was the case, </w:t>
      </w:r>
      <w:r w:rsidRPr="00C43C90">
        <w:t xml:space="preserve">data was apportioned based on the ABS concordance proportions. For example, the code for the Blue Mountains </w:t>
      </w:r>
      <w:r>
        <w:t>maps to</w:t>
      </w:r>
      <w:r w:rsidRPr="00C43C90">
        <w:t xml:space="preserve"> three </w:t>
      </w:r>
      <w:r>
        <w:t xml:space="preserve">remoteness </w:t>
      </w:r>
      <w:r w:rsidRPr="00C43C90">
        <w:t xml:space="preserve">categories as follows: Major cities (88.12%), Inner regional (11.83%) and Outer regional (0.05%). Therefore, </w:t>
      </w:r>
      <w:r>
        <w:t>all data for a service unit with a</w:t>
      </w:r>
      <w:r w:rsidRPr="00C43C90">
        <w:t xml:space="preserve"> Blue Mountains </w:t>
      </w:r>
      <w:r>
        <w:t>ASGC</w:t>
      </w:r>
      <w:r w:rsidRPr="00C43C90">
        <w:t xml:space="preserve"> code would be proportionally allocated to the three remoteness categories.</w:t>
      </w:r>
    </w:p>
    <w:p w:rsidR="000F1B66" w:rsidRPr="002265C7" w:rsidRDefault="000F1B66" w:rsidP="00CB7CCD">
      <w:pPr>
        <w:pStyle w:val="Heading3"/>
      </w:pPr>
      <w:r w:rsidRPr="002265C7">
        <w:t>State-wide services and Rural/remote/regional services</w:t>
      </w:r>
    </w:p>
    <w:p w:rsidR="000F1B66" w:rsidRDefault="000F1B66" w:rsidP="00CB7CCD">
      <w:pPr>
        <w:pStyle w:val="AIHWbodytext"/>
      </w:pPr>
      <w:r w:rsidRPr="00450F41">
        <w:t xml:space="preserve">Some jurisdictions have specialised mental health services, in particular </w:t>
      </w:r>
      <w:r w:rsidR="00D27F8A">
        <w:t xml:space="preserve">those </w:t>
      </w:r>
      <w:r w:rsidRPr="00450F41">
        <w:t xml:space="preserve">hospital </w:t>
      </w:r>
      <w:r w:rsidR="00D27F8A" w:rsidRPr="00450F41">
        <w:t>services that</w:t>
      </w:r>
      <w:r w:rsidRPr="00450F41">
        <w:t xml:space="preserve"> are </w:t>
      </w:r>
      <w:r w:rsidR="00D27F8A">
        <w:t>‘</w:t>
      </w:r>
      <w:r w:rsidRPr="00450F41">
        <w:t>state-wide services</w:t>
      </w:r>
      <w:r w:rsidR="00D27F8A">
        <w:t>’</w:t>
      </w:r>
      <w:r w:rsidRPr="00450F41">
        <w:t xml:space="preserve">, that is, </w:t>
      </w:r>
      <w:r>
        <w:t xml:space="preserve">they </w:t>
      </w:r>
      <w:r w:rsidRPr="00450F41">
        <w:t>are intended for use by patients/consumer</w:t>
      </w:r>
      <w:r w:rsidR="0095684B">
        <w:t>s</w:t>
      </w:r>
      <w:r w:rsidRPr="00450F41">
        <w:t xml:space="preserve"> regardless of</w:t>
      </w:r>
      <w:r>
        <w:t xml:space="preserve"> their usual residential</w:t>
      </w:r>
      <w:r w:rsidRPr="00450F41">
        <w:t xml:space="preserve"> location. Therefore, for some states, the absence of services in a particular remoteness category does not </w:t>
      </w:r>
      <w:r>
        <w:t xml:space="preserve">necessarily </w:t>
      </w:r>
      <w:r w:rsidRPr="00450F41">
        <w:t xml:space="preserve">reflect that services are not available to residents of those remoteness categories. </w:t>
      </w:r>
      <w:r>
        <w:t xml:space="preserve">This issue has been highlighted in the caveats to some of the supplied jurisdictional data. </w:t>
      </w:r>
      <w:r w:rsidRPr="0048454E">
        <w:t>This is also a common issue for rural and remote or regional services where one principal service outlet supplies services to a large geographical area.</w:t>
      </w:r>
    </w:p>
    <w:p w:rsidR="000F1B66" w:rsidRPr="00450F41" w:rsidRDefault="000F1B66" w:rsidP="00CB7CCD">
      <w:pPr>
        <w:pStyle w:val="AIHWbodytext"/>
      </w:pPr>
      <w:r w:rsidRPr="0035324A">
        <w:t>The issue of state</w:t>
      </w:r>
      <w:r>
        <w:t>-</w:t>
      </w:r>
      <w:r w:rsidRPr="0035324A">
        <w:t>wide services was examined closely</w:t>
      </w:r>
      <w:r>
        <w:t xml:space="preserve"> and several options were considered to correct for these effects, including </w:t>
      </w:r>
      <w:r w:rsidRPr="0035324A">
        <w:t>apportioning some specific services pro-rata based on (</w:t>
      </w:r>
      <w:proofErr w:type="spellStart"/>
      <w:r w:rsidRPr="0035324A">
        <w:t>i</w:t>
      </w:r>
      <w:proofErr w:type="spellEnd"/>
      <w:r w:rsidRPr="0035324A">
        <w:t xml:space="preserve">) population distributions or (ii) a data request to states/territories on actual service utilisation. However, </w:t>
      </w:r>
      <w:r>
        <w:t>presenting apportioned data that had</w:t>
      </w:r>
      <w:r w:rsidRPr="0035324A">
        <w:t xml:space="preserve"> been adjusted by assumed or actual access for some service types and in some states only</w:t>
      </w:r>
      <w:r>
        <w:t xml:space="preserve"> was considered to be more misleading than the data in its current form. </w:t>
      </w:r>
    </w:p>
    <w:p w:rsidR="000F1B66" w:rsidRPr="002265C7" w:rsidRDefault="000F1B66" w:rsidP="00CB7CCD">
      <w:pPr>
        <w:pStyle w:val="Heading3"/>
      </w:pPr>
      <w:r w:rsidRPr="002265C7">
        <w:lastRenderedPageBreak/>
        <w:t>Aggregate activity data</w:t>
      </w:r>
    </w:p>
    <w:p w:rsidR="000F1B66" w:rsidRDefault="000F1B66" w:rsidP="00CB7CCD">
      <w:pPr>
        <w:pStyle w:val="AIHWbodytext"/>
      </w:pPr>
      <w:r w:rsidRPr="004139D9">
        <w:t>Aggregat</w:t>
      </w:r>
      <w:r>
        <w:t xml:space="preserve">e service type </w:t>
      </w:r>
      <w:r w:rsidRPr="004139D9">
        <w:t xml:space="preserve">activity data </w:t>
      </w:r>
      <w:r>
        <w:t xml:space="preserve">are supplied by jurisdictions for a range of purposes in accord with </w:t>
      </w:r>
      <w:r w:rsidRPr="004139D9">
        <w:t xml:space="preserve">the </w:t>
      </w:r>
      <w:r>
        <w:t xml:space="preserve">definitions of the </w:t>
      </w:r>
      <w:r w:rsidRPr="004139D9">
        <w:t xml:space="preserve">MHE NMDS. </w:t>
      </w:r>
      <w:r>
        <w:t>Data are used to calculate a variety of measures, for example, average patient day cost. The aggregate patient level activity data included in the data tables are all sourced from the NMHED. The following technical information highlights the potential limitations of this data source.</w:t>
      </w:r>
    </w:p>
    <w:p w:rsidR="000F1B66" w:rsidRPr="005B59A9" w:rsidRDefault="000F1B66" w:rsidP="00D27F8A">
      <w:pPr>
        <w:pStyle w:val="Bullet1"/>
        <w:rPr>
          <w:rFonts w:ascii="Arial" w:hAnsi="Arial"/>
          <w:sz w:val="20"/>
        </w:rPr>
      </w:pPr>
      <w:r w:rsidRPr="005B59A9">
        <w:t xml:space="preserve">Accrued mental health care days for </w:t>
      </w:r>
      <w:r w:rsidRPr="005B59A9">
        <w:rPr>
          <w:i/>
        </w:rPr>
        <w:t>Public hospital services</w:t>
      </w:r>
      <w:r w:rsidRPr="005B59A9">
        <w:t xml:space="preserve"> are limited to the number of care days provided by specialised mental health care services, that is, psychiatric hospitals and specialised psychiatric wards/units in public acute hospitals. The data will not equal figures reported from the </w:t>
      </w:r>
      <w:r w:rsidRPr="005B59A9">
        <w:rPr>
          <w:i/>
        </w:rPr>
        <w:t>National hospital morbidity database</w:t>
      </w:r>
      <w:r w:rsidRPr="005B59A9">
        <w:t xml:space="preserve"> due to scope </w:t>
      </w:r>
      <w:r>
        <w:t xml:space="preserve">differences </w:t>
      </w:r>
      <w:r w:rsidRPr="005B59A9">
        <w:t xml:space="preserve">between the two collections.  </w:t>
      </w:r>
    </w:p>
    <w:p w:rsidR="000F1B66" w:rsidRDefault="000F1B66" w:rsidP="00D27F8A">
      <w:pPr>
        <w:pStyle w:val="Bullet1"/>
      </w:pPr>
      <w:r w:rsidRPr="005B59A9">
        <w:t>Accrued mental health care days for</w:t>
      </w:r>
      <w:r>
        <w:t xml:space="preserve"> </w:t>
      </w:r>
      <w:r w:rsidRPr="005B59A9">
        <w:rPr>
          <w:i/>
        </w:rPr>
        <w:t>Residential mental health services</w:t>
      </w:r>
      <w:r w:rsidRPr="005B59A9">
        <w:t xml:space="preserve"> comprises</w:t>
      </w:r>
      <w:r>
        <w:t xml:space="preserve"> the number of care days provided by all services, including government and non-government operated services, and 24-hour and non-24-hour staffed services. Therefore, the figures presented will not equate to those reported from </w:t>
      </w:r>
      <w:r w:rsidRPr="0060499E">
        <w:t xml:space="preserve">the </w:t>
      </w:r>
      <w:r w:rsidRPr="0060499E">
        <w:rPr>
          <w:i/>
        </w:rPr>
        <w:t xml:space="preserve">Residential mental health care database </w:t>
      </w:r>
      <w:r>
        <w:t>due to differing collection scopes.</w:t>
      </w:r>
    </w:p>
    <w:p w:rsidR="000F1B66" w:rsidRDefault="000F1B66" w:rsidP="00D27F8A">
      <w:pPr>
        <w:pStyle w:val="Bullet1"/>
      </w:pPr>
      <w:r>
        <w:t>Community mental health care contacts are the total number of contacts provided by specialised mental health care community (ambulatory) services, as defined by the MHE NMDS. Therefore, figures will not equate to those reported from the</w:t>
      </w:r>
      <w:r w:rsidRPr="0060499E">
        <w:rPr>
          <w:i/>
        </w:rPr>
        <w:t xml:space="preserve"> Community mental health care database</w:t>
      </w:r>
      <w:r>
        <w:t xml:space="preserve"> due to differing scope. </w:t>
      </w:r>
    </w:p>
    <w:p w:rsidR="000F1B66" w:rsidRDefault="000F1B66" w:rsidP="00CB7CCD">
      <w:pPr>
        <w:pStyle w:val="AIHWbodytext"/>
      </w:pPr>
      <w:r w:rsidRPr="0060499E">
        <w:t xml:space="preserve">The </w:t>
      </w:r>
      <w:r w:rsidRPr="0060499E">
        <w:rPr>
          <w:i/>
        </w:rPr>
        <w:t>number of separations</w:t>
      </w:r>
      <w:r w:rsidRPr="0060499E">
        <w:t xml:space="preserve"> </w:t>
      </w:r>
      <w:r>
        <w:t xml:space="preserve">for public hospital services and </w:t>
      </w:r>
      <w:r w:rsidRPr="005B59A9">
        <w:rPr>
          <w:i/>
        </w:rPr>
        <w:t>number of residential</w:t>
      </w:r>
      <w:r w:rsidRPr="0060499E">
        <w:rPr>
          <w:i/>
        </w:rPr>
        <w:t xml:space="preserve"> episodes</w:t>
      </w:r>
      <w:r w:rsidRPr="0060499E">
        <w:t xml:space="preserve"> undergo limited</w:t>
      </w:r>
      <w:r>
        <w:t xml:space="preserve"> scrutiny during the data validation process</w:t>
      </w:r>
      <w:r w:rsidRPr="0060499E">
        <w:t>. Therefore, these data have not been included as part of this data supply as the quality of this data is unclear.</w:t>
      </w:r>
    </w:p>
    <w:p w:rsidR="000F1B66" w:rsidRDefault="000F1B66" w:rsidP="00CB7CCD">
      <w:pPr>
        <w:pStyle w:val="AIHWbodytext"/>
      </w:pPr>
      <w:r w:rsidRPr="00450F41">
        <w:t xml:space="preserve">The </w:t>
      </w:r>
      <w:r>
        <w:t xml:space="preserve">NMHED </w:t>
      </w:r>
      <w:r w:rsidRPr="00450F41">
        <w:t xml:space="preserve">does not permit an analysis </w:t>
      </w:r>
      <w:r>
        <w:t xml:space="preserve">of patient level activity </w:t>
      </w:r>
      <w:r w:rsidRPr="00450F41">
        <w:t xml:space="preserve">based on </w:t>
      </w:r>
      <w:r>
        <w:t xml:space="preserve">the </w:t>
      </w:r>
      <w:r w:rsidRPr="00450F41">
        <w:t xml:space="preserve">usual residence of </w:t>
      </w:r>
      <w:r>
        <w:t>the patient/consumer</w:t>
      </w:r>
      <w:r w:rsidRPr="00450F41">
        <w:t xml:space="preserve">. </w:t>
      </w:r>
      <w:r>
        <w:t>Patient level activity data collections</w:t>
      </w:r>
      <w:r w:rsidRPr="00A454D0">
        <w:t xml:space="preserve"> </w:t>
      </w:r>
      <w:r>
        <w:t xml:space="preserve">provide a more accurate insight into the normal area of residence of people accessing specialised mental health care services. </w:t>
      </w:r>
    </w:p>
    <w:p w:rsidR="000F1B66" w:rsidRPr="002265C7" w:rsidRDefault="000F1B66" w:rsidP="00CB7CCD">
      <w:pPr>
        <w:pStyle w:val="Heading3"/>
      </w:pPr>
      <w:r w:rsidRPr="002265C7">
        <w:t>Full-time-equivalent (FTE) staff figures</w:t>
      </w:r>
    </w:p>
    <w:p w:rsidR="000F1B66" w:rsidRDefault="000F1B66" w:rsidP="00CB7CCD">
      <w:pPr>
        <w:pStyle w:val="AIHWbodytext"/>
      </w:pPr>
      <w:r w:rsidRPr="00D9038D">
        <w:t xml:space="preserve">FTE staff figures are not collected at the same level as the location data. Staff </w:t>
      </w:r>
      <w:r w:rsidR="00D27F8A">
        <w:t xml:space="preserve">numbers </w:t>
      </w:r>
      <w:r w:rsidRPr="00D9038D">
        <w:t>are reported across the specialised mental health service organisation, which may have one or more hospitals and/or residential services and/or community mental health care services. Therefore, an apportioning methodology was used to approximate the number of staff working at each geographical location.</w:t>
      </w:r>
      <w:r>
        <w:t xml:space="preserve"> FTE was apportioned across remoteness categories based on the proportion of the organisation that was assigned to each remoteness area. </w:t>
      </w:r>
      <w:r w:rsidRPr="00D9038D">
        <w:t xml:space="preserve"> </w:t>
      </w:r>
    </w:p>
    <w:p w:rsidR="000F1B66" w:rsidRPr="002265C7" w:rsidRDefault="000F1B66" w:rsidP="00CB7CCD">
      <w:pPr>
        <w:pStyle w:val="Heading3"/>
      </w:pPr>
      <w:r w:rsidRPr="002265C7">
        <w:t>Aggregation of data</w:t>
      </w:r>
    </w:p>
    <w:p w:rsidR="000F1B66" w:rsidRDefault="000F1B66" w:rsidP="00CB7CCD">
      <w:pPr>
        <w:pStyle w:val="AIHWbodytext"/>
      </w:pPr>
      <w:r>
        <w:t>The data presented for this ad hoc data request has not been aggregated or supressed with the exception where a state-wide result consisted of a remo</w:t>
      </w:r>
      <w:r w:rsidR="0095684B">
        <w:t>teness category with less than one</w:t>
      </w:r>
      <w:r>
        <w:t> hospital bed.  Where this occurred</w:t>
      </w:r>
      <w:r w:rsidR="00D27F8A">
        <w:t>,</w:t>
      </w:r>
      <w:r>
        <w:t xml:space="preserve"> </w:t>
      </w:r>
      <w:r w:rsidR="00D27F8A">
        <w:t xml:space="preserve">the </w:t>
      </w:r>
      <w:r>
        <w:t xml:space="preserve">remoteness categories were combined to assist in interpretation of these data and tables for footnoted accordingly.  </w:t>
      </w:r>
    </w:p>
    <w:p w:rsidR="000F1B66" w:rsidRPr="00887F00" w:rsidRDefault="000F1B66" w:rsidP="00CB7CCD">
      <w:pPr>
        <w:pStyle w:val="AIHWbodytext"/>
        <w:rPr>
          <w:szCs w:val="22"/>
        </w:rPr>
      </w:pPr>
      <w:r w:rsidRPr="00887F00">
        <w:rPr>
          <w:szCs w:val="22"/>
        </w:rPr>
        <w:t xml:space="preserve">When reviewing these data jurisdictions may request </w:t>
      </w:r>
      <w:r>
        <w:rPr>
          <w:szCs w:val="22"/>
        </w:rPr>
        <w:t xml:space="preserve">additional </w:t>
      </w:r>
      <w:r w:rsidRPr="00887F00">
        <w:rPr>
          <w:szCs w:val="22"/>
        </w:rPr>
        <w:t xml:space="preserve">aggregation or suppression </w:t>
      </w:r>
      <w:r>
        <w:rPr>
          <w:szCs w:val="22"/>
        </w:rPr>
        <w:t>due to data sensitivities</w:t>
      </w:r>
      <w:r w:rsidRPr="00887F00">
        <w:rPr>
          <w:szCs w:val="22"/>
        </w:rPr>
        <w:t>.</w:t>
      </w:r>
    </w:p>
    <w:p w:rsidR="000F1B66" w:rsidRPr="002265C7" w:rsidRDefault="000F1B66" w:rsidP="00CB7CCD">
      <w:pPr>
        <w:pStyle w:val="Heading3"/>
      </w:pPr>
      <w:r w:rsidRPr="002265C7">
        <w:lastRenderedPageBreak/>
        <w:t>Constant prices</w:t>
      </w:r>
    </w:p>
    <w:p w:rsidR="000F1B66" w:rsidRDefault="000F1B66" w:rsidP="00CB7CCD">
      <w:pPr>
        <w:pStyle w:val="AIHWbodytext"/>
      </w:pPr>
      <w:r w:rsidRPr="00162CDF">
        <w:t xml:space="preserve">Expenditure aggregates in this report are expressed in </w:t>
      </w:r>
      <w:r>
        <w:t xml:space="preserve">current prices and/or </w:t>
      </w:r>
      <w:r w:rsidRPr="00162CDF">
        <w:t xml:space="preserve">constant prices. The transformation of current prices to constant prices is termed ‘deflation’, using price indexes or ‘deflators’. There are a variety of deflators that can be used to translate current prices into constant prices. The deflators that were used by AIHW for the various </w:t>
      </w:r>
      <w:r>
        <w:t xml:space="preserve">expenditure items </w:t>
      </w:r>
      <w:r w:rsidRPr="00162CDF">
        <w:t xml:space="preserve">are outlined in the table below. For further information on the methodology used to calculate deflators, refer to </w:t>
      </w:r>
      <w:r>
        <w:t xml:space="preserve">the </w:t>
      </w:r>
      <w:hyperlink r:id="rId20" w:history="1">
        <w:r w:rsidRPr="008F5E9A">
          <w:rPr>
            <w:rStyle w:val="Hyperlink"/>
            <w:rFonts w:cs="Arial"/>
          </w:rPr>
          <w:t>technical notes</w:t>
        </w:r>
      </w:hyperlink>
      <w:r>
        <w:t xml:space="preserve"> of </w:t>
      </w:r>
      <w:proofErr w:type="gramStart"/>
      <w:r w:rsidRPr="008F5E9A">
        <w:rPr>
          <w:i/>
        </w:rPr>
        <w:t>Mental</w:t>
      </w:r>
      <w:proofErr w:type="gramEnd"/>
      <w:r w:rsidRPr="008F5E9A">
        <w:rPr>
          <w:i/>
        </w:rPr>
        <w:t xml:space="preserve"> health services in Australia</w:t>
      </w:r>
      <w:r>
        <w:t>, or</w:t>
      </w:r>
      <w:r w:rsidRPr="008F5E9A">
        <w:t xml:space="preserve"> </w:t>
      </w:r>
      <w:r w:rsidRPr="00162CDF">
        <w:t>Health expenditure Australia 2010–11 (AIHW 2012).</w:t>
      </w:r>
    </w:p>
    <w:p w:rsidR="000F1B66" w:rsidRPr="00CB7CCD" w:rsidRDefault="000F1B66" w:rsidP="000F1B66">
      <w:pPr>
        <w:spacing w:before="0" w:after="0" w:line="276" w:lineRule="auto"/>
        <w:rPr>
          <w:rStyle w:val="table-note"/>
          <w:b/>
          <w:sz w:val="20"/>
        </w:rPr>
      </w:pPr>
      <w:r w:rsidRPr="00CB7CCD">
        <w:rPr>
          <w:rStyle w:val="table-note"/>
          <w:b/>
          <w:sz w:val="20"/>
        </w:rPr>
        <w:t>Table 1: Area of health expenditure, by type of deflator applied.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Caption w:val="Area of health expenditure, by type of deflator applied."/>
        <w:tblDescription w:val="The 2011–12 expenditure data is presented in current prices, that is, no deflator was applied to the data. The 2007–08 expenditure data has been deflated to the 2011–12 data to permit valid comparisons between the two time points. "/>
      </w:tblPr>
      <w:tblGrid>
        <w:gridCol w:w="4643"/>
        <w:gridCol w:w="4571"/>
      </w:tblGrid>
      <w:tr w:rsidR="000F1B66" w:rsidRPr="008F5E9A" w:rsidTr="000C3DEA">
        <w:trPr>
          <w:tblHeade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E3E5E6"/>
            <w:tcMar>
              <w:top w:w="57" w:type="dxa"/>
              <w:left w:w="57" w:type="dxa"/>
              <w:bottom w:w="57" w:type="dxa"/>
              <w:right w:w="57" w:type="dxa"/>
            </w:tcMar>
            <w:hideMark/>
          </w:tcPr>
          <w:p w:rsidR="000F1B66" w:rsidRPr="00D27F8A" w:rsidRDefault="000F1B66" w:rsidP="00987128">
            <w:pPr>
              <w:spacing w:before="0" w:after="0" w:line="240" w:lineRule="auto"/>
              <w:rPr>
                <w:rFonts w:ascii="Arial" w:hAnsi="Arial" w:cs="Arial"/>
                <w:b/>
                <w:spacing w:val="-6"/>
                <w:sz w:val="16"/>
                <w:szCs w:val="16"/>
              </w:rPr>
            </w:pPr>
            <w:r w:rsidRPr="00D27F8A">
              <w:rPr>
                <w:rFonts w:ascii="Arial" w:hAnsi="Arial" w:cs="Arial"/>
                <w:b/>
                <w:spacing w:val="-6"/>
                <w:sz w:val="16"/>
                <w:szCs w:val="16"/>
              </w:rPr>
              <w:t>Area of expenditure </w:t>
            </w:r>
          </w:p>
        </w:tc>
        <w:tc>
          <w:tcPr>
            <w:tcW w:w="0" w:type="auto"/>
            <w:tcBorders>
              <w:top w:val="outset" w:sz="6" w:space="0" w:color="auto"/>
              <w:left w:val="outset" w:sz="6" w:space="0" w:color="auto"/>
              <w:bottom w:val="outset" w:sz="6" w:space="0" w:color="auto"/>
              <w:right w:val="outset" w:sz="6" w:space="0" w:color="auto"/>
            </w:tcBorders>
            <w:shd w:val="clear" w:color="auto" w:fill="E3E5E6"/>
            <w:tcMar>
              <w:top w:w="57" w:type="dxa"/>
              <w:left w:w="57" w:type="dxa"/>
              <w:bottom w:w="57" w:type="dxa"/>
              <w:right w:w="57" w:type="dxa"/>
            </w:tcMar>
            <w:hideMark/>
          </w:tcPr>
          <w:p w:rsidR="000F1B66" w:rsidRPr="00D27F8A" w:rsidRDefault="000F1B66" w:rsidP="00987128">
            <w:pPr>
              <w:spacing w:before="0" w:after="0" w:line="240" w:lineRule="auto"/>
              <w:rPr>
                <w:rFonts w:ascii="Arial" w:hAnsi="Arial" w:cs="Arial"/>
                <w:b/>
                <w:spacing w:val="-6"/>
                <w:sz w:val="16"/>
                <w:szCs w:val="16"/>
              </w:rPr>
            </w:pPr>
            <w:r w:rsidRPr="00D27F8A">
              <w:rPr>
                <w:rFonts w:ascii="Arial" w:hAnsi="Arial" w:cs="Arial"/>
                <w:b/>
                <w:spacing w:val="-6"/>
                <w:sz w:val="16"/>
                <w:szCs w:val="16"/>
              </w:rPr>
              <w:t>Deflator applied </w:t>
            </w:r>
          </w:p>
        </w:tc>
      </w:tr>
      <w:tr w:rsidR="000F1B66" w:rsidRPr="008F5E9A" w:rsidTr="00987128">
        <w:trPr>
          <w:tblCellSpacing w:w="0" w:type="dxa"/>
        </w:trPr>
        <w:tc>
          <w:tcPr>
            <w:tcW w:w="0" w:type="auto"/>
            <w:tcBorders>
              <w:top w:val="outset" w:sz="6" w:space="0" w:color="auto"/>
              <w:left w:val="outset" w:sz="6" w:space="0" w:color="auto"/>
              <w:bottom w:val="outset" w:sz="6" w:space="0" w:color="auto"/>
              <w:right w:val="outset" w:sz="6" w:space="0" w:color="auto"/>
            </w:tcBorders>
            <w:tcMar>
              <w:top w:w="57" w:type="dxa"/>
              <w:left w:w="57" w:type="dxa"/>
              <w:bottom w:w="57" w:type="dxa"/>
              <w:right w:w="57" w:type="dxa"/>
            </w:tcMar>
            <w:hideMark/>
          </w:tcPr>
          <w:p w:rsidR="000F1B66" w:rsidRPr="00D27F8A" w:rsidRDefault="000F1B66" w:rsidP="00987128">
            <w:pPr>
              <w:spacing w:before="0" w:after="0" w:line="240" w:lineRule="auto"/>
              <w:rPr>
                <w:rFonts w:ascii="Arial" w:hAnsi="Arial" w:cs="Arial"/>
                <w:spacing w:val="-6"/>
                <w:sz w:val="16"/>
                <w:szCs w:val="16"/>
              </w:rPr>
            </w:pPr>
            <w:r w:rsidRPr="00D27F8A">
              <w:rPr>
                <w:rFonts w:ascii="Arial" w:hAnsi="Arial" w:cs="Arial"/>
                <w:spacing w:val="-6"/>
                <w:sz w:val="16"/>
                <w:szCs w:val="16"/>
              </w:rPr>
              <w:t>Public psychiatric hospitals/acute hospitals with a specialised psychiatric unit or ward</w:t>
            </w:r>
          </w:p>
        </w:tc>
        <w:tc>
          <w:tcPr>
            <w:tcW w:w="0" w:type="auto"/>
            <w:tcBorders>
              <w:top w:val="outset" w:sz="6" w:space="0" w:color="auto"/>
              <w:left w:val="outset" w:sz="6" w:space="0" w:color="auto"/>
              <w:bottom w:val="outset" w:sz="6" w:space="0" w:color="auto"/>
              <w:right w:val="outset" w:sz="6" w:space="0" w:color="auto"/>
            </w:tcBorders>
            <w:tcMar>
              <w:top w:w="57" w:type="dxa"/>
              <w:left w:w="57" w:type="dxa"/>
              <w:bottom w:w="57" w:type="dxa"/>
              <w:right w:w="57" w:type="dxa"/>
            </w:tcMar>
            <w:hideMark/>
          </w:tcPr>
          <w:p w:rsidR="000F1B66" w:rsidRPr="00D27F8A" w:rsidRDefault="000F1B66" w:rsidP="00987128">
            <w:pPr>
              <w:spacing w:before="0" w:after="0" w:line="240" w:lineRule="auto"/>
              <w:rPr>
                <w:rFonts w:ascii="Arial" w:hAnsi="Arial" w:cs="Arial"/>
                <w:spacing w:val="-6"/>
                <w:sz w:val="16"/>
                <w:szCs w:val="16"/>
              </w:rPr>
            </w:pPr>
            <w:r w:rsidRPr="00D27F8A">
              <w:rPr>
                <w:rFonts w:ascii="Arial" w:hAnsi="Arial" w:cs="Arial"/>
                <w:spacing w:val="-6"/>
                <w:sz w:val="16"/>
                <w:szCs w:val="16"/>
              </w:rPr>
              <w:t>Government final consumption expenditure (GFCE) hospitals and nursing homes</w:t>
            </w:r>
            <w:r w:rsidRPr="00D27F8A">
              <w:rPr>
                <w:rFonts w:ascii="Arial" w:hAnsi="Arial" w:cs="Arial"/>
                <w:spacing w:val="-6"/>
                <w:sz w:val="16"/>
                <w:szCs w:val="16"/>
                <w:vertAlign w:val="superscript"/>
              </w:rPr>
              <w:t>(a)</w:t>
            </w:r>
            <w:r w:rsidRPr="00D27F8A">
              <w:rPr>
                <w:rFonts w:ascii="Arial" w:hAnsi="Arial" w:cs="Arial"/>
                <w:spacing w:val="-6"/>
                <w:sz w:val="16"/>
                <w:szCs w:val="16"/>
              </w:rPr>
              <w:t> </w:t>
            </w:r>
          </w:p>
        </w:tc>
      </w:tr>
      <w:tr w:rsidR="000F1B66" w:rsidRPr="008F5E9A" w:rsidTr="00987128">
        <w:trPr>
          <w:tblCellSpacing w:w="0" w:type="dxa"/>
        </w:trPr>
        <w:tc>
          <w:tcPr>
            <w:tcW w:w="0" w:type="auto"/>
            <w:tcBorders>
              <w:top w:val="outset" w:sz="6" w:space="0" w:color="auto"/>
              <w:left w:val="outset" w:sz="6" w:space="0" w:color="auto"/>
              <w:bottom w:val="outset" w:sz="6" w:space="0" w:color="auto"/>
              <w:right w:val="outset" w:sz="6" w:space="0" w:color="auto"/>
            </w:tcBorders>
            <w:tcMar>
              <w:top w:w="57" w:type="dxa"/>
              <w:left w:w="57" w:type="dxa"/>
              <w:bottom w:w="57" w:type="dxa"/>
              <w:right w:w="57" w:type="dxa"/>
            </w:tcMar>
            <w:hideMark/>
          </w:tcPr>
          <w:p w:rsidR="000F1B66" w:rsidRPr="00D27F8A" w:rsidRDefault="000F1B66" w:rsidP="00987128">
            <w:pPr>
              <w:spacing w:before="0" w:after="0" w:line="240" w:lineRule="auto"/>
              <w:rPr>
                <w:rFonts w:ascii="Arial" w:hAnsi="Arial" w:cs="Arial"/>
                <w:spacing w:val="-6"/>
                <w:sz w:val="16"/>
                <w:szCs w:val="16"/>
              </w:rPr>
            </w:pPr>
            <w:r w:rsidRPr="00D27F8A">
              <w:rPr>
                <w:rFonts w:ascii="Arial" w:hAnsi="Arial" w:cs="Arial"/>
                <w:spacing w:val="-6"/>
                <w:sz w:val="16"/>
                <w:szCs w:val="16"/>
              </w:rPr>
              <w:t>Community mental health care services</w:t>
            </w:r>
          </w:p>
        </w:tc>
        <w:tc>
          <w:tcPr>
            <w:tcW w:w="0" w:type="auto"/>
            <w:tcBorders>
              <w:top w:val="outset" w:sz="6" w:space="0" w:color="auto"/>
              <w:left w:val="outset" w:sz="6" w:space="0" w:color="auto"/>
              <w:bottom w:val="outset" w:sz="6" w:space="0" w:color="auto"/>
              <w:right w:val="outset" w:sz="6" w:space="0" w:color="auto"/>
            </w:tcBorders>
            <w:tcMar>
              <w:top w:w="57" w:type="dxa"/>
              <w:left w:w="57" w:type="dxa"/>
              <w:bottom w:w="57" w:type="dxa"/>
              <w:right w:w="57" w:type="dxa"/>
            </w:tcMar>
            <w:hideMark/>
          </w:tcPr>
          <w:p w:rsidR="000F1B66" w:rsidRPr="00D27F8A" w:rsidRDefault="000F1B66" w:rsidP="00987128">
            <w:pPr>
              <w:spacing w:before="0" w:after="0" w:line="240" w:lineRule="auto"/>
              <w:rPr>
                <w:rFonts w:ascii="Arial" w:hAnsi="Arial" w:cs="Arial"/>
                <w:spacing w:val="-6"/>
                <w:sz w:val="16"/>
                <w:szCs w:val="16"/>
              </w:rPr>
            </w:pPr>
            <w:r w:rsidRPr="00D27F8A">
              <w:rPr>
                <w:rFonts w:ascii="Arial" w:hAnsi="Arial" w:cs="Arial"/>
                <w:spacing w:val="-6"/>
                <w:sz w:val="16"/>
                <w:szCs w:val="16"/>
              </w:rPr>
              <w:t>Professional health workers wage rate index</w:t>
            </w:r>
          </w:p>
        </w:tc>
      </w:tr>
      <w:tr w:rsidR="000F1B66" w:rsidRPr="008F5E9A" w:rsidTr="00987128">
        <w:trPr>
          <w:tblCellSpacing w:w="0" w:type="dxa"/>
        </w:trPr>
        <w:tc>
          <w:tcPr>
            <w:tcW w:w="0" w:type="auto"/>
            <w:tcBorders>
              <w:top w:val="outset" w:sz="6" w:space="0" w:color="auto"/>
              <w:left w:val="outset" w:sz="6" w:space="0" w:color="auto"/>
              <w:bottom w:val="outset" w:sz="6" w:space="0" w:color="auto"/>
              <w:right w:val="outset" w:sz="6" w:space="0" w:color="auto"/>
            </w:tcBorders>
            <w:tcMar>
              <w:top w:w="57" w:type="dxa"/>
              <w:left w:w="57" w:type="dxa"/>
              <w:bottom w:w="57" w:type="dxa"/>
              <w:right w:w="57" w:type="dxa"/>
            </w:tcMar>
            <w:hideMark/>
          </w:tcPr>
          <w:p w:rsidR="000F1B66" w:rsidRPr="00D27F8A" w:rsidRDefault="000F1B66" w:rsidP="00987128">
            <w:pPr>
              <w:spacing w:before="0" w:after="0" w:line="240" w:lineRule="auto"/>
              <w:rPr>
                <w:rFonts w:ascii="Arial" w:hAnsi="Arial" w:cs="Arial"/>
                <w:spacing w:val="-6"/>
                <w:sz w:val="16"/>
                <w:szCs w:val="16"/>
              </w:rPr>
            </w:pPr>
            <w:r w:rsidRPr="00D27F8A">
              <w:rPr>
                <w:rFonts w:ascii="Arial" w:hAnsi="Arial" w:cs="Arial"/>
                <w:spacing w:val="-6"/>
                <w:sz w:val="16"/>
                <w:szCs w:val="16"/>
              </w:rPr>
              <w:t>Residential mental health services</w:t>
            </w:r>
          </w:p>
        </w:tc>
        <w:tc>
          <w:tcPr>
            <w:tcW w:w="0" w:type="auto"/>
            <w:tcBorders>
              <w:top w:val="outset" w:sz="6" w:space="0" w:color="auto"/>
              <w:left w:val="outset" w:sz="6" w:space="0" w:color="auto"/>
              <w:bottom w:val="outset" w:sz="6" w:space="0" w:color="auto"/>
              <w:right w:val="outset" w:sz="6" w:space="0" w:color="auto"/>
            </w:tcBorders>
            <w:tcMar>
              <w:top w:w="57" w:type="dxa"/>
              <w:left w:w="57" w:type="dxa"/>
              <w:bottom w:w="57" w:type="dxa"/>
              <w:right w:w="57" w:type="dxa"/>
            </w:tcMar>
            <w:hideMark/>
          </w:tcPr>
          <w:p w:rsidR="000F1B66" w:rsidRPr="00D27F8A" w:rsidRDefault="000F1B66" w:rsidP="00987128">
            <w:pPr>
              <w:spacing w:before="0" w:after="0" w:line="240" w:lineRule="auto"/>
              <w:rPr>
                <w:rFonts w:ascii="Arial" w:hAnsi="Arial" w:cs="Arial"/>
                <w:spacing w:val="-6"/>
                <w:sz w:val="16"/>
                <w:szCs w:val="16"/>
              </w:rPr>
            </w:pPr>
            <w:r w:rsidRPr="00D27F8A">
              <w:rPr>
                <w:rFonts w:ascii="Arial" w:hAnsi="Arial" w:cs="Arial"/>
                <w:spacing w:val="-6"/>
                <w:sz w:val="16"/>
                <w:szCs w:val="16"/>
              </w:rPr>
              <w:t>Professional health workers wage rate index</w:t>
            </w:r>
          </w:p>
        </w:tc>
      </w:tr>
      <w:tr w:rsidR="000F1B66" w:rsidRPr="008F5E9A" w:rsidTr="00987128">
        <w:trPr>
          <w:tblCellSpacing w:w="0" w:type="dxa"/>
        </w:trPr>
        <w:tc>
          <w:tcPr>
            <w:tcW w:w="0" w:type="auto"/>
            <w:tcBorders>
              <w:top w:val="outset" w:sz="6" w:space="0" w:color="auto"/>
              <w:left w:val="outset" w:sz="6" w:space="0" w:color="auto"/>
              <w:bottom w:val="outset" w:sz="6" w:space="0" w:color="auto"/>
              <w:right w:val="outset" w:sz="6" w:space="0" w:color="auto"/>
            </w:tcBorders>
            <w:tcMar>
              <w:top w:w="57" w:type="dxa"/>
              <w:left w:w="57" w:type="dxa"/>
              <w:bottom w:w="57" w:type="dxa"/>
              <w:right w:w="57" w:type="dxa"/>
            </w:tcMar>
            <w:hideMark/>
          </w:tcPr>
          <w:p w:rsidR="000F1B66" w:rsidRPr="00D27F8A" w:rsidRDefault="000F1B66" w:rsidP="00987128">
            <w:pPr>
              <w:spacing w:before="0" w:after="0" w:line="240" w:lineRule="auto"/>
              <w:rPr>
                <w:rFonts w:ascii="Arial" w:hAnsi="Arial" w:cs="Arial"/>
                <w:spacing w:val="-6"/>
                <w:sz w:val="16"/>
                <w:szCs w:val="16"/>
              </w:rPr>
            </w:pPr>
            <w:r w:rsidRPr="00D27F8A">
              <w:rPr>
                <w:rFonts w:ascii="Arial" w:hAnsi="Arial" w:cs="Arial"/>
                <w:spacing w:val="-6"/>
                <w:sz w:val="16"/>
                <w:szCs w:val="16"/>
              </w:rPr>
              <w:t>Expenditure on specialised mental health services</w:t>
            </w:r>
          </w:p>
        </w:tc>
        <w:tc>
          <w:tcPr>
            <w:tcW w:w="0" w:type="auto"/>
            <w:tcBorders>
              <w:top w:val="outset" w:sz="6" w:space="0" w:color="auto"/>
              <w:left w:val="outset" w:sz="6" w:space="0" w:color="auto"/>
              <w:bottom w:val="outset" w:sz="6" w:space="0" w:color="auto"/>
              <w:right w:val="outset" w:sz="6" w:space="0" w:color="auto"/>
            </w:tcBorders>
            <w:tcMar>
              <w:top w:w="57" w:type="dxa"/>
              <w:left w:w="57" w:type="dxa"/>
              <w:bottom w:w="57" w:type="dxa"/>
              <w:right w:w="57" w:type="dxa"/>
            </w:tcMar>
            <w:hideMark/>
          </w:tcPr>
          <w:p w:rsidR="000F1B66" w:rsidRPr="00D27F8A" w:rsidRDefault="000F1B66" w:rsidP="00987128">
            <w:pPr>
              <w:spacing w:before="0" w:after="0" w:line="240" w:lineRule="auto"/>
              <w:rPr>
                <w:rFonts w:ascii="Arial" w:hAnsi="Arial" w:cs="Arial"/>
                <w:spacing w:val="-6"/>
                <w:sz w:val="16"/>
                <w:szCs w:val="16"/>
              </w:rPr>
            </w:pPr>
            <w:r w:rsidRPr="00D27F8A">
              <w:rPr>
                <w:rFonts w:ascii="Arial" w:hAnsi="Arial" w:cs="Arial"/>
                <w:spacing w:val="-6"/>
                <w:sz w:val="16"/>
                <w:szCs w:val="16"/>
              </w:rPr>
              <w:t>Government final consumption expenditure (GFCE) hospitals and nursing homes</w:t>
            </w:r>
            <w:r w:rsidRPr="00D27F8A">
              <w:rPr>
                <w:rFonts w:ascii="Arial" w:hAnsi="Arial" w:cs="Arial"/>
                <w:spacing w:val="-6"/>
                <w:sz w:val="16"/>
                <w:szCs w:val="16"/>
                <w:vertAlign w:val="superscript"/>
              </w:rPr>
              <w:t>(a)</w:t>
            </w:r>
            <w:r w:rsidRPr="00D27F8A">
              <w:rPr>
                <w:rFonts w:ascii="Arial" w:hAnsi="Arial" w:cs="Arial"/>
                <w:spacing w:val="-6"/>
                <w:sz w:val="16"/>
                <w:szCs w:val="16"/>
              </w:rPr>
              <w:t> </w:t>
            </w:r>
          </w:p>
        </w:tc>
      </w:tr>
    </w:tbl>
    <w:p w:rsidR="000F1B66" w:rsidRPr="00B27FBD" w:rsidRDefault="000F1B66" w:rsidP="00540186">
      <w:pPr>
        <w:pStyle w:val="TableSourcefootnotes"/>
        <w:numPr>
          <w:ilvl w:val="0"/>
          <w:numId w:val="56"/>
        </w:numPr>
        <w:rPr>
          <w:rStyle w:val="table-note"/>
        </w:rPr>
      </w:pPr>
      <w:r w:rsidRPr="00B27FBD">
        <w:rPr>
          <w:rStyle w:val="table-note"/>
        </w:rPr>
        <w:t>Australian Bureau of Statistics (unpublished data).</w:t>
      </w:r>
    </w:p>
    <w:p w:rsidR="000F1B66" w:rsidRPr="00475BC6" w:rsidRDefault="000F1B66" w:rsidP="00CB7CCD">
      <w:pPr>
        <w:pStyle w:val="AIHWbodytext"/>
      </w:pPr>
      <w:r w:rsidRPr="00475BC6">
        <w:t>The 2011–12</w:t>
      </w:r>
      <w:r>
        <w:t xml:space="preserve"> expenditure</w:t>
      </w:r>
      <w:r w:rsidRPr="00475BC6">
        <w:t xml:space="preserve"> data is presented in current prices, that is, no deflator was applied to the data. The 2007–08</w:t>
      </w:r>
      <w:r>
        <w:t xml:space="preserve"> expenditure</w:t>
      </w:r>
      <w:r w:rsidRPr="00475BC6">
        <w:t xml:space="preserve"> data has been deflated to the 2011–12 data </w:t>
      </w:r>
      <w:r>
        <w:t xml:space="preserve">to permit </w:t>
      </w:r>
      <w:r w:rsidRPr="00475BC6">
        <w:t xml:space="preserve">valid comparisons between the two time points. </w:t>
      </w:r>
    </w:p>
    <w:p w:rsidR="000F1B66" w:rsidRDefault="000F1B66" w:rsidP="000F1B66">
      <w:pPr>
        <w:pStyle w:val="NormalWeb"/>
        <w:shd w:val="clear" w:color="auto" w:fill="FFFFFF"/>
        <w:spacing w:before="240"/>
        <w:rPr>
          <w:rFonts w:ascii="Book Antiqua" w:hAnsi="Book Antiqua" w:cs="Arial"/>
          <w:b/>
          <w:i/>
          <w:color w:val="222222"/>
          <w:szCs w:val="24"/>
        </w:rPr>
      </w:pPr>
    </w:p>
    <w:p w:rsidR="000F1B66" w:rsidRPr="002265C7" w:rsidRDefault="000F1B66" w:rsidP="00CB7CCD">
      <w:pPr>
        <w:pStyle w:val="Heading4"/>
      </w:pPr>
      <w:r w:rsidRPr="002265C7">
        <w:t>Reference</w:t>
      </w:r>
    </w:p>
    <w:p w:rsidR="000F1B66" w:rsidRPr="00E86D05" w:rsidRDefault="005015C3" w:rsidP="00CB7CCD">
      <w:pPr>
        <w:pStyle w:val="AIHWbodytext"/>
      </w:pPr>
      <w:hyperlink r:id="rId21" w:history="1">
        <w:proofErr w:type="gramStart"/>
        <w:r w:rsidR="000F1B66" w:rsidRPr="00E86D05">
          <w:rPr>
            <w:rStyle w:val="Hyperlink"/>
            <w:spacing w:val="-6"/>
          </w:rPr>
          <w:t>AIHW 2012</w:t>
        </w:r>
      </w:hyperlink>
      <w:r w:rsidR="000F1B66" w:rsidRPr="00E86D05">
        <w:t>.</w:t>
      </w:r>
      <w:proofErr w:type="gramEnd"/>
      <w:r w:rsidR="000F1B66" w:rsidRPr="00E86D05">
        <w:t xml:space="preserve"> </w:t>
      </w:r>
      <w:proofErr w:type="gramStart"/>
      <w:r w:rsidR="000F1B66" w:rsidRPr="00E86D05">
        <w:t>Health expenditure Australia 2010–11.</w:t>
      </w:r>
      <w:proofErr w:type="gramEnd"/>
      <w:r w:rsidR="000F1B66" w:rsidRPr="00E86D05">
        <w:t xml:space="preserve"> </w:t>
      </w:r>
      <w:proofErr w:type="gramStart"/>
      <w:r w:rsidR="000F1B66" w:rsidRPr="00E86D05">
        <w:t>Health and welfare expenditure series no. 47.</w:t>
      </w:r>
      <w:proofErr w:type="gramEnd"/>
      <w:r w:rsidR="000F1B66" w:rsidRPr="00E86D05">
        <w:t xml:space="preserve"> Cat. </w:t>
      </w:r>
      <w:proofErr w:type="gramStart"/>
      <w:r w:rsidR="000F1B66" w:rsidRPr="00E86D05">
        <w:t>no</w:t>
      </w:r>
      <w:proofErr w:type="gramEnd"/>
      <w:r w:rsidR="000F1B66" w:rsidRPr="00E86D05">
        <w:t xml:space="preserve">. </w:t>
      </w:r>
      <w:proofErr w:type="gramStart"/>
      <w:r w:rsidR="000F1B66" w:rsidRPr="00E86D05">
        <w:t>HWE 56.</w:t>
      </w:r>
      <w:proofErr w:type="gramEnd"/>
      <w:r w:rsidR="000F1B66" w:rsidRPr="00E86D05">
        <w:t xml:space="preserve"> Canberra: AIHW.</w:t>
      </w:r>
    </w:p>
    <w:p w:rsidR="002265C7" w:rsidRDefault="002265C7">
      <w:pPr>
        <w:spacing w:before="0" w:after="0" w:line="240" w:lineRule="auto"/>
        <w:rPr>
          <w:rFonts w:cs="Arial"/>
          <w:color w:val="222222"/>
        </w:rPr>
      </w:pPr>
      <w:r>
        <w:rPr>
          <w:rFonts w:cs="Arial"/>
          <w:color w:val="222222"/>
        </w:rPr>
        <w:br w:type="page"/>
      </w:r>
    </w:p>
    <w:p w:rsidR="002265C7" w:rsidRPr="002265C7" w:rsidRDefault="002265C7" w:rsidP="00E17C0A">
      <w:pPr>
        <w:pStyle w:val="Heading2"/>
        <w:numPr>
          <w:ilvl w:val="0"/>
          <w:numId w:val="18"/>
        </w:numPr>
        <w:ind w:left="567"/>
        <w:jc w:val="both"/>
        <w:rPr>
          <w:bCs/>
        </w:rPr>
      </w:pPr>
      <w:bookmarkStart w:id="10" w:name="_Toc403057861"/>
      <w:r>
        <w:rPr>
          <w:bCs/>
        </w:rPr>
        <w:lastRenderedPageBreak/>
        <w:t>Jurisdictional data</w:t>
      </w:r>
      <w:bookmarkEnd w:id="10"/>
      <w:r>
        <w:rPr>
          <w:bCs/>
        </w:rPr>
        <w:t xml:space="preserve"> </w:t>
      </w:r>
    </w:p>
    <w:p w:rsidR="002265C7" w:rsidRPr="008B7E34" w:rsidRDefault="002265C7" w:rsidP="002265C7">
      <w:pPr>
        <w:pStyle w:val="Heading3"/>
      </w:pPr>
      <w:bookmarkStart w:id="11" w:name="_Toc403057862"/>
      <w:r w:rsidRPr="008B7E34">
        <w:t>New South Wales</w:t>
      </w:r>
      <w:bookmarkEnd w:id="11"/>
    </w:p>
    <w:p w:rsidR="002265C7" w:rsidRPr="00CB7CCD" w:rsidRDefault="00CB7CCD" w:rsidP="002265C7">
      <w:pPr>
        <w:pStyle w:val="TableCaption"/>
        <w:rPr>
          <w:rStyle w:val="table-note"/>
        </w:rPr>
      </w:pPr>
      <w:r w:rsidRPr="00CB7CCD">
        <w:rPr>
          <w:rStyle w:val="table-note"/>
        </w:rPr>
        <w:t xml:space="preserve">Table 2: </w:t>
      </w:r>
      <w:r w:rsidR="002265C7" w:rsidRPr="00CB7CCD">
        <w:rPr>
          <w:rStyle w:val="table-note"/>
        </w:rPr>
        <w:t xml:space="preserve">NSW: Recurrent </w:t>
      </w:r>
      <w:proofErr w:type="gramStart"/>
      <w:r w:rsidR="002265C7" w:rsidRPr="00CB7CCD">
        <w:rPr>
          <w:rStyle w:val="table-note"/>
        </w:rPr>
        <w:t>expenditure</w:t>
      </w:r>
      <w:r w:rsidR="002265C7" w:rsidRPr="00CB7CCD">
        <w:rPr>
          <w:rStyle w:val="table-note"/>
          <w:vertAlign w:val="superscript"/>
        </w:rPr>
        <w:t>(</w:t>
      </w:r>
      <w:proofErr w:type="gramEnd"/>
      <w:r w:rsidR="002265C7" w:rsidRPr="00CB7CCD">
        <w:rPr>
          <w:rStyle w:val="table-note"/>
          <w:vertAlign w:val="superscript"/>
        </w:rPr>
        <w:t>a)(b)</w:t>
      </w:r>
      <w:r w:rsidR="002265C7" w:rsidRPr="00CB7CCD">
        <w:rPr>
          <w:rStyle w:val="table-note"/>
        </w:rPr>
        <w:t xml:space="preserve"> ($’000) on state and territory specialised mental health services, by service type, 2007–08 (constant prices)</w:t>
      </w:r>
      <w:r w:rsidR="002265C7" w:rsidRPr="00CB7CCD">
        <w:rPr>
          <w:rStyle w:val="table-note"/>
          <w:vertAlign w:val="superscript"/>
        </w:rPr>
        <w:t>(c)</w:t>
      </w:r>
    </w:p>
    <w:tbl>
      <w:tblPr>
        <w:tblStyle w:val="TableGrid"/>
        <w:tblW w:w="0" w:type="auto"/>
        <w:tblLook w:val="04A0" w:firstRow="1" w:lastRow="0" w:firstColumn="1" w:lastColumn="0" w:noHBand="0" w:noVBand="1"/>
        <w:tblCaption w:val="NSW: Recurrent expenditure(a)(b) ($’000) on state and territory specialised mental health services, by service type, 2007–08 (constant prices)"/>
        <w:tblDescription w:val="Table showing that, in 2007-2008, major cities in NSW have the highest recurrent expenditure for all specialised mental health services including hospital services at $776,749,000. Recurrent expenditure decreased as regions became more remote. Public hospital services had the highest amount of recurrent expenditure overall across region types at $570,701,000."/>
      </w:tblPr>
      <w:tblGrid>
        <w:gridCol w:w="2378"/>
        <w:gridCol w:w="1053"/>
        <w:gridCol w:w="1373"/>
        <w:gridCol w:w="1244"/>
        <w:gridCol w:w="1042"/>
        <w:gridCol w:w="1087"/>
        <w:gridCol w:w="1109"/>
      </w:tblGrid>
      <w:tr w:rsidR="002265C7" w:rsidRPr="001B1E83" w:rsidTr="000C3DEA">
        <w:trPr>
          <w:tblHeader/>
        </w:trPr>
        <w:tc>
          <w:tcPr>
            <w:tcW w:w="2490" w:type="dxa"/>
          </w:tcPr>
          <w:p w:rsidR="002265C7" w:rsidRPr="001B1E83" w:rsidRDefault="002265C7" w:rsidP="002265C7">
            <w:pPr>
              <w:pStyle w:val="TableFigText"/>
              <w:rPr>
                <w:rFonts w:asciiTheme="minorHAnsi" w:hAnsiTheme="minorHAnsi" w:cstheme="minorHAnsi"/>
                <w:szCs w:val="22"/>
              </w:rPr>
            </w:pPr>
          </w:p>
        </w:tc>
        <w:tc>
          <w:tcPr>
            <w:tcW w:w="1074" w:type="dxa"/>
          </w:tcPr>
          <w:p w:rsidR="002265C7" w:rsidRPr="001B1E83" w:rsidRDefault="002265C7" w:rsidP="00D27F8A">
            <w:pPr>
              <w:pStyle w:val="TableFigText"/>
              <w:jc w:val="right"/>
              <w:rPr>
                <w:rFonts w:asciiTheme="minorHAnsi" w:hAnsiTheme="minorHAnsi" w:cstheme="minorHAnsi"/>
                <w:b/>
                <w:szCs w:val="22"/>
              </w:rPr>
            </w:pPr>
            <w:r w:rsidRPr="001B1E83">
              <w:rPr>
                <w:rFonts w:asciiTheme="minorHAnsi" w:hAnsiTheme="minorHAnsi" w:cstheme="minorHAnsi"/>
                <w:b/>
                <w:szCs w:val="22"/>
              </w:rPr>
              <w:t>Major cities</w:t>
            </w:r>
          </w:p>
        </w:tc>
        <w:tc>
          <w:tcPr>
            <w:tcW w:w="1420" w:type="dxa"/>
          </w:tcPr>
          <w:p w:rsidR="002265C7" w:rsidRPr="001B1E83" w:rsidRDefault="002265C7" w:rsidP="00D27F8A">
            <w:pPr>
              <w:pStyle w:val="TableFigText"/>
              <w:jc w:val="right"/>
              <w:rPr>
                <w:rFonts w:asciiTheme="minorHAnsi" w:hAnsiTheme="minorHAnsi" w:cstheme="minorHAnsi"/>
                <w:b/>
                <w:szCs w:val="22"/>
              </w:rPr>
            </w:pPr>
            <w:r w:rsidRPr="001B1E83">
              <w:rPr>
                <w:rFonts w:asciiTheme="minorHAnsi" w:hAnsiTheme="minorHAnsi" w:cstheme="minorHAnsi"/>
                <w:b/>
                <w:szCs w:val="22"/>
              </w:rPr>
              <w:t>Inner regional</w:t>
            </w:r>
          </w:p>
        </w:tc>
        <w:tc>
          <w:tcPr>
            <w:tcW w:w="1283" w:type="dxa"/>
          </w:tcPr>
          <w:p w:rsidR="002265C7" w:rsidRPr="001B1E83" w:rsidRDefault="002265C7" w:rsidP="00D27F8A">
            <w:pPr>
              <w:pStyle w:val="TableFigText"/>
              <w:jc w:val="right"/>
              <w:rPr>
                <w:rFonts w:asciiTheme="minorHAnsi" w:hAnsiTheme="minorHAnsi" w:cstheme="minorHAnsi"/>
                <w:b/>
                <w:szCs w:val="22"/>
              </w:rPr>
            </w:pPr>
            <w:r w:rsidRPr="001B1E83">
              <w:rPr>
                <w:rFonts w:asciiTheme="minorHAnsi" w:hAnsiTheme="minorHAnsi" w:cstheme="minorHAnsi"/>
                <w:b/>
                <w:szCs w:val="22"/>
              </w:rPr>
              <w:t>Outer regional</w:t>
            </w:r>
          </w:p>
        </w:tc>
        <w:tc>
          <w:tcPr>
            <w:tcW w:w="1067" w:type="dxa"/>
          </w:tcPr>
          <w:p w:rsidR="002265C7" w:rsidRPr="001B1E83" w:rsidRDefault="002265C7" w:rsidP="00D27F8A">
            <w:pPr>
              <w:pStyle w:val="TableFigText"/>
              <w:jc w:val="right"/>
              <w:rPr>
                <w:rFonts w:asciiTheme="minorHAnsi" w:hAnsiTheme="minorHAnsi" w:cstheme="minorHAnsi"/>
                <w:b/>
                <w:szCs w:val="22"/>
              </w:rPr>
            </w:pPr>
            <w:r w:rsidRPr="001B1E83">
              <w:rPr>
                <w:rFonts w:asciiTheme="minorHAnsi" w:hAnsiTheme="minorHAnsi" w:cstheme="minorHAnsi"/>
                <w:b/>
                <w:szCs w:val="22"/>
              </w:rPr>
              <w:t>Remote</w:t>
            </w:r>
          </w:p>
        </w:tc>
        <w:tc>
          <w:tcPr>
            <w:tcW w:w="1118" w:type="dxa"/>
          </w:tcPr>
          <w:p w:rsidR="002265C7" w:rsidRPr="001B1E83" w:rsidRDefault="002265C7" w:rsidP="00D27F8A">
            <w:pPr>
              <w:pStyle w:val="TableFigText"/>
              <w:jc w:val="right"/>
              <w:rPr>
                <w:rFonts w:asciiTheme="minorHAnsi" w:hAnsiTheme="minorHAnsi" w:cstheme="minorHAnsi"/>
                <w:b/>
                <w:szCs w:val="22"/>
              </w:rPr>
            </w:pPr>
            <w:r w:rsidRPr="001B1E83">
              <w:rPr>
                <w:rFonts w:asciiTheme="minorHAnsi" w:hAnsiTheme="minorHAnsi" w:cstheme="minorHAnsi"/>
                <w:b/>
                <w:szCs w:val="22"/>
              </w:rPr>
              <w:t>Very remote</w:t>
            </w:r>
          </w:p>
        </w:tc>
        <w:tc>
          <w:tcPr>
            <w:tcW w:w="1124" w:type="dxa"/>
          </w:tcPr>
          <w:p w:rsidR="002265C7" w:rsidRPr="001B1E83" w:rsidRDefault="002265C7" w:rsidP="00D27F8A">
            <w:pPr>
              <w:pStyle w:val="TableFigText"/>
              <w:jc w:val="right"/>
              <w:rPr>
                <w:rFonts w:asciiTheme="minorHAnsi" w:hAnsiTheme="minorHAnsi" w:cstheme="minorHAnsi"/>
                <w:b/>
                <w:szCs w:val="22"/>
              </w:rPr>
            </w:pPr>
            <w:r w:rsidRPr="001B1E83">
              <w:rPr>
                <w:rFonts w:asciiTheme="minorHAnsi" w:hAnsiTheme="minorHAnsi" w:cstheme="minorHAnsi"/>
                <w:b/>
                <w:szCs w:val="22"/>
              </w:rPr>
              <w:t>Total</w:t>
            </w:r>
            <w:r w:rsidRPr="001B1E83">
              <w:rPr>
                <w:rFonts w:asciiTheme="minorHAnsi" w:hAnsiTheme="minorHAnsi" w:cstheme="minorHAnsi"/>
                <w:szCs w:val="22"/>
                <w:vertAlign w:val="superscript"/>
              </w:rPr>
              <w:t>(d)</w:t>
            </w:r>
          </w:p>
        </w:tc>
      </w:tr>
      <w:tr w:rsidR="002265C7" w:rsidRPr="001B1E83" w:rsidTr="002265C7">
        <w:tc>
          <w:tcPr>
            <w:tcW w:w="2490" w:type="dxa"/>
          </w:tcPr>
          <w:p w:rsidR="002265C7" w:rsidRPr="001B1E83" w:rsidRDefault="002265C7" w:rsidP="002265C7">
            <w:pPr>
              <w:pStyle w:val="TableFigText"/>
              <w:rPr>
                <w:rFonts w:asciiTheme="minorHAnsi" w:hAnsiTheme="minorHAnsi" w:cstheme="minorHAnsi"/>
                <w:szCs w:val="22"/>
              </w:rPr>
            </w:pPr>
            <w:r w:rsidRPr="001B1E83">
              <w:rPr>
                <w:rFonts w:asciiTheme="minorHAnsi" w:hAnsiTheme="minorHAnsi" w:cstheme="minorHAnsi"/>
                <w:szCs w:val="22"/>
              </w:rPr>
              <w:t>Public hospital services</w:t>
            </w:r>
            <w:r w:rsidRPr="001B1E83">
              <w:rPr>
                <w:rFonts w:asciiTheme="minorHAnsi" w:hAnsiTheme="minorHAnsi" w:cstheme="minorHAnsi"/>
                <w:szCs w:val="22"/>
                <w:vertAlign w:val="superscript"/>
              </w:rPr>
              <w:t>(e)(f)</w:t>
            </w:r>
          </w:p>
        </w:tc>
        <w:tc>
          <w:tcPr>
            <w:tcW w:w="1074" w:type="dxa"/>
          </w:tcPr>
          <w:p w:rsidR="002265C7" w:rsidRPr="001B1E83" w:rsidRDefault="002265C7" w:rsidP="00D27F8A">
            <w:pPr>
              <w:pStyle w:val="TableFigText"/>
              <w:jc w:val="right"/>
              <w:rPr>
                <w:rFonts w:cstheme="minorHAnsi"/>
              </w:rPr>
            </w:pPr>
            <w:r w:rsidRPr="001B1E83">
              <w:t>445,825</w:t>
            </w:r>
          </w:p>
        </w:tc>
        <w:tc>
          <w:tcPr>
            <w:tcW w:w="1420" w:type="dxa"/>
          </w:tcPr>
          <w:p w:rsidR="002265C7" w:rsidRPr="001B1E83" w:rsidRDefault="002265C7" w:rsidP="00D27F8A">
            <w:pPr>
              <w:pStyle w:val="TableFigText"/>
              <w:jc w:val="right"/>
              <w:rPr>
                <w:rFonts w:cstheme="minorHAnsi"/>
              </w:rPr>
            </w:pPr>
            <w:r w:rsidRPr="001B1E83">
              <w:t>121,247</w:t>
            </w:r>
          </w:p>
        </w:tc>
        <w:tc>
          <w:tcPr>
            <w:tcW w:w="1283" w:type="dxa"/>
          </w:tcPr>
          <w:p w:rsidR="002265C7" w:rsidRPr="001B1E83" w:rsidRDefault="002265C7" w:rsidP="00D27F8A">
            <w:pPr>
              <w:pStyle w:val="TableFigText"/>
              <w:jc w:val="right"/>
              <w:rPr>
                <w:rFonts w:cstheme="minorHAnsi"/>
              </w:rPr>
            </w:pPr>
            <w:r w:rsidRPr="001B1E83">
              <w:t>3,630</w:t>
            </w:r>
          </w:p>
        </w:tc>
        <w:tc>
          <w:tcPr>
            <w:tcW w:w="1067" w:type="dxa"/>
          </w:tcPr>
          <w:p w:rsidR="002265C7" w:rsidRPr="001B1E83" w:rsidRDefault="002265C7" w:rsidP="00D27F8A">
            <w:pPr>
              <w:pStyle w:val="TableFigText"/>
              <w:jc w:val="right"/>
              <w:rPr>
                <w:rFonts w:cstheme="minorHAnsi"/>
              </w:rPr>
            </w:pPr>
            <w:r w:rsidRPr="001B1E83">
              <w:t>0</w:t>
            </w:r>
          </w:p>
        </w:tc>
        <w:tc>
          <w:tcPr>
            <w:tcW w:w="1118" w:type="dxa"/>
          </w:tcPr>
          <w:p w:rsidR="002265C7" w:rsidRPr="001B1E83" w:rsidRDefault="002265C7" w:rsidP="00D27F8A">
            <w:pPr>
              <w:pStyle w:val="TableFigText"/>
              <w:jc w:val="right"/>
              <w:rPr>
                <w:rFonts w:cstheme="minorHAnsi"/>
              </w:rPr>
            </w:pPr>
            <w:r w:rsidRPr="001B1E83">
              <w:t>0</w:t>
            </w:r>
          </w:p>
        </w:tc>
        <w:tc>
          <w:tcPr>
            <w:tcW w:w="1124" w:type="dxa"/>
          </w:tcPr>
          <w:p w:rsidR="002265C7" w:rsidRPr="001B1E83" w:rsidRDefault="002265C7" w:rsidP="00D27F8A">
            <w:pPr>
              <w:pStyle w:val="TableFigText"/>
              <w:jc w:val="right"/>
              <w:rPr>
                <w:rFonts w:cstheme="minorHAnsi"/>
              </w:rPr>
            </w:pPr>
            <w:r w:rsidRPr="001B1E83">
              <w:t>570,701</w:t>
            </w:r>
          </w:p>
        </w:tc>
      </w:tr>
      <w:tr w:rsidR="002265C7" w:rsidRPr="001B1E83" w:rsidTr="002265C7">
        <w:tc>
          <w:tcPr>
            <w:tcW w:w="2490" w:type="dxa"/>
          </w:tcPr>
          <w:p w:rsidR="002265C7" w:rsidRPr="001B1E83" w:rsidRDefault="002265C7" w:rsidP="002265C7">
            <w:pPr>
              <w:pStyle w:val="TableFigText"/>
              <w:rPr>
                <w:rFonts w:asciiTheme="minorHAnsi" w:hAnsiTheme="minorHAnsi" w:cstheme="minorHAnsi"/>
                <w:szCs w:val="22"/>
              </w:rPr>
            </w:pPr>
            <w:r w:rsidRPr="001B1E83">
              <w:rPr>
                <w:rFonts w:asciiTheme="minorHAnsi" w:hAnsiTheme="minorHAnsi" w:cstheme="minorHAnsi"/>
                <w:szCs w:val="22"/>
              </w:rPr>
              <w:t>Community mental health services</w:t>
            </w:r>
          </w:p>
        </w:tc>
        <w:tc>
          <w:tcPr>
            <w:tcW w:w="1074" w:type="dxa"/>
          </w:tcPr>
          <w:p w:rsidR="002265C7" w:rsidRPr="001B1E83" w:rsidRDefault="002265C7" w:rsidP="00D27F8A">
            <w:pPr>
              <w:pStyle w:val="TableFigText"/>
              <w:jc w:val="right"/>
              <w:rPr>
                <w:rFonts w:cstheme="minorHAnsi"/>
              </w:rPr>
            </w:pPr>
            <w:r w:rsidRPr="001B1E83">
              <w:t>320,674</w:t>
            </w:r>
          </w:p>
        </w:tc>
        <w:tc>
          <w:tcPr>
            <w:tcW w:w="1420" w:type="dxa"/>
          </w:tcPr>
          <w:p w:rsidR="002265C7" w:rsidRPr="001B1E83" w:rsidRDefault="002265C7" w:rsidP="00D27F8A">
            <w:pPr>
              <w:pStyle w:val="TableFigText"/>
              <w:jc w:val="right"/>
              <w:rPr>
                <w:rFonts w:cstheme="minorHAnsi"/>
              </w:rPr>
            </w:pPr>
            <w:r w:rsidRPr="001B1E83">
              <w:t>73,739</w:t>
            </w:r>
          </w:p>
        </w:tc>
        <w:tc>
          <w:tcPr>
            <w:tcW w:w="1283" w:type="dxa"/>
          </w:tcPr>
          <w:p w:rsidR="002265C7" w:rsidRPr="001B1E83" w:rsidRDefault="002265C7" w:rsidP="00D27F8A">
            <w:pPr>
              <w:pStyle w:val="TableFigText"/>
              <w:jc w:val="right"/>
              <w:rPr>
                <w:rFonts w:cstheme="minorHAnsi"/>
              </w:rPr>
            </w:pPr>
            <w:r w:rsidRPr="001B1E83">
              <w:t>22,273</w:t>
            </w:r>
          </w:p>
        </w:tc>
        <w:tc>
          <w:tcPr>
            <w:tcW w:w="1067" w:type="dxa"/>
          </w:tcPr>
          <w:p w:rsidR="002265C7" w:rsidRPr="001B1E83" w:rsidRDefault="002265C7" w:rsidP="00D27F8A">
            <w:pPr>
              <w:pStyle w:val="TableFigText"/>
              <w:jc w:val="right"/>
              <w:rPr>
                <w:rFonts w:cstheme="minorHAnsi"/>
              </w:rPr>
            </w:pPr>
            <w:r w:rsidRPr="001B1E83">
              <w:t>1,961</w:t>
            </w:r>
          </w:p>
        </w:tc>
        <w:tc>
          <w:tcPr>
            <w:tcW w:w="1118" w:type="dxa"/>
          </w:tcPr>
          <w:p w:rsidR="002265C7" w:rsidRPr="001B1E83" w:rsidRDefault="002265C7" w:rsidP="00D27F8A">
            <w:pPr>
              <w:pStyle w:val="TableFigText"/>
              <w:jc w:val="right"/>
              <w:rPr>
                <w:rFonts w:cstheme="minorHAnsi"/>
              </w:rPr>
            </w:pPr>
            <w:r w:rsidRPr="001B1E83">
              <w:t>964</w:t>
            </w:r>
          </w:p>
        </w:tc>
        <w:tc>
          <w:tcPr>
            <w:tcW w:w="1124" w:type="dxa"/>
          </w:tcPr>
          <w:p w:rsidR="002265C7" w:rsidRPr="001B1E83" w:rsidRDefault="002265C7" w:rsidP="00D27F8A">
            <w:pPr>
              <w:pStyle w:val="TableFigText"/>
              <w:jc w:val="right"/>
              <w:rPr>
                <w:rFonts w:cstheme="minorHAnsi"/>
              </w:rPr>
            </w:pPr>
            <w:r w:rsidRPr="001B1E83">
              <w:t>419,612</w:t>
            </w:r>
          </w:p>
        </w:tc>
      </w:tr>
      <w:tr w:rsidR="002265C7" w:rsidRPr="001B1E83" w:rsidTr="002265C7">
        <w:tc>
          <w:tcPr>
            <w:tcW w:w="2490" w:type="dxa"/>
          </w:tcPr>
          <w:p w:rsidR="002265C7" w:rsidRPr="001B1E83" w:rsidRDefault="002265C7" w:rsidP="002265C7">
            <w:pPr>
              <w:pStyle w:val="TableFigText"/>
              <w:rPr>
                <w:rFonts w:asciiTheme="minorHAnsi" w:hAnsiTheme="minorHAnsi" w:cstheme="minorHAnsi"/>
                <w:szCs w:val="22"/>
              </w:rPr>
            </w:pPr>
            <w:r w:rsidRPr="001B1E83">
              <w:rPr>
                <w:rFonts w:asciiTheme="minorHAnsi" w:hAnsiTheme="minorHAnsi" w:cstheme="minorHAnsi"/>
                <w:szCs w:val="22"/>
              </w:rPr>
              <w:t>Residential mental health services</w:t>
            </w:r>
            <w:r w:rsidRPr="001B1E83">
              <w:rPr>
                <w:rFonts w:asciiTheme="minorHAnsi" w:hAnsiTheme="minorHAnsi" w:cstheme="minorHAnsi"/>
                <w:szCs w:val="22"/>
                <w:vertAlign w:val="superscript"/>
              </w:rPr>
              <w:t>(g)</w:t>
            </w:r>
          </w:p>
        </w:tc>
        <w:tc>
          <w:tcPr>
            <w:tcW w:w="1074" w:type="dxa"/>
          </w:tcPr>
          <w:p w:rsidR="002265C7" w:rsidRPr="001B1E83" w:rsidRDefault="002265C7" w:rsidP="00D27F8A">
            <w:pPr>
              <w:pStyle w:val="TableFigText"/>
              <w:jc w:val="right"/>
              <w:rPr>
                <w:rFonts w:cstheme="minorHAnsi"/>
              </w:rPr>
            </w:pPr>
            <w:r w:rsidRPr="001B1E83">
              <w:t>10,250</w:t>
            </w:r>
          </w:p>
        </w:tc>
        <w:tc>
          <w:tcPr>
            <w:tcW w:w="1420" w:type="dxa"/>
          </w:tcPr>
          <w:p w:rsidR="002265C7" w:rsidRPr="001B1E83" w:rsidRDefault="002265C7" w:rsidP="00D27F8A">
            <w:pPr>
              <w:pStyle w:val="TableFigText"/>
              <w:jc w:val="right"/>
              <w:rPr>
                <w:rFonts w:cstheme="minorHAnsi"/>
              </w:rPr>
            </w:pPr>
            <w:r w:rsidRPr="001B1E83">
              <w:t>6,587</w:t>
            </w:r>
          </w:p>
        </w:tc>
        <w:tc>
          <w:tcPr>
            <w:tcW w:w="1283" w:type="dxa"/>
          </w:tcPr>
          <w:p w:rsidR="002265C7" w:rsidRPr="001B1E83" w:rsidRDefault="002265C7" w:rsidP="00D27F8A">
            <w:pPr>
              <w:pStyle w:val="TableFigText"/>
              <w:jc w:val="right"/>
              <w:rPr>
                <w:rFonts w:cstheme="minorHAnsi"/>
              </w:rPr>
            </w:pPr>
            <w:r w:rsidRPr="001B1E83">
              <w:t>176</w:t>
            </w:r>
          </w:p>
        </w:tc>
        <w:tc>
          <w:tcPr>
            <w:tcW w:w="1067" w:type="dxa"/>
          </w:tcPr>
          <w:p w:rsidR="002265C7" w:rsidRPr="001B1E83" w:rsidRDefault="002265C7" w:rsidP="00D27F8A">
            <w:pPr>
              <w:pStyle w:val="TableFigText"/>
              <w:jc w:val="right"/>
              <w:rPr>
                <w:rFonts w:cstheme="minorHAnsi"/>
              </w:rPr>
            </w:pPr>
            <w:r w:rsidRPr="001B1E83">
              <w:t>0</w:t>
            </w:r>
          </w:p>
        </w:tc>
        <w:tc>
          <w:tcPr>
            <w:tcW w:w="1118" w:type="dxa"/>
          </w:tcPr>
          <w:p w:rsidR="002265C7" w:rsidRPr="001B1E83" w:rsidRDefault="002265C7" w:rsidP="00D27F8A">
            <w:pPr>
              <w:pStyle w:val="TableFigText"/>
              <w:jc w:val="right"/>
              <w:rPr>
                <w:rFonts w:cstheme="minorHAnsi"/>
              </w:rPr>
            </w:pPr>
            <w:r w:rsidRPr="001B1E83">
              <w:t>0</w:t>
            </w:r>
          </w:p>
        </w:tc>
        <w:tc>
          <w:tcPr>
            <w:tcW w:w="1124" w:type="dxa"/>
          </w:tcPr>
          <w:p w:rsidR="002265C7" w:rsidRPr="001B1E83" w:rsidRDefault="002265C7" w:rsidP="00D27F8A">
            <w:pPr>
              <w:pStyle w:val="TableFigText"/>
              <w:jc w:val="right"/>
              <w:rPr>
                <w:rFonts w:cstheme="minorHAnsi"/>
              </w:rPr>
            </w:pPr>
            <w:r w:rsidRPr="001B1E83">
              <w:t>17,012</w:t>
            </w:r>
          </w:p>
        </w:tc>
      </w:tr>
      <w:tr w:rsidR="002265C7" w:rsidRPr="001B1E83" w:rsidTr="002265C7">
        <w:tc>
          <w:tcPr>
            <w:tcW w:w="2490" w:type="dxa"/>
          </w:tcPr>
          <w:p w:rsidR="002265C7" w:rsidRPr="00D27F8A" w:rsidRDefault="002265C7" w:rsidP="002265C7">
            <w:pPr>
              <w:pStyle w:val="TableFigText"/>
              <w:rPr>
                <w:rFonts w:asciiTheme="minorHAnsi" w:hAnsiTheme="minorHAnsi" w:cstheme="minorHAnsi"/>
                <w:b/>
                <w:szCs w:val="22"/>
              </w:rPr>
            </w:pPr>
            <w:r w:rsidRPr="00D27F8A">
              <w:rPr>
                <w:rFonts w:asciiTheme="minorHAnsi" w:hAnsiTheme="minorHAnsi" w:cstheme="minorHAnsi"/>
                <w:b/>
                <w:szCs w:val="22"/>
              </w:rPr>
              <w:t>All mental health service types</w:t>
            </w:r>
            <w:r w:rsidRPr="00D27F8A">
              <w:rPr>
                <w:rFonts w:asciiTheme="minorHAnsi" w:hAnsiTheme="minorHAnsi" w:cstheme="minorHAnsi"/>
                <w:b/>
                <w:szCs w:val="22"/>
                <w:vertAlign w:val="superscript"/>
              </w:rPr>
              <w:t>(d)</w:t>
            </w:r>
          </w:p>
        </w:tc>
        <w:tc>
          <w:tcPr>
            <w:tcW w:w="1074" w:type="dxa"/>
          </w:tcPr>
          <w:p w:rsidR="002265C7" w:rsidRPr="00D27F8A" w:rsidRDefault="002265C7" w:rsidP="00D27F8A">
            <w:pPr>
              <w:pStyle w:val="TableFigText"/>
              <w:jc w:val="right"/>
              <w:rPr>
                <w:rFonts w:cstheme="minorHAnsi"/>
                <w:b/>
              </w:rPr>
            </w:pPr>
            <w:r w:rsidRPr="00D27F8A">
              <w:rPr>
                <w:b/>
              </w:rPr>
              <w:t>776,749</w:t>
            </w:r>
          </w:p>
        </w:tc>
        <w:tc>
          <w:tcPr>
            <w:tcW w:w="1420" w:type="dxa"/>
          </w:tcPr>
          <w:p w:rsidR="002265C7" w:rsidRPr="00D27F8A" w:rsidRDefault="002265C7" w:rsidP="00D27F8A">
            <w:pPr>
              <w:pStyle w:val="TableFigText"/>
              <w:jc w:val="right"/>
              <w:rPr>
                <w:rFonts w:cstheme="minorHAnsi"/>
                <w:b/>
              </w:rPr>
            </w:pPr>
            <w:r w:rsidRPr="00D27F8A">
              <w:rPr>
                <w:b/>
              </w:rPr>
              <w:t>201,573</w:t>
            </w:r>
          </w:p>
        </w:tc>
        <w:tc>
          <w:tcPr>
            <w:tcW w:w="1283" w:type="dxa"/>
          </w:tcPr>
          <w:p w:rsidR="002265C7" w:rsidRPr="00D27F8A" w:rsidRDefault="002265C7" w:rsidP="00D27F8A">
            <w:pPr>
              <w:pStyle w:val="TableFigText"/>
              <w:jc w:val="right"/>
              <w:rPr>
                <w:rFonts w:cstheme="minorHAnsi"/>
                <w:b/>
              </w:rPr>
            </w:pPr>
            <w:r w:rsidRPr="00D27F8A">
              <w:rPr>
                <w:b/>
              </w:rPr>
              <w:t>26,079</w:t>
            </w:r>
          </w:p>
        </w:tc>
        <w:tc>
          <w:tcPr>
            <w:tcW w:w="1067" w:type="dxa"/>
          </w:tcPr>
          <w:p w:rsidR="002265C7" w:rsidRPr="00D27F8A" w:rsidRDefault="002265C7" w:rsidP="00D27F8A">
            <w:pPr>
              <w:pStyle w:val="TableFigText"/>
              <w:jc w:val="right"/>
              <w:rPr>
                <w:rFonts w:cstheme="minorHAnsi"/>
                <w:b/>
              </w:rPr>
            </w:pPr>
            <w:r w:rsidRPr="00D27F8A">
              <w:rPr>
                <w:b/>
              </w:rPr>
              <w:t>1,961</w:t>
            </w:r>
          </w:p>
        </w:tc>
        <w:tc>
          <w:tcPr>
            <w:tcW w:w="1118" w:type="dxa"/>
          </w:tcPr>
          <w:p w:rsidR="002265C7" w:rsidRPr="00D27F8A" w:rsidRDefault="002265C7" w:rsidP="00D27F8A">
            <w:pPr>
              <w:pStyle w:val="TableFigText"/>
              <w:jc w:val="right"/>
              <w:rPr>
                <w:rFonts w:cstheme="minorHAnsi"/>
                <w:b/>
              </w:rPr>
            </w:pPr>
            <w:r w:rsidRPr="00D27F8A">
              <w:rPr>
                <w:b/>
              </w:rPr>
              <w:t>964</w:t>
            </w:r>
          </w:p>
        </w:tc>
        <w:tc>
          <w:tcPr>
            <w:tcW w:w="1124" w:type="dxa"/>
          </w:tcPr>
          <w:p w:rsidR="002265C7" w:rsidRPr="00D27F8A" w:rsidRDefault="002265C7" w:rsidP="00D27F8A">
            <w:pPr>
              <w:pStyle w:val="TableFigText"/>
              <w:jc w:val="right"/>
              <w:rPr>
                <w:rFonts w:cstheme="minorHAnsi"/>
                <w:b/>
              </w:rPr>
            </w:pPr>
            <w:r w:rsidRPr="00D27F8A">
              <w:rPr>
                <w:b/>
              </w:rPr>
              <w:t>1,007,326</w:t>
            </w:r>
          </w:p>
        </w:tc>
      </w:tr>
    </w:tbl>
    <w:p w:rsidR="002265C7" w:rsidRPr="00B27FBD" w:rsidRDefault="002265C7" w:rsidP="00540186">
      <w:pPr>
        <w:pStyle w:val="TableFigNotesnumbered"/>
        <w:numPr>
          <w:ilvl w:val="0"/>
          <w:numId w:val="31"/>
        </w:numPr>
        <w:rPr>
          <w:rStyle w:val="table-note"/>
        </w:rPr>
      </w:pPr>
      <w:r w:rsidRPr="00B27FBD">
        <w:rPr>
          <w:rStyle w:val="table-note"/>
        </w:rPr>
        <w:t>Expenditure excludes depreciation.</w:t>
      </w:r>
    </w:p>
    <w:p w:rsidR="002265C7" w:rsidRPr="00B27FBD" w:rsidRDefault="002265C7" w:rsidP="00540186">
      <w:pPr>
        <w:pStyle w:val="TableFigNotesnumbered"/>
        <w:numPr>
          <w:ilvl w:val="0"/>
          <w:numId w:val="31"/>
        </w:numPr>
        <w:rPr>
          <w:rStyle w:val="table-note"/>
        </w:rPr>
      </w:pPr>
      <w:r w:rsidRPr="00B27FBD">
        <w:rPr>
          <w:rStyle w:val="table-note"/>
        </w:rPr>
        <w:t xml:space="preserve">Expenditure excludes grants to non-government organisations and indirect expenditure at the state/territory, region and organisation levels not apportioned to service units. </w:t>
      </w:r>
    </w:p>
    <w:p w:rsidR="002265C7" w:rsidRPr="00B27FBD" w:rsidRDefault="002265C7" w:rsidP="00540186">
      <w:pPr>
        <w:pStyle w:val="TableFigNotesnumbered"/>
        <w:numPr>
          <w:ilvl w:val="0"/>
          <w:numId w:val="31"/>
        </w:numPr>
        <w:rPr>
          <w:rStyle w:val="table-note"/>
        </w:rPr>
      </w:pPr>
      <w:r w:rsidRPr="00B27FBD">
        <w:rPr>
          <w:rStyle w:val="table-note"/>
        </w:rPr>
        <w:t>Constant prices are referenced to 2011–12 and are adjusted for inflation.</w:t>
      </w:r>
    </w:p>
    <w:p w:rsidR="002265C7" w:rsidRPr="00B27FBD" w:rsidRDefault="002265C7" w:rsidP="00540186">
      <w:pPr>
        <w:pStyle w:val="TableFigNotesnumbered"/>
        <w:numPr>
          <w:ilvl w:val="0"/>
          <w:numId w:val="31"/>
        </w:numPr>
        <w:rPr>
          <w:rStyle w:val="table-note"/>
        </w:rPr>
      </w:pPr>
      <w:r w:rsidRPr="00B27FBD">
        <w:rPr>
          <w:rStyle w:val="table-note"/>
        </w:rPr>
        <w:t>Totals may not add due to rounding to the nearest $'000.</w:t>
      </w:r>
    </w:p>
    <w:p w:rsidR="002265C7" w:rsidRPr="00B27FBD" w:rsidRDefault="002265C7" w:rsidP="00540186">
      <w:pPr>
        <w:pStyle w:val="TableFigNotesnumbered"/>
        <w:numPr>
          <w:ilvl w:val="0"/>
          <w:numId w:val="31"/>
        </w:numPr>
        <w:rPr>
          <w:rStyle w:val="table-note"/>
        </w:rPr>
      </w:pPr>
      <w:r w:rsidRPr="00B27FBD">
        <w:rPr>
          <w:rStyle w:val="table-note"/>
        </w:rPr>
        <w:t>Includes public hospital services managed and operated by private and non-government entities.</w:t>
      </w:r>
    </w:p>
    <w:p w:rsidR="002265C7" w:rsidRPr="00B27FBD" w:rsidRDefault="002265C7" w:rsidP="00540186">
      <w:pPr>
        <w:pStyle w:val="TableFigNotesnumbered"/>
        <w:numPr>
          <w:ilvl w:val="0"/>
          <w:numId w:val="31"/>
        </w:numPr>
        <w:rPr>
          <w:rStyle w:val="table-note"/>
        </w:rPr>
      </w:pPr>
      <w:r w:rsidRPr="00B27FBD">
        <w:rPr>
          <w:rStyle w:val="table-note"/>
        </w:rPr>
        <w:t>Public psychiatric hospitals and specialised psychiatric units or wards in public acute hospitals include expenditure on admitted patient services only. Public hospitals outpatient departments are included in community mental health care services.</w:t>
      </w:r>
      <w:r w:rsidRPr="00B27FBD">
        <w:rPr>
          <w:rStyle w:val="table-note"/>
        </w:rPr>
        <w:tab/>
      </w:r>
      <w:r w:rsidRPr="00B27FBD">
        <w:rPr>
          <w:rStyle w:val="table-note"/>
        </w:rPr>
        <w:tab/>
      </w:r>
    </w:p>
    <w:p w:rsidR="002265C7" w:rsidRPr="00B27FBD" w:rsidRDefault="002265C7" w:rsidP="00540186">
      <w:pPr>
        <w:pStyle w:val="TableFigNotesnumbered"/>
        <w:numPr>
          <w:ilvl w:val="0"/>
          <w:numId w:val="31"/>
        </w:numPr>
        <w:rPr>
          <w:rStyle w:val="table-note"/>
        </w:rPr>
      </w:pPr>
      <w:r w:rsidRPr="00B27FBD">
        <w:rPr>
          <w:rStyle w:val="table-note"/>
        </w:rPr>
        <w:t>Residential mental health services include the total operating costs for partially or wholly government funded non-government-operated residential mental health services.</w:t>
      </w:r>
    </w:p>
    <w:p w:rsidR="004C1ACE" w:rsidRPr="00CB7CCD" w:rsidRDefault="00CB7CCD" w:rsidP="004C1ACE">
      <w:pPr>
        <w:pStyle w:val="TableCaption"/>
        <w:spacing w:line="240" w:lineRule="auto"/>
        <w:rPr>
          <w:rStyle w:val="table-note"/>
        </w:rPr>
      </w:pPr>
      <w:r w:rsidRPr="00CB7CCD">
        <w:rPr>
          <w:rStyle w:val="table-note"/>
        </w:rPr>
        <w:t xml:space="preserve">Table 3: </w:t>
      </w:r>
      <w:r w:rsidR="004C1ACE" w:rsidRPr="00CB7CCD">
        <w:rPr>
          <w:rStyle w:val="table-note"/>
        </w:rPr>
        <w:t xml:space="preserve">NSW: Recurrent </w:t>
      </w:r>
      <w:proofErr w:type="gramStart"/>
      <w:r w:rsidR="004C1ACE" w:rsidRPr="00CB7CCD">
        <w:rPr>
          <w:rStyle w:val="table-note"/>
        </w:rPr>
        <w:t>expenditure</w:t>
      </w:r>
      <w:r w:rsidR="004C1ACE" w:rsidRPr="00CB7CCD">
        <w:rPr>
          <w:rStyle w:val="table-note"/>
          <w:vertAlign w:val="superscript"/>
        </w:rPr>
        <w:t>(</w:t>
      </w:r>
      <w:proofErr w:type="gramEnd"/>
      <w:r w:rsidR="004C1ACE" w:rsidRPr="00CB7CCD">
        <w:rPr>
          <w:rStyle w:val="table-note"/>
          <w:vertAlign w:val="superscript"/>
        </w:rPr>
        <w:t>a)(b)</w:t>
      </w:r>
      <w:r w:rsidR="004C1ACE" w:rsidRPr="00CB7CCD">
        <w:rPr>
          <w:rStyle w:val="table-note"/>
        </w:rPr>
        <w:t xml:space="preserve"> ($) per capita</w:t>
      </w:r>
      <w:r w:rsidR="004C1ACE" w:rsidRPr="00CB7CCD">
        <w:rPr>
          <w:rStyle w:val="table-note"/>
          <w:vertAlign w:val="superscript"/>
        </w:rPr>
        <w:t>(c)</w:t>
      </w:r>
      <w:r w:rsidR="004C1ACE" w:rsidRPr="00CB7CCD">
        <w:rPr>
          <w:rStyle w:val="table-note"/>
        </w:rPr>
        <w:t xml:space="preserve"> on state and territory specialised mental health services, by service type, 2007–08 (constant prices)</w:t>
      </w:r>
      <w:r w:rsidR="004C1ACE" w:rsidRPr="00CB7CCD">
        <w:rPr>
          <w:rStyle w:val="table-note"/>
          <w:vertAlign w:val="superscript"/>
        </w:rPr>
        <w:t>(d)</w:t>
      </w:r>
    </w:p>
    <w:tbl>
      <w:tblPr>
        <w:tblStyle w:val="TableGrid"/>
        <w:tblW w:w="0" w:type="auto"/>
        <w:tblLook w:val="04A0" w:firstRow="1" w:lastRow="0" w:firstColumn="1" w:lastColumn="0" w:noHBand="0" w:noVBand="1"/>
        <w:tblCaption w:val="NSW: Recurrent expenditure(a)(b) ($) per capita(c) on state and territory specialised mental health services, by service type, 2007–08 (constant prices)(d)"/>
        <w:tblDescription w:val="Table showing that, in 2007-2008, major cities in NSW had the highest recurrent expenditure per capita for all mental health services at $154.92. Very remote areas had the highest recurrent expenditure per capita in community mental health services at $113.65 and inner regional areas had the highest in public hospital services at $90.24."/>
      </w:tblPr>
      <w:tblGrid>
        <w:gridCol w:w="2388"/>
        <w:gridCol w:w="1044"/>
        <w:gridCol w:w="1376"/>
        <w:gridCol w:w="1248"/>
        <w:gridCol w:w="1045"/>
        <w:gridCol w:w="1091"/>
        <w:gridCol w:w="1094"/>
      </w:tblGrid>
      <w:tr w:rsidR="004C1ACE" w:rsidRPr="001B1E83" w:rsidTr="000C3DEA">
        <w:trPr>
          <w:tblHeader/>
        </w:trPr>
        <w:tc>
          <w:tcPr>
            <w:tcW w:w="2388" w:type="dxa"/>
          </w:tcPr>
          <w:p w:rsidR="004C1ACE" w:rsidRPr="00E719A3" w:rsidRDefault="004C1ACE" w:rsidP="00614CCC">
            <w:pPr>
              <w:pStyle w:val="TableFigText"/>
              <w:rPr>
                <w:rFonts w:asciiTheme="minorHAnsi" w:hAnsiTheme="minorHAnsi" w:cstheme="minorHAnsi"/>
                <w:szCs w:val="22"/>
              </w:rPr>
            </w:pPr>
          </w:p>
        </w:tc>
        <w:tc>
          <w:tcPr>
            <w:tcW w:w="1044" w:type="dxa"/>
          </w:tcPr>
          <w:p w:rsidR="004C1ACE" w:rsidRPr="00E719A3" w:rsidRDefault="004C1ACE" w:rsidP="00D27F8A">
            <w:pPr>
              <w:pStyle w:val="TableFigText"/>
              <w:jc w:val="right"/>
              <w:rPr>
                <w:rFonts w:asciiTheme="minorHAnsi" w:hAnsiTheme="minorHAnsi" w:cstheme="minorHAnsi"/>
                <w:b/>
                <w:szCs w:val="22"/>
              </w:rPr>
            </w:pPr>
            <w:r w:rsidRPr="00E719A3">
              <w:rPr>
                <w:rFonts w:asciiTheme="minorHAnsi" w:hAnsiTheme="minorHAnsi" w:cstheme="minorHAnsi"/>
                <w:b/>
                <w:szCs w:val="22"/>
              </w:rPr>
              <w:t>Major cities</w:t>
            </w:r>
          </w:p>
        </w:tc>
        <w:tc>
          <w:tcPr>
            <w:tcW w:w="1376" w:type="dxa"/>
          </w:tcPr>
          <w:p w:rsidR="004C1ACE" w:rsidRPr="00E719A3" w:rsidRDefault="004C1ACE" w:rsidP="00D27F8A">
            <w:pPr>
              <w:pStyle w:val="TableFigText"/>
              <w:jc w:val="right"/>
              <w:rPr>
                <w:rFonts w:asciiTheme="minorHAnsi" w:hAnsiTheme="minorHAnsi" w:cstheme="minorHAnsi"/>
                <w:b/>
                <w:szCs w:val="22"/>
              </w:rPr>
            </w:pPr>
            <w:r w:rsidRPr="00E719A3">
              <w:rPr>
                <w:rFonts w:asciiTheme="minorHAnsi" w:hAnsiTheme="minorHAnsi" w:cstheme="minorHAnsi"/>
                <w:b/>
                <w:szCs w:val="22"/>
              </w:rPr>
              <w:t>Inner regional</w:t>
            </w:r>
          </w:p>
        </w:tc>
        <w:tc>
          <w:tcPr>
            <w:tcW w:w="1248" w:type="dxa"/>
          </w:tcPr>
          <w:p w:rsidR="004C1ACE" w:rsidRPr="00E719A3" w:rsidRDefault="004C1ACE" w:rsidP="00D27F8A">
            <w:pPr>
              <w:pStyle w:val="TableFigText"/>
              <w:jc w:val="right"/>
              <w:rPr>
                <w:rFonts w:asciiTheme="minorHAnsi" w:hAnsiTheme="minorHAnsi" w:cstheme="minorHAnsi"/>
                <w:b/>
                <w:szCs w:val="22"/>
              </w:rPr>
            </w:pPr>
            <w:r w:rsidRPr="00E719A3">
              <w:rPr>
                <w:rFonts w:asciiTheme="minorHAnsi" w:hAnsiTheme="minorHAnsi" w:cstheme="minorHAnsi"/>
                <w:b/>
                <w:szCs w:val="22"/>
              </w:rPr>
              <w:t>Outer regional</w:t>
            </w:r>
          </w:p>
        </w:tc>
        <w:tc>
          <w:tcPr>
            <w:tcW w:w="1045" w:type="dxa"/>
          </w:tcPr>
          <w:p w:rsidR="004C1ACE" w:rsidRPr="00E719A3" w:rsidRDefault="004C1ACE" w:rsidP="00D27F8A">
            <w:pPr>
              <w:pStyle w:val="TableFigText"/>
              <w:jc w:val="right"/>
              <w:rPr>
                <w:rFonts w:asciiTheme="minorHAnsi" w:hAnsiTheme="minorHAnsi" w:cstheme="minorHAnsi"/>
                <w:b/>
                <w:szCs w:val="22"/>
              </w:rPr>
            </w:pPr>
            <w:r w:rsidRPr="00E719A3">
              <w:rPr>
                <w:rFonts w:asciiTheme="minorHAnsi" w:hAnsiTheme="minorHAnsi" w:cstheme="minorHAnsi"/>
                <w:b/>
                <w:szCs w:val="22"/>
              </w:rPr>
              <w:t>Remote</w:t>
            </w:r>
          </w:p>
        </w:tc>
        <w:tc>
          <w:tcPr>
            <w:tcW w:w="1091" w:type="dxa"/>
          </w:tcPr>
          <w:p w:rsidR="004C1ACE" w:rsidRPr="00E719A3" w:rsidRDefault="004C1ACE" w:rsidP="00D27F8A">
            <w:pPr>
              <w:pStyle w:val="TableFigText"/>
              <w:jc w:val="right"/>
              <w:rPr>
                <w:rFonts w:asciiTheme="minorHAnsi" w:hAnsiTheme="minorHAnsi" w:cstheme="minorHAnsi"/>
                <w:b/>
                <w:szCs w:val="22"/>
              </w:rPr>
            </w:pPr>
            <w:r w:rsidRPr="00E719A3">
              <w:rPr>
                <w:rFonts w:asciiTheme="minorHAnsi" w:hAnsiTheme="minorHAnsi" w:cstheme="minorHAnsi"/>
                <w:b/>
                <w:szCs w:val="22"/>
              </w:rPr>
              <w:t>Very remote</w:t>
            </w:r>
          </w:p>
        </w:tc>
        <w:tc>
          <w:tcPr>
            <w:tcW w:w="1094" w:type="dxa"/>
          </w:tcPr>
          <w:p w:rsidR="004C1ACE" w:rsidRPr="00E719A3" w:rsidRDefault="004C1ACE" w:rsidP="00D27F8A">
            <w:pPr>
              <w:pStyle w:val="TableFigText"/>
              <w:jc w:val="right"/>
              <w:rPr>
                <w:rFonts w:asciiTheme="minorHAnsi" w:hAnsiTheme="minorHAnsi" w:cstheme="minorHAnsi"/>
                <w:b/>
                <w:szCs w:val="22"/>
              </w:rPr>
            </w:pPr>
            <w:r w:rsidRPr="00E719A3">
              <w:rPr>
                <w:rFonts w:asciiTheme="minorHAnsi" w:hAnsiTheme="minorHAnsi" w:cstheme="minorHAnsi"/>
                <w:b/>
                <w:szCs w:val="22"/>
              </w:rPr>
              <w:t>Total</w:t>
            </w:r>
          </w:p>
        </w:tc>
      </w:tr>
      <w:tr w:rsidR="004C1ACE" w:rsidRPr="001B1E83" w:rsidTr="004C1ACE">
        <w:tc>
          <w:tcPr>
            <w:tcW w:w="2388" w:type="dxa"/>
          </w:tcPr>
          <w:p w:rsidR="004C1ACE" w:rsidRPr="00E719A3" w:rsidRDefault="004C1ACE" w:rsidP="00AF46B7">
            <w:pPr>
              <w:pStyle w:val="TableFigText"/>
              <w:rPr>
                <w:rFonts w:asciiTheme="minorHAnsi" w:hAnsiTheme="minorHAnsi" w:cstheme="minorHAnsi"/>
                <w:szCs w:val="22"/>
              </w:rPr>
            </w:pPr>
            <w:r w:rsidRPr="00E719A3">
              <w:rPr>
                <w:rFonts w:asciiTheme="minorHAnsi" w:hAnsiTheme="minorHAnsi" w:cstheme="minorHAnsi"/>
                <w:szCs w:val="22"/>
              </w:rPr>
              <w:t>Public hospital services</w:t>
            </w:r>
            <w:r w:rsidRPr="00E719A3">
              <w:rPr>
                <w:rFonts w:asciiTheme="minorHAnsi" w:hAnsiTheme="minorHAnsi" w:cstheme="minorHAnsi"/>
                <w:szCs w:val="22"/>
                <w:vertAlign w:val="superscript"/>
              </w:rPr>
              <w:t>(</w:t>
            </w:r>
            <w:r w:rsidR="00AF46B7" w:rsidRPr="00E719A3">
              <w:rPr>
                <w:rFonts w:asciiTheme="minorHAnsi" w:hAnsiTheme="minorHAnsi" w:cstheme="minorHAnsi"/>
                <w:szCs w:val="22"/>
                <w:vertAlign w:val="superscript"/>
              </w:rPr>
              <w:t>e</w:t>
            </w:r>
            <w:r w:rsidRPr="00E719A3">
              <w:rPr>
                <w:rFonts w:asciiTheme="minorHAnsi" w:hAnsiTheme="minorHAnsi" w:cstheme="minorHAnsi"/>
                <w:szCs w:val="22"/>
                <w:vertAlign w:val="superscript"/>
              </w:rPr>
              <w:t>)(</w:t>
            </w:r>
            <w:r w:rsidR="00AF46B7" w:rsidRPr="00E719A3">
              <w:rPr>
                <w:rFonts w:asciiTheme="minorHAnsi" w:hAnsiTheme="minorHAnsi" w:cstheme="minorHAnsi"/>
                <w:szCs w:val="22"/>
                <w:vertAlign w:val="superscript"/>
              </w:rPr>
              <w:t>f</w:t>
            </w:r>
            <w:r w:rsidRPr="00E719A3">
              <w:rPr>
                <w:rFonts w:asciiTheme="minorHAnsi" w:hAnsiTheme="minorHAnsi" w:cstheme="minorHAnsi"/>
                <w:szCs w:val="22"/>
                <w:vertAlign w:val="superscript"/>
              </w:rPr>
              <w:t>)</w:t>
            </w:r>
          </w:p>
        </w:tc>
        <w:tc>
          <w:tcPr>
            <w:tcW w:w="1044" w:type="dxa"/>
          </w:tcPr>
          <w:p w:rsidR="004C1ACE" w:rsidRPr="00D27F8A" w:rsidRDefault="004C1ACE" w:rsidP="00D27F8A">
            <w:pPr>
              <w:pStyle w:val="TableFigText"/>
              <w:jc w:val="right"/>
            </w:pPr>
            <w:r w:rsidRPr="00D27F8A">
              <w:t>88.92</w:t>
            </w:r>
          </w:p>
        </w:tc>
        <w:tc>
          <w:tcPr>
            <w:tcW w:w="1376" w:type="dxa"/>
          </w:tcPr>
          <w:p w:rsidR="004C1ACE" w:rsidRPr="00D27F8A" w:rsidRDefault="004C1ACE" w:rsidP="00D27F8A">
            <w:pPr>
              <w:pStyle w:val="TableFigText"/>
              <w:jc w:val="right"/>
            </w:pPr>
            <w:r w:rsidRPr="00D27F8A">
              <w:t>90.24</w:t>
            </w:r>
          </w:p>
        </w:tc>
        <w:tc>
          <w:tcPr>
            <w:tcW w:w="1248" w:type="dxa"/>
          </w:tcPr>
          <w:p w:rsidR="004C1ACE" w:rsidRPr="00D27F8A" w:rsidRDefault="004C1ACE" w:rsidP="00D27F8A">
            <w:pPr>
              <w:pStyle w:val="TableFigText"/>
              <w:jc w:val="right"/>
            </w:pPr>
            <w:r w:rsidRPr="00D27F8A">
              <w:t>8.30</w:t>
            </w:r>
          </w:p>
        </w:tc>
        <w:tc>
          <w:tcPr>
            <w:tcW w:w="1045" w:type="dxa"/>
          </w:tcPr>
          <w:p w:rsidR="004C1ACE" w:rsidRPr="00D27F8A" w:rsidRDefault="001B1E83" w:rsidP="00D27F8A">
            <w:pPr>
              <w:pStyle w:val="TableFigText"/>
              <w:jc w:val="right"/>
            </w:pPr>
            <w:r w:rsidRPr="00D27F8A">
              <w:t>0</w:t>
            </w:r>
          </w:p>
        </w:tc>
        <w:tc>
          <w:tcPr>
            <w:tcW w:w="1091" w:type="dxa"/>
          </w:tcPr>
          <w:p w:rsidR="004C1ACE" w:rsidRPr="00D27F8A" w:rsidRDefault="001B1E83" w:rsidP="00D27F8A">
            <w:pPr>
              <w:pStyle w:val="TableFigText"/>
              <w:jc w:val="right"/>
            </w:pPr>
            <w:r w:rsidRPr="00D27F8A">
              <w:t>0</w:t>
            </w:r>
          </w:p>
        </w:tc>
        <w:tc>
          <w:tcPr>
            <w:tcW w:w="1094" w:type="dxa"/>
          </w:tcPr>
          <w:p w:rsidR="004C1ACE" w:rsidRPr="00D27F8A" w:rsidRDefault="004C1ACE" w:rsidP="00D27F8A">
            <w:pPr>
              <w:pStyle w:val="TableFigText"/>
              <w:jc w:val="right"/>
            </w:pPr>
            <w:r w:rsidRPr="00D27F8A">
              <w:t>83.51</w:t>
            </w:r>
          </w:p>
        </w:tc>
      </w:tr>
      <w:tr w:rsidR="004C1ACE" w:rsidRPr="001B1E83" w:rsidTr="004C1ACE">
        <w:tc>
          <w:tcPr>
            <w:tcW w:w="2388" w:type="dxa"/>
          </w:tcPr>
          <w:p w:rsidR="004C1ACE" w:rsidRPr="00E719A3" w:rsidRDefault="004C1ACE" w:rsidP="00614CCC">
            <w:pPr>
              <w:pStyle w:val="TableFigText"/>
              <w:rPr>
                <w:rFonts w:asciiTheme="minorHAnsi" w:hAnsiTheme="minorHAnsi" w:cstheme="minorHAnsi"/>
                <w:szCs w:val="22"/>
              </w:rPr>
            </w:pPr>
            <w:r w:rsidRPr="00E719A3">
              <w:rPr>
                <w:rFonts w:asciiTheme="minorHAnsi" w:hAnsiTheme="minorHAnsi" w:cstheme="minorHAnsi"/>
                <w:szCs w:val="22"/>
              </w:rPr>
              <w:t>Community mental health services</w:t>
            </w:r>
          </w:p>
        </w:tc>
        <w:tc>
          <w:tcPr>
            <w:tcW w:w="1044" w:type="dxa"/>
          </w:tcPr>
          <w:p w:rsidR="004C1ACE" w:rsidRPr="00D27F8A" w:rsidRDefault="004C1ACE" w:rsidP="00D27F8A">
            <w:pPr>
              <w:pStyle w:val="TableFigText"/>
              <w:jc w:val="right"/>
            </w:pPr>
            <w:r w:rsidRPr="00D27F8A">
              <w:t>63.96</w:t>
            </w:r>
          </w:p>
        </w:tc>
        <w:tc>
          <w:tcPr>
            <w:tcW w:w="1376" w:type="dxa"/>
          </w:tcPr>
          <w:p w:rsidR="004C1ACE" w:rsidRPr="00D27F8A" w:rsidRDefault="004C1ACE" w:rsidP="00D27F8A">
            <w:pPr>
              <w:pStyle w:val="TableFigText"/>
              <w:jc w:val="right"/>
            </w:pPr>
            <w:r w:rsidRPr="00D27F8A">
              <w:t>54.88</w:t>
            </w:r>
          </w:p>
        </w:tc>
        <w:tc>
          <w:tcPr>
            <w:tcW w:w="1248" w:type="dxa"/>
          </w:tcPr>
          <w:p w:rsidR="004C1ACE" w:rsidRPr="00D27F8A" w:rsidRDefault="004C1ACE" w:rsidP="00D27F8A">
            <w:pPr>
              <w:pStyle w:val="TableFigText"/>
              <w:jc w:val="right"/>
            </w:pPr>
            <w:r w:rsidRPr="00D27F8A">
              <w:t>50.95</w:t>
            </w:r>
          </w:p>
        </w:tc>
        <w:tc>
          <w:tcPr>
            <w:tcW w:w="1045" w:type="dxa"/>
          </w:tcPr>
          <w:p w:rsidR="004C1ACE" w:rsidRPr="00D27F8A" w:rsidRDefault="004C1ACE" w:rsidP="00D27F8A">
            <w:pPr>
              <w:pStyle w:val="TableFigText"/>
              <w:jc w:val="right"/>
            </w:pPr>
            <w:r w:rsidRPr="00D27F8A">
              <w:t>63.41</w:t>
            </w:r>
          </w:p>
        </w:tc>
        <w:tc>
          <w:tcPr>
            <w:tcW w:w="1091" w:type="dxa"/>
          </w:tcPr>
          <w:p w:rsidR="004C1ACE" w:rsidRPr="00D27F8A" w:rsidRDefault="004C1ACE" w:rsidP="00D27F8A">
            <w:pPr>
              <w:pStyle w:val="TableFigText"/>
              <w:jc w:val="right"/>
            </w:pPr>
            <w:r w:rsidRPr="00D27F8A">
              <w:t>113.65</w:t>
            </w:r>
          </w:p>
        </w:tc>
        <w:tc>
          <w:tcPr>
            <w:tcW w:w="1094" w:type="dxa"/>
          </w:tcPr>
          <w:p w:rsidR="004C1ACE" w:rsidRPr="00D27F8A" w:rsidRDefault="004C1ACE" w:rsidP="00D27F8A">
            <w:pPr>
              <w:pStyle w:val="TableFigText"/>
              <w:jc w:val="right"/>
            </w:pPr>
            <w:r w:rsidRPr="00D27F8A">
              <w:t>61.40</w:t>
            </w:r>
          </w:p>
        </w:tc>
      </w:tr>
      <w:tr w:rsidR="004C1ACE" w:rsidRPr="001B1E83" w:rsidTr="004C1ACE">
        <w:tc>
          <w:tcPr>
            <w:tcW w:w="2388" w:type="dxa"/>
          </w:tcPr>
          <w:p w:rsidR="004C1ACE" w:rsidRPr="00E719A3" w:rsidRDefault="004C1ACE" w:rsidP="00AF46B7">
            <w:pPr>
              <w:pStyle w:val="TableFigText"/>
              <w:rPr>
                <w:rFonts w:asciiTheme="minorHAnsi" w:hAnsiTheme="minorHAnsi" w:cstheme="minorHAnsi"/>
                <w:szCs w:val="22"/>
              </w:rPr>
            </w:pPr>
            <w:r w:rsidRPr="00E719A3">
              <w:rPr>
                <w:rFonts w:asciiTheme="minorHAnsi" w:hAnsiTheme="minorHAnsi" w:cstheme="minorHAnsi"/>
                <w:szCs w:val="22"/>
              </w:rPr>
              <w:t>Residential mental health services</w:t>
            </w:r>
            <w:r w:rsidRPr="00E719A3">
              <w:rPr>
                <w:rFonts w:asciiTheme="minorHAnsi" w:hAnsiTheme="minorHAnsi" w:cstheme="minorHAnsi"/>
                <w:szCs w:val="22"/>
                <w:vertAlign w:val="superscript"/>
              </w:rPr>
              <w:t>(</w:t>
            </w:r>
            <w:r w:rsidR="00AF46B7" w:rsidRPr="00E719A3">
              <w:rPr>
                <w:rFonts w:asciiTheme="minorHAnsi" w:hAnsiTheme="minorHAnsi" w:cstheme="minorHAnsi"/>
                <w:szCs w:val="22"/>
                <w:vertAlign w:val="superscript"/>
              </w:rPr>
              <w:t>g</w:t>
            </w:r>
            <w:r w:rsidRPr="00E719A3">
              <w:rPr>
                <w:rFonts w:asciiTheme="minorHAnsi" w:hAnsiTheme="minorHAnsi" w:cstheme="minorHAnsi"/>
                <w:szCs w:val="22"/>
                <w:vertAlign w:val="superscript"/>
              </w:rPr>
              <w:t>)</w:t>
            </w:r>
          </w:p>
        </w:tc>
        <w:tc>
          <w:tcPr>
            <w:tcW w:w="1044" w:type="dxa"/>
          </w:tcPr>
          <w:p w:rsidR="004C1ACE" w:rsidRPr="00D27F8A" w:rsidRDefault="004C1ACE" w:rsidP="00D27F8A">
            <w:pPr>
              <w:pStyle w:val="TableFigText"/>
              <w:jc w:val="right"/>
            </w:pPr>
            <w:r w:rsidRPr="00D27F8A">
              <w:t>2.04</w:t>
            </w:r>
          </w:p>
        </w:tc>
        <w:tc>
          <w:tcPr>
            <w:tcW w:w="1376" w:type="dxa"/>
          </w:tcPr>
          <w:p w:rsidR="004C1ACE" w:rsidRPr="00D27F8A" w:rsidRDefault="004C1ACE" w:rsidP="00D27F8A">
            <w:pPr>
              <w:pStyle w:val="TableFigText"/>
              <w:jc w:val="right"/>
            </w:pPr>
            <w:r w:rsidRPr="00D27F8A">
              <w:t>4.90</w:t>
            </w:r>
          </w:p>
        </w:tc>
        <w:tc>
          <w:tcPr>
            <w:tcW w:w="1248" w:type="dxa"/>
          </w:tcPr>
          <w:p w:rsidR="004C1ACE" w:rsidRPr="00D27F8A" w:rsidRDefault="004C1ACE" w:rsidP="00D27F8A">
            <w:pPr>
              <w:pStyle w:val="TableFigText"/>
              <w:jc w:val="right"/>
            </w:pPr>
            <w:r w:rsidRPr="00D27F8A">
              <w:t>0.40</w:t>
            </w:r>
          </w:p>
        </w:tc>
        <w:tc>
          <w:tcPr>
            <w:tcW w:w="1045" w:type="dxa"/>
          </w:tcPr>
          <w:p w:rsidR="004C1ACE" w:rsidRPr="00D27F8A" w:rsidRDefault="001B1E83" w:rsidP="00D27F8A">
            <w:pPr>
              <w:pStyle w:val="TableFigText"/>
              <w:jc w:val="right"/>
            </w:pPr>
            <w:r w:rsidRPr="00D27F8A">
              <w:t>0</w:t>
            </w:r>
          </w:p>
        </w:tc>
        <w:tc>
          <w:tcPr>
            <w:tcW w:w="1091" w:type="dxa"/>
          </w:tcPr>
          <w:p w:rsidR="004C1ACE" w:rsidRPr="00D27F8A" w:rsidRDefault="001B1E83" w:rsidP="00D27F8A">
            <w:pPr>
              <w:pStyle w:val="TableFigText"/>
              <w:jc w:val="right"/>
            </w:pPr>
            <w:r w:rsidRPr="00D27F8A">
              <w:t>0</w:t>
            </w:r>
          </w:p>
        </w:tc>
        <w:tc>
          <w:tcPr>
            <w:tcW w:w="1094" w:type="dxa"/>
          </w:tcPr>
          <w:p w:rsidR="004C1ACE" w:rsidRPr="00D27F8A" w:rsidRDefault="004C1ACE" w:rsidP="00D27F8A">
            <w:pPr>
              <w:pStyle w:val="TableFigText"/>
              <w:jc w:val="right"/>
            </w:pPr>
            <w:r w:rsidRPr="00D27F8A">
              <w:t>2.49</w:t>
            </w:r>
          </w:p>
        </w:tc>
      </w:tr>
      <w:tr w:rsidR="004C1ACE" w:rsidRPr="001B1E83" w:rsidTr="004C1ACE">
        <w:tc>
          <w:tcPr>
            <w:tcW w:w="2388" w:type="dxa"/>
          </w:tcPr>
          <w:p w:rsidR="004C1ACE" w:rsidRPr="00D27F8A" w:rsidRDefault="004C1ACE" w:rsidP="00AF46B7">
            <w:pPr>
              <w:pStyle w:val="TableFigText"/>
              <w:rPr>
                <w:rFonts w:asciiTheme="minorHAnsi" w:hAnsiTheme="minorHAnsi" w:cstheme="minorHAnsi"/>
                <w:b/>
                <w:szCs w:val="22"/>
              </w:rPr>
            </w:pPr>
            <w:r w:rsidRPr="00D27F8A">
              <w:rPr>
                <w:rFonts w:asciiTheme="minorHAnsi" w:hAnsiTheme="minorHAnsi" w:cstheme="minorHAnsi"/>
                <w:b/>
                <w:szCs w:val="22"/>
              </w:rPr>
              <w:t>All mental health service types</w:t>
            </w:r>
            <w:r w:rsidRPr="00D27F8A">
              <w:rPr>
                <w:rFonts w:asciiTheme="minorHAnsi" w:hAnsiTheme="minorHAnsi" w:cstheme="minorHAnsi"/>
                <w:b/>
                <w:szCs w:val="22"/>
                <w:vertAlign w:val="superscript"/>
              </w:rPr>
              <w:t>(</w:t>
            </w:r>
            <w:r w:rsidR="00AF46B7" w:rsidRPr="00D27F8A">
              <w:rPr>
                <w:rFonts w:asciiTheme="minorHAnsi" w:hAnsiTheme="minorHAnsi" w:cstheme="minorHAnsi"/>
                <w:b/>
                <w:szCs w:val="22"/>
                <w:vertAlign w:val="superscript"/>
              </w:rPr>
              <w:t>h</w:t>
            </w:r>
            <w:r w:rsidRPr="00D27F8A">
              <w:rPr>
                <w:rFonts w:asciiTheme="minorHAnsi" w:hAnsiTheme="minorHAnsi" w:cstheme="minorHAnsi"/>
                <w:b/>
                <w:szCs w:val="22"/>
                <w:vertAlign w:val="superscript"/>
              </w:rPr>
              <w:t>)</w:t>
            </w:r>
          </w:p>
        </w:tc>
        <w:tc>
          <w:tcPr>
            <w:tcW w:w="1044" w:type="dxa"/>
          </w:tcPr>
          <w:p w:rsidR="004C1ACE" w:rsidRPr="00D27F8A" w:rsidRDefault="004C1ACE" w:rsidP="00D27F8A">
            <w:pPr>
              <w:pStyle w:val="TableFigText"/>
              <w:jc w:val="right"/>
              <w:rPr>
                <w:b/>
              </w:rPr>
            </w:pPr>
            <w:r w:rsidRPr="00D27F8A">
              <w:rPr>
                <w:b/>
              </w:rPr>
              <w:t>154.92</w:t>
            </w:r>
          </w:p>
        </w:tc>
        <w:tc>
          <w:tcPr>
            <w:tcW w:w="1376" w:type="dxa"/>
          </w:tcPr>
          <w:p w:rsidR="004C1ACE" w:rsidRPr="00D27F8A" w:rsidRDefault="004C1ACE" w:rsidP="00D27F8A">
            <w:pPr>
              <w:pStyle w:val="TableFigText"/>
              <w:jc w:val="right"/>
              <w:rPr>
                <w:b/>
              </w:rPr>
            </w:pPr>
            <w:r w:rsidRPr="00D27F8A">
              <w:rPr>
                <w:b/>
              </w:rPr>
              <w:t>150.02</w:t>
            </w:r>
          </w:p>
        </w:tc>
        <w:tc>
          <w:tcPr>
            <w:tcW w:w="1248" w:type="dxa"/>
          </w:tcPr>
          <w:p w:rsidR="004C1ACE" w:rsidRPr="00D27F8A" w:rsidRDefault="004C1ACE" w:rsidP="00D27F8A">
            <w:pPr>
              <w:pStyle w:val="TableFigText"/>
              <w:jc w:val="right"/>
              <w:rPr>
                <w:b/>
              </w:rPr>
            </w:pPr>
            <w:r w:rsidRPr="00D27F8A">
              <w:rPr>
                <w:b/>
              </w:rPr>
              <w:t>59.65</w:t>
            </w:r>
          </w:p>
        </w:tc>
        <w:tc>
          <w:tcPr>
            <w:tcW w:w="1045" w:type="dxa"/>
          </w:tcPr>
          <w:p w:rsidR="004C1ACE" w:rsidRPr="00D27F8A" w:rsidRDefault="004C1ACE" w:rsidP="00D27F8A">
            <w:pPr>
              <w:pStyle w:val="TableFigText"/>
              <w:jc w:val="right"/>
              <w:rPr>
                <w:b/>
              </w:rPr>
            </w:pPr>
            <w:r w:rsidRPr="00D27F8A">
              <w:rPr>
                <w:b/>
              </w:rPr>
              <w:t>63.41</w:t>
            </w:r>
          </w:p>
        </w:tc>
        <w:tc>
          <w:tcPr>
            <w:tcW w:w="1091" w:type="dxa"/>
          </w:tcPr>
          <w:p w:rsidR="004C1ACE" w:rsidRPr="00D27F8A" w:rsidRDefault="004C1ACE" w:rsidP="00D27F8A">
            <w:pPr>
              <w:pStyle w:val="TableFigText"/>
              <w:jc w:val="right"/>
              <w:rPr>
                <w:b/>
              </w:rPr>
            </w:pPr>
            <w:r w:rsidRPr="00D27F8A">
              <w:rPr>
                <w:b/>
              </w:rPr>
              <w:t>113.65</w:t>
            </w:r>
          </w:p>
        </w:tc>
        <w:tc>
          <w:tcPr>
            <w:tcW w:w="1094" w:type="dxa"/>
          </w:tcPr>
          <w:p w:rsidR="004C1ACE" w:rsidRPr="00D27F8A" w:rsidRDefault="004C1ACE" w:rsidP="00D27F8A">
            <w:pPr>
              <w:pStyle w:val="TableFigText"/>
              <w:jc w:val="right"/>
              <w:rPr>
                <w:b/>
              </w:rPr>
            </w:pPr>
            <w:r w:rsidRPr="00D27F8A">
              <w:rPr>
                <w:b/>
              </w:rPr>
              <w:t>147.40</w:t>
            </w:r>
          </w:p>
        </w:tc>
      </w:tr>
    </w:tbl>
    <w:p w:rsidR="004C1ACE" w:rsidRPr="00B27FBD" w:rsidRDefault="004C1ACE" w:rsidP="00540186">
      <w:pPr>
        <w:pStyle w:val="TableFigNotesnumbered"/>
        <w:numPr>
          <w:ilvl w:val="0"/>
          <w:numId w:val="34"/>
        </w:numPr>
        <w:rPr>
          <w:rStyle w:val="table-note"/>
        </w:rPr>
      </w:pPr>
      <w:r w:rsidRPr="00B27FBD">
        <w:rPr>
          <w:rStyle w:val="table-note"/>
        </w:rPr>
        <w:t>Expenditure excludes depreciation.</w:t>
      </w:r>
    </w:p>
    <w:p w:rsidR="004C1ACE" w:rsidRPr="00B27FBD" w:rsidRDefault="004C1ACE" w:rsidP="00540186">
      <w:pPr>
        <w:pStyle w:val="TableFigNotesnumbered"/>
        <w:numPr>
          <w:ilvl w:val="0"/>
          <w:numId w:val="34"/>
        </w:numPr>
        <w:rPr>
          <w:rStyle w:val="table-note"/>
        </w:rPr>
      </w:pPr>
      <w:r w:rsidRPr="00B27FBD">
        <w:rPr>
          <w:rStyle w:val="table-note"/>
        </w:rPr>
        <w:t xml:space="preserve">Expenditure excludes grants to non-government organisations and indirect expenditure at the state/territory, region and organisation levels not apportioned to service units. </w:t>
      </w:r>
    </w:p>
    <w:p w:rsidR="004C1ACE" w:rsidRPr="00B27FBD" w:rsidRDefault="004C1ACE" w:rsidP="00540186">
      <w:pPr>
        <w:pStyle w:val="TableFigNotesnumbered"/>
        <w:numPr>
          <w:ilvl w:val="0"/>
          <w:numId w:val="34"/>
        </w:numPr>
        <w:rPr>
          <w:rStyle w:val="table-note"/>
        </w:rPr>
      </w:pPr>
      <w:r w:rsidRPr="00B27FBD">
        <w:rPr>
          <w:rStyle w:val="table-note"/>
        </w:rPr>
        <w:t>Crude rate is based on the state and territory estimated resident population by remoteness area as at 30 June 2007.</w:t>
      </w:r>
    </w:p>
    <w:p w:rsidR="004C1ACE" w:rsidRPr="00B27FBD" w:rsidRDefault="004C1ACE" w:rsidP="00540186">
      <w:pPr>
        <w:pStyle w:val="TableFigNotesnumbered"/>
        <w:numPr>
          <w:ilvl w:val="0"/>
          <w:numId w:val="34"/>
        </w:numPr>
        <w:rPr>
          <w:rStyle w:val="table-note"/>
        </w:rPr>
      </w:pPr>
      <w:r w:rsidRPr="00B27FBD">
        <w:rPr>
          <w:rStyle w:val="table-note"/>
        </w:rPr>
        <w:t>Constant prices are referenced to 2011–12 and are adjusted for inflation.</w:t>
      </w:r>
    </w:p>
    <w:p w:rsidR="004C1ACE" w:rsidRPr="00B27FBD" w:rsidRDefault="004C1ACE" w:rsidP="00540186">
      <w:pPr>
        <w:pStyle w:val="TableFigNotesnumbered"/>
        <w:numPr>
          <w:ilvl w:val="0"/>
          <w:numId w:val="34"/>
        </w:numPr>
        <w:rPr>
          <w:rStyle w:val="table-note"/>
        </w:rPr>
      </w:pPr>
      <w:r w:rsidRPr="00B27FBD">
        <w:rPr>
          <w:rStyle w:val="table-note"/>
        </w:rPr>
        <w:t>Includes public hospital services managed and operated by private and non-government entities.</w:t>
      </w:r>
    </w:p>
    <w:p w:rsidR="004C1ACE" w:rsidRPr="00B27FBD" w:rsidRDefault="004C1ACE" w:rsidP="00540186">
      <w:pPr>
        <w:pStyle w:val="TableFigNotesnumbered"/>
        <w:numPr>
          <w:ilvl w:val="0"/>
          <w:numId w:val="34"/>
        </w:numPr>
        <w:rPr>
          <w:rStyle w:val="table-note"/>
        </w:rPr>
      </w:pPr>
      <w:r w:rsidRPr="00B27FBD">
        <w:rPr>
          <w:rStyle w:val="table-note"/>
        </w:rPr>
        <w:t>Public psychiatric hospitals and specialised psychiatric units or wards in public acute hospitals include expenditure on admitted patient services only. Public hospitals outpatient departments are included in community mental health care services.</w:t>
      </w:r>
      <w:r w:rsidRPr="00B27FBD">
        <w:rPr>
          <w:rStyle w:val="table-note"/>
        </w:rPr>
        <w:tab/>
      </w:r>
      <w:r w:rsidRPr="00B27FBD">
        <w:rPr>
          <w:rStyle w:val="table-note"/>
        </w:rPr>
        <w:tab/>
      </w:r>
    </w:p>
    <w:p w:rsidR="004C1ACE" w:rsidRPr="00B27FBD" w:rsidRDefault="004C1ACE" w:rsidP="00540186">
      <w:pPr>
        <w:pStyle w:val="TableFigNotesnumbered"/>
        <w:numPr>
          <w:ilvl w:val="0"/>
          <w:numId w:val="34"/>
        </w:numPr>
        <w:rPr>
          <w:rStyle w:val="table-note"/>
        </w:rPr>
      </w:pPr>
      <w:r w:rsidRPr="00B27FBD">
        <w:rPr>
          <w:rStyle w:val="table-note"/>
        </w:rPr>
        <w:t>Residential mental health services include the total operating costs for partially or wholly government funded non-government-operated residential mental health services.</w:t>
      </w:r>
    </w:p>
    <w:p w:rsidR="00AF46B7" w:rsidRPr="00B27FBD" w:rsidRDefault="00AF46B7" w:rsidP="00540186">
      <w:pPr>
        <w:pStyle w:val="TableFigNotesnumbered"/>
        <w:numPr>
          <w:ilvl w:val="0"/>
          <w:numId w:val="34"/>
        </w:numPr>
        <w:rPr>
          <w:rStyle w:val="table-note"/>
        </w:rPr>
      </w:pPr>
      <w:r w:rsidRPr="00B27FBD">
        <w:rPr>
          <w:rStyle w:val="table-note"/>
        </w:rPr>
        <w:t>Totals may not add due to rounding.</w:t>
      </w:r>
    </w:p>
    <w:p w:rsidR="00AF46B7" w:rsidRPr="001B1E83" w:rsidRDefault="00AF46B7" w:rsidP="00AF46B7">
      <w:pPr>
        <w:pStyle w:val="TableFigNotesnumbered"/>
        <w:ind w:left="0" w:firstLine="0"/>
        <w:rPr>
          <w:rFonts w:asciiTheme="minorHAnsi" w:hAnsiTheme="minorHAnsi"/>
        </w:rPr>
      </w:pPr>
    </w:p>
    <w:p w:rsidR="004C1ACE" w:rsidRPr="001B1E83" w:rsidRDefault="004C1ACE">
      <w:pPr>
        <w:spacing w:before="0" w:after="0" w:line="240" w:lineRule="auto"/>
        <w:rPr>
          <w:rFonts w:asciiTheme="minorHAnsi" w:hAnsiTheme="minorHAnsi" w:cstheme="minorHAnsi"/>
          <w:b/>
          <w:sz w:val="20"/>
          <w:szCs w:val="20"/>
          <w:lang w:eastAsia="en-US"/>
        </w:rPr>
      </w:pPr>
      <w:r w:rsidRPr="001B1E83">
        <w:rPr>
          <w:rFonts w:asciiTheme="minorHAnsi" w:hAnsiTheme="minorHAnsi" w:cstheme="minorHAnsi"/>
        </w:rPr>
        <w:br w:type="page"/>
      </w:r>
    </w:p>
    <w:p w:rsidR="002265C7" w:rsidRPr="00CB7CCD" w:rsidRDefault="00CB7CCD" w:rsidP="002265C7">
      <w:pPr>
        <w:pStyle w:val="TableCaption"/>
        <w:rPr>
          <w:rStyle w:val="table-note"/>
        </w:rPr>
      </w:pPr>
      <w:r w:rsidRPr="00CB7CCD">
        <w:rPr>
          <w:rStyle w:val="table-note"/>
        </w:rPr>
        <w:lastRenderedPageBreak/>
        <w:t xml:space="preserve">Table 4: </w:t>
      </w:r>
      <w:r w:rsidR="002265C7" w:rsidRPr="00CB7CCD">
        <w:rPr>
          <w:rStyle w:val="table-note"/>
        </w:rPr>
        <w:t xml:space="preserve">NSW: Recurrent </w:t>
      </w:r>
      <w:proofErr w:type="gramStart"/>
      <w:r w:rsidR="002265C7" w:rsidRPr="00CB7CCD">
        <w:rPr>
          <w:rStyle w:val="table-note"/>
        </w:rPr>
        <w:t>expenditure</w:t>
      </w:r>
      <w:r w:rsidR="002265C7" w:rsidRPr="00CB7CCD">
        <w:rPr>
          <w:rStyle w:val="table-note"/>
          <w:vertAlign w:val="superscript"/>
        </w:rPr>
        <w:t>(</w:t>
      </w:r>
      <w:proofErr w:type="gramEnd"/>
      <w:r w:rsidR="002265C7" w:rsidRPr="00CB7CCD">
        <w:rPr>
          <w:rStyle w:val="table-note"/>
          <w:vertAlign w:val="superscript"/>
        </w:rPr>
        <w:t>a)(b)</w:t>
      </w:r>
      <w:r w:rsidR="002265C7" w:rsidRPr="00CB7CCD">
        <w:rPr>
          <w:rStyle w:val="table-note"/>
        </w:rPr>
        <w:t xml:space="preserve"> ($’000) on state and territory specialised mental health services, by service type, 2011–12 (current prices)</w:t>
      </w:r>
    </w:p>
    <w:tbl>
      <w:tblPr>
        <w:tblStyle w:val="TableGrid"/>
        <w:tblW w:w="0" w:type="auto"/>
        <w:tblLook w:val="04A0" w:firstRow="1" w:lastRow="0" w:firstColumn="1" w:lastColumn="0" w:noHBand="0" w:noVBand="1"/>
        <w:tblCaption w:val="NSW: Recurrent expenditure(a)(b) ($’000) on state and territory specialised mental health services, by service type, 2011–12 (current prices)"/>
        <w:tblDescription w:val="Table showing that, in 2011-2012, major cities in NSW have the highest recurrent expenditure for all specialised mental health services at $962,692,000. Recurrent expenditure decreased as regions became more remote. Public hospital services had the highest amount of recurrent expenditure overall across region types at $744,790,000."/>
      </w:tblPr>
      <w:tblGrid>
        <w:gridCol w:w="2341"/>
        <w:gridCol w:w="1079"/>
        <w:gridCol w:w="1371"/>
        <w:gridCol w:w="1237"/>
        <w:gridCol w:w="1038"/>
        <w:gridCol w:w="1082"/>
        <w:gridCol w:w="1138"/>
      </w:tblGrid>
      <w:tr w:rsidR="002265C7" w:rsidRPr="001B1E83" w:rsidTr="000C3DEA">
        <w:trPr>
          <w:tblHeader/>
        </w:trPr>
        <w:tc>
          <w:tcPr>
            <w:tcW w:w="2801" w:type="dxa"/>
          </w:tcPr>
          <w:p w:rsidR="002265C7" w:rsidRPr="001B1E83" w:rsidRDefault="002265C7" w:rsidP="002265C7">
            <w:pPr>
              <w:pStyle w:val="TableFigText"/>
              <w:rPr>
                <w:rFonts w:asciiTheme="minorHAnsi" w:hAnsiTheme="minorHAnsi" w:cstheme="minorHAnsi"/>
                <w:szCs w:val="22"/>
              </w:rPr>
            </w:pPr>
          </w:p>
        </w:tc>
        <w:tc>
          <w:tcPr>
            <w:tcW w:w="1174" w:type="dxa"/>
          </w:tcPr>
          <w:p w:rsidR="002265C7" w:rsidRPr="001B1E83" w:rsidRDefault="002265C7" w:rsidP="002265C7">
            <w:pPr>
              <w:pStyle w:val="TableFigText"/>
              <w:jc w:val="right"/>
              <w:rPr>
                <w:rFonts w:asciiTheme="minorHAnsi" w:hAnsiTheme="minorHAnsi" w:cstheme="minorHAnsi"/>
                <w:b/>
                <w:szCs w:val="22"/>
              </w:rPr>
            </w:pPr>
            <w:r w:rsidRPr="001B1E83">
              <w:rPr>
                <w:rFonts w:asciiTheme="minorHAnsi" w:hAnsiTheme="minorHAnsi" w:cstheme="minorHAnsi"/>
                <w:b/>
                <w:szCs w:val="22"/>
              </w:rPr>
              <w:t>Major cities</w:t>
            </w:r>
          </w:p>
        </w:tc>
        <w:tc>
          <w:tcPr>
            <w:tcW w:w="1565" w:type="dxa"/>
          </w:tcPr>
          <w:p w:rsidR="002265C7" w:rsidRPr="001B1E83" w:rsidRDefault="002265C7" w:rsidP="002265C7">
            <w:pPr>
              <w:pStyle w:val="TableFigText"/>
              <w:jc w:val="right"/>
              <w:rPr>
                <w:rFonts w:asciiTheme="minorHAnsi" w:hAnsiTheme="minorHAnsi" w:cstheme="minorHAnsi"/>
                <w:b/>
                <w:szCs w:val="22"/>
              </w:rPr>
            </w:pPr>
            <w:r w:rsidRPr="001B1E83">
              <w:rPr>
                <w:rFonts w:asciiTheme="minorHAnsi" w:hAnsiTheme="minorHAnsi" w:cstheme="minorHAnsi"/>
                <w:b/>
                <w:szCs w:val="22"/>
              </w:rPr>
              <w:t>Inner regional</w:t>
            </w:r>
          </w:p>
        </w:tc>
        <w:tc>
          <w:tcPr>
            <w:tcW w:w="1398" w:type="dxa"/>
          </w:tcPr>
          <w:p w:rsidR="002265C7" w:rsidRPr="001B1E83" w:rsidRDefault="002265C7" w:rsidP="002265C7">
            <w:pPr>
              <w:pStyle w:val="TableFigText"/>
              <w:jc w:val="right"/>
              <w:rPr>
                <w:rFonts w:asciiTheme="minorHAnsi" w:hAnsiTheme="minorHAnsi" w:cstheme="minorHAnsi"/>
                <w:b/>
                <w:szCs w:val="22"/>
              </w:rPr>
            </w:pPr>
            <w:r w:rsidRPr="001B1E83">
              <w:rPr>
                <w:rFonts w:asciiTheme="minorHAnsi" w:hAnsiTheme="minorHAnsi" w:cstheme="minorHAnsi"/>
                <w:b/>
                <w:szCs w:val="22"/>
              </w:rPr>
              <w:t>Outer regional</w:t>
            </w:r>
          </w:p>
        </w:tc>
        <w:tc>
          <w:tcPr>
            <w:tcW w:w="1139" w:type="dxa"/>
          </w:tcPr>
          <w:p w:rsidR="002265C7" w:rsidRPr="001B1E83" w:rsidRDefault="002265C7" w:rsidP="002265C7">
            <w:pPr>
              <w:pStyle w:val="TableFigText"/>
              <w:jc w:val="right"/>
              <w:rPr>
                <w:rFonts w:asciiTheme="minorHAnsi" w:hAnsiTheme="minorHAnsi" w:cstheme="minorHAnsi"/>
                <w:b/>
                <w:szCs w:val="22"/>
              </w:rPr>
            </w:pPr>
            <w:r w:rsidRPr="001B1E83">
              <w:rPr>
                <w:rFonts w:asciiTheme="minorHAnsi" w:hAnsiTheme="minorHAnsi" w:cstheme="minorHAnsi"/>
                <w:b/>
                <w:szCs w:val="22"/>
              </w:rPr>
              <w:t>Remote</w:t>
            </w:r>
          </w:p>
        </w:tc>
        <w:tc>
          <w:tcPr>
            <w:tcW w:w="1209" w:type="dxa"/>
          </w:tcPr>
          <w:p w:rsidR="002265C7" w:rsidRPr="001B1E83" w:rsidRDefault="002265C7" w:rsidP="002265C7">
            <w:pPr>
              <w:pStyle w:val="TableFigText"/>
              <w:jc w:val="right"/>
              <w:rPr>
                <w:rFonts w:asciiTheme="minorHAnsi" w:hAnsiTheme="minorHAnsi" w:cstheme="minorHAnsi"/>
                <w:b/>
                <w:szCs w:val="22"/>
              </w:rPr>
            </w:pPr>
            <w:r w:rsidRPr="001B1E83">
              <w:rPr>
                <w:rFonts w:asciiTheme="minorHAnsi" w:hAnsiTheme="minorHAnsi" w:cstheme="minorHAnsi"/>
                <w:b/>
                <w:szCs w:val="22"/>
              </w:rPr>
              <w:t>Very remote</w:t>
            </w:r>
          </w:p>
        </w:tc>
        <w:tc>
          <w:tcPr>
            <w:tcW w:w="1209" w:type="dxa"/>
          </w:tcPr>
          <w:p w:rsidR="002265C7" w:rsidRPr="001B1E83" w:rsidRDefault="002265C7" w:rsidP="002265C7">
            <w:pPr>
              <w:pStyle w:val="TableFigText"/>
              <w:jc w:val="right"/>
              <w:rPr>
                <w:rFonts w:asciiTheme="minorHAnsi" w:hAnsiTheme="minorHAnsi" w:cstheme="minorHAnsi"/>
                <w:b/>
                <w:szCs w:val="22"/>
              </w:rPr>
            </w:pPr>
            <w:r w:rsidRPr="001B1E83">
              <w:rPr>
                <w:rFonts w:asciiTheme="minorHAnsi" w:hAnsiTheme="minorHAnsi" w:cstheme="minorHAnsi"/>
                <w:b/>
                <w:szCs w:val="22"/>
              </w:rPr>
              <w:t>Total</w:t>
            </w:r>
            <w:r w:rsidRPr="001B1E83">
              <w:rPr>
                <w:rFonts w:asciiTheme="minorHAnsi" w:hAnsiTheme="minorHAnsi" w:cstheme="minorHAnsi"/>
                <w:b/>
                <w:szCs w:val="22"/>
                <w:vertAlign w:val="superscript"/>
              </w:rPr>
              <w:t>(c)</w:t>
            </w:r>
          </w:p>
        </w:tc>
      </w:tr>
      <w:tr w:rsidR="002265C7" w:rsidRPr="001B1E83" w:rsidTr="002265C7">
        <w:tc>
          <w:tcPr>
            <w:tcW w:w="2801" w:type="dxa"/>
          </w:tcPr>
          <w:p w:rsidR="002265C7" w:rsidRPr="001B1E83" w:rsidRDefault="002265C7" w:rsidP="002265C7">
            <w:pPr>
              <w:pStyle w:val="TableFigText"/>
              <w:rPr>
                <w:rFonts w:asciiTheme="minorHAnsi" w:hAnsiTheme="minorHAnsi" w:cstheme="minorHAnsi"/>
                <w:szCs w:val="22"/>
              </w:rPr>
            </w:pPr>
            <w:r w:rsidRPr="001B1E83">
              <w:rPr>
                <w:rFonts w:asciiTheme="minorHAnsi" w:hAnsiTheme="minorHAnsi" w:cstheme="minorHAnsi"/>
                <w:szCs w:val="22"/>
              </w:rPr>
              <w:t>Public hospital services</w:t>
            </w:r>
            <w:r w:rsidRPr="001B1E83">
              <w:rPr>
                <w:rFonts w:asciiTheme="minorHAnsi" w:hAnsiTheme="minorHAnsi" w:cstheme="minorHAnsi"/>
                <w:szCs w:val="22"/>
                <w:vertAlign w:val="superscript"/>
              </w:rPr>
              <w:t>(d)(e)</w:t>
            </w:r>
          </w:p>
        </w:tc>
        <w:tc>
          <w:tcPr>
            <w:tcW w:w="1174" w:type="dxa"/>
          </w:tcPr>
          <w:p w:rsidR="002265C7" w:rsidRPr="001B1E83" w:rsidRDefault="002265C7" w:rsidP="00D27F8A">
            <w:pPr>
              <w:pStyle w:val="TableFigText"/>
              <w:jc w:val="right"/>
            </w:pPr>
            <w:r w:rsidRPr="001B1E83">
              <w:t>578,831</w:t>
            </w:r>
          </w:p>
        </w:tc>
        <w:tc>
          <w:tcPr>
            <w:tcW w:w="1565" w:type="dxa"/>
          </w:tcPr>
          <w:p w:rsidR="002265C7" w:rsidRPr="001B1E83" w:rsidRDefault="002265C7" w:rsidP="00D27F8A">
            <w:pPr>
              <w:pStyle w:val="TableFigText"/>
              <w:jc w:val="right"/>
            </w:pPr>
            <w:r w:rsidRPr="001B1E83">
              <w:t>158,019</w:t>
            </w:r>
          </w:p>
        </w:tc>
        <w:tc>
          <w:tcPr>
            <w:tcW w:w="1398" w:type="dxa"/>
          </w:tcPr>
          <w:p w:rsidR="002265C7" w:rsidRPr="001B1E83" w:rsidRDefault="002265C7" w:rsidP="00D27F8A">
            <w:pPr>
              <w:pStyle w:val="TableFigText"/>
              <w:jc w:val="right"/>
            </w:pPr>
            <w:r w:rsidRPr="001B1E83">
              <w:t>7,940</w:t>
            </w:r>
          </w:p>
        </w:tc>
        <w:tc>
          <w:tcPr>
            <w:tcW w:w="1139" w:type="dxa"/>
          </w:tcPr>
          <w:p w:rsidR="002265C7" w:rsidRPr="001B1E83" w:rsidRDefault="002265C7" w:rsidP="00D27F8A">
            <w:pPr>
              <w:pStyle w:val="TableFigText"/>
              <w:jc w:val="right"/>
            </w:pPr>
            <w:r w:rsidRPr="001B1E83">
              <w:t>0</w:t>
            </w:r>
          </w:p>
        </w:tc>
        <w:tc>
          <w:tcPr>
            <w:tcW w:w="1209" w:type="dxa"/>
          </w:tcPr>
          <w:p w:rsidR="002265C7" w:rsidRPr="001B1E83" w:rsidRDefault="002265C7" w:rsidP="00D27F8A">
            <w:pPr>
              <w:pStyle w:val="TableFigText"/>
              <w:jc w:val="right"/>
            </w:pPr>
            <w:r w:rsidRPr="001B1E83">
              <w:t>0</w:t>
            </w:r>
          </w:p>
        </w:tc>
        <w:tc>
          <w:tcPr>
            <w:tcW w:w="1209" w:type="dxa"/>
          </w:tcPr>
          <w:p w:rsidR="002265C7" w:rsidRPr="001B1E83" w:rsidRDefault="002265C7" w:rsidP="00D27F8A">
            <w:pPr>
              <w:pStyle w:val="TableFigText"/>
              <w:jc w:val="right"/>
            </w:pPr>
            <w:r w:rsidRPr="001B1E83">
              <w:t>744,790</w:t>
            </w:r>
          </w:p>
        </w:tc>
      </w:tr>
      <w:tr w:rsidR="002265C7" w:rsidRPr="001B1E83" w:rsidTr="002265C7">
        <w:tc>
          <w:tcPr>
            <w:tcW w:w="2801" w:type="dxa"/>
          </w:tcPr>
          <w:p w:rsidR="002265C7" w:rsidRPr="001B1E83" w:rsidRDefault="002265C7" w:rsidP="002265C7">
            <w:pPr>
              <w:pStyle w:val="TableFigText"/>
              <w:rPr>
                <w:rFonts w:asciiTheme="minorHAnsi" w:hAnsiTheme="minorHAnsi" w:cstheme="minorHAnsi"/>
                <w:szCs w:val="22"/>
              </w:rPr>
            </w:pPr>
            <w:r w:rsidRPr="001B1E83">
              <w:rPr>
                <w:rFonts w:asciiTheme="minorHAnsi" w:hAnsiTheme="minorHAnsi" w:cstheme="minorHAnsi"/>
                <w:szCs w:val="22"/>
              </w:rPr>
              <w:t>Community mental health services</w:t>
            </w:r>
          </w:p>
        </w:tc>
        <w:tc>
          <w:tcPr>
            <w:tcW w:w="1174" w:type="dxa"/>
          </w:tcPr>
          <w:p w:rsidR="002265C7" w:rsidRPr="001B1E83" w:rsidRDefault="002265C7" w:rsidP="00D27F8A">
            <w:pPr>
              <w:pStyle w:val="TableFigText"/>
              <w:jc w:val="right"/>
            </w:pPr>
            <w:r w:rsidRPr="001B1E83">
              <w:t>375,845</w:t>
            </w:r>
          </w:p>
        </w:tc>
        <w:tc>
          <w:tcPr>
            <w:tcW w:w="1565" w:type="dxa"/>
          </w:tcPr>
          <w:p w:rsidR="002265C7" w:rsidRPr="001B1E83" w:rsidRDefault="002265C7" w:rsidP="00D27F8A">
            <w:pPr>
              <w:pStyle w:val="TableFigText"/>
              <w:jc w:val="right"/>
            </w:pPr>
            <w:r w:rsidRPr="001B1E83">
              <w:t>96,079</w:t>
            </w:r>
          </w:p>
        </w:tc>
        <w:tc>
          <w:tcPr>
            <w:tcW w:w="1398" w:type="dxa"/>
          </w:tcPr>
          <w:p w:rsidR="002265C7" w:rsidRPr="001B1E83" w:rsidRDefault="002265C7" w:rsidP="00D27F8A">
            <w:pPr>
              <w:pStyle w:val="TableFigText"/>
              <w:jc w:val="right"/>
            </w:pPr>
            <w:r w:rsidRPr="001B1E83">
              <w:t>23,801</w:t>
            </w:r>
          </w:p>
        </w:tc>
        <w:tc>
          <w:tcPr>
            <w:tcW w:w="1139" w:type="dxa"/>
          </w:tcPr>
          <w:p w:rsidR="002265C7" w:rsidRPr="001B1E83" w:rsidRDefault="002265C7" w:rsidP="00D27F8A">
            <w:pPr>
              <w:pStyle w:val="TableFigText"/>
              <w:jc w:val="right"/>
            </w:pPr>
            <w:r w:rsidRPr="001B1E83">
              <w:t>1,296</w:t>
            </w:r>
          </w:p>
        </w:tc>
        <w:tc>
          <w:tcPr>
            <w:tcW w:w="1209" w:type="dxa"/>
          </w:tcPr>
          <w:p w:rsidR="002265C7" w:rsidRPr="001B1E83" w:rsidRDefault="002265C7" w:rsidP="00D27F8A">
            <w:pPr>
              <w:pStyle w:val="TableFigText"/>
              <w:jc w:val="right"/>
            </w:pPr>
            <w:r w:rsidRPr="001B1E83">
              <w:t>1,312</w:t>
            </w:r>
          </w:p>
        </w:tc>
        <w:tc>
          <w:tcPr>
            <w:tcW w:w="1209" w:type="dxa"/>
          </w:tcPr>
          <w:p w:rsidR="002265C7" w:rsidRPr="001B1E83" w:rsidRDefault="002265C7" w:rsidP="00D27F8A">
            <w:pPr>
              <w:pStyle w:val="TableFigText"/>
              <w:jc w:val="right"/>
            </w:pPr>
            <w:r w:rsidRPr="001B1E83">
              <w:t>498,333</w:t>
            </w:r>
          </w:p>
        </w:tc>
      </w:tr>
      <w:tr w:rsidR="002265C7" w:rsidRPr="001B1E83" w:rsidTr="002265C7">
        <w:tc>
          <w:tcPr>
            <w:tcW w:w="2801" w:type="dxa"/>
          </w:tcPr>
          <w:p w:rsidR="002265C7" w:rsidRPr="001B1E83" w:rsidRDefault="002265C7" w:rsidP="002265C7">
            <w:pPr>
              <w:pStyle w:val="TableFigText"/>
              <w:rPr>
                <w:rFonts w:asciiTheme="minorHAnsi" w:hAnsiTheme="minorHAnsi" w:cstheme="minorHAnsi"/>
                <w:szCs w:val="22"/>
              </w:rPr>
            </w:pPr>
            <w:r w:rsidRPr="001B1E83">
              <w:rPr>
                <w:rFonts w:asciiTheme="minorHAnsi" w:hAnsiTheme="minorHAnsi" w:cstheme="minorHAnsi"/>
                <w:szCs w:val="22"/>
              </w:rPr>
              <w:t>Residential mental health services</w:t>
            </w:r>
            <w:r w:rsidRPr="001B1E83">
              <w:rPr>
                <w:rFonts w:asciiTheme="minorHAnsi" w:hAnsiTheme="minorHAnsi" w:cstheme="minorHAnsi"/>
                <w:szCs w:val="22"/>
                <w:vertAlign w:val="superscript"/>
              </w:rPr>
              <w:t>(f)</w:t>
            </w:r>
          </w:p>
        </w:tc>
        <w:tc>
          <w:tcPr>
            <w:tcW w:w="1174" w:type="dxa"/>
          </w:tcPr>
          <w:p w:rsidR="002265C7" w:rsidRPr="001B1E83" w:rsidRDefault="002265C7" w:rsidP="00D27F8A">
            <w:pPr>
              <w:pStyle w:val="TableFigText"/>
              <w:jc w:val="right"/>
            </w:pPr>
            <w:r w:rsidRPr="001B1E83">
              <w:t>8,016</w:t>
            </w:r>
          </w:p>
        </w:tc>
        <w:tc>
          <w:tcPr>
            <w:tcW w:w="1565" w:type="dxa"/>
          </w:tcPr>
          <w:p w:rsidR="002265C7" w:rsidRPr="001B1E83" w:rsidRDefault="002265C7" w:rsidP="00D27F8A">
            <w:pPr>
              <w:pStyle w:val="TableFigText"/>
              <w:jc w:val="right"/>
            </w:pPr>
            <w:r w:rsidRPr="001B1E83">
              <w:t>4,642</w:t>
            </w:r>
          </w:p>
        </w:tc>
        <w:tc>
          <w:tcPr>
            <w:tcW w:w="1398" w:type="dxa"/>
          </w:tcPr>
          <w:p w:rsidR="002265C7" w:rsidRPr="001B1E83" w:rsidRDefault="002265C7" w:rsidP="00D27F8A">
            <w:pPr>
              <w:pStyle w:val="TableFigText"/>
              <w:jc w:val="right"/>
            </w:pPr>
            <w:r w:rsidRPr="001B1E83">
              <w:t>98</w:t>
            </w:r>
          </w:p>
        </w:tc>
        <w:tc>
          <w:tcPr>
            <w:tcW w:w="1139" w:type="dxa"/>
          </w:tcPr>
          <w:p w:rsidR="002265C7" w:rsidRPr="001B1E83" w:rsidRDefault="002265C7" w:rsidP="00D27F8A">
            <w:pPr>
              <w:pStyle w:val="TableFigText"/>
              <w:jc w:val="right"/>
            </w:pPr>
            <w:r w:rsidRPr="001B1E83">
              <w:t>0</w:t>
            </w:r>
          </w:p>
        </w:tc>
        <w:tc>
          <w:tcPr>
            <w:tcW w:w="1209" w:type="dxa"/>
          </w:tcPr>
          <w:p w:rsidR="002265C7" w:rsidRPr="001B1E83" w:rsidRDefault="002265C7" w:rsidP="00D27F8A">
            <w:pPr>
              <w:pStyle w:val="TableFigText"/>
              <w:jc w:val="right"/>
            </w:pPr>
            <w:r w:rsidRPr="001B1E83">
              <w:t>0</w:t>
            </w:r>
          </w:p>
        </w:tc>
        <w:tc>
          <w:tcPr>
            <w:tcW w:w="1209" w:type="dxa"/>
          </w:tcPr>
          <w:p w:rsidR="002265C7" w:rsidRPr="001B1E83" w:rsidRDefault="002265C7" w:rsidP="00D27F8A">
            <w:pPr>
              <w:pStyle w:val="TableFigText"/>
              <w:jc w:val="right"/>
            </w:pPr>
            <w:r w:rsidRPr="001B1E83">
              <w:t>12,755</w:t>
            </w:r>
          </w:p>
        </w:tc>
      </w:tr>
      <w:tr w:rsidR="002265C7" w:rsidRPr="001B1E83" w:rsidTr="002265C7">
        <w:tc>
          <w:tcPr>
            <w:tcW w:w="2801" w:type="dxa"/>
          </w:tcPr>
          <w:p w:rsidR="002265C7" w:rsidRPr="00D27F8A" w:rsidRDefault="002265C7" w:rsidP="002265C7">
            <w:pPr>
              <w:pStyle w:val="TableFigText"/>
              <w:rPr>
                <w:rFonts w:asciiTheme="minorHAnsi" w:hAnsiTheme="minorHAnsi" w:cstheme="minorHAnsi"/>
                <w:b/>
                <w:szCs w:val="22"/>
              </w:rPr>
            </w:pPr>
            <w:r w:rsidRPr="00D27F8A">
              <w:rPr>
                <w:rFonts w:asciiTheme="minorHAnsi" w:hAnsiTheme="minorHAnsi" w:cstheme="minorHAnsi"/>
                <w:b/>
                <w:szCs w:val="22"/>
              </w:rPr>
              <w:t>All mental health service types</w:t>
            </w:r>
            <w:r w:rsidRPr="00D27F8A">
              <w:rPr>
                <w:rFonts w:asciiTheme="minorHAnsi" w:hAnsiTheme="minorHAnsi" w:cstheme="minorHAnsi"/>
                <w:b/>
                <w:szCs w:val="22"/>
                <w:vertAlign w:val="superscript"/>
              </w:rPr>
              <w:t>(c)</w:t>
            </w:r>
          </w:p>
        </w:tc>
        <w:tc>
          <w:tcPr>
            <w:tcW w:w="1174" w:type="dxa"/>
          </w:tcPr>
          <w:p w:rsidR="002265C7" w:rsidRPr="00D27F8A" w:rsidRDefault="002265C7" w:rsidP="00D27F8A">
            <w:pPr>
              <w:pStyle w:val="TableFigText"/>
              <w:jc w:val="right"/>
              <w:rPr>
                <w:b/>
              </w:rPr>
            </w:pPr>
            <w:r w:rsidRPr="00D27F8A">
              <w:rPr>
                <w:b/>
              </w:rPr>
              <w:t>962,692</w:t>
            </w:r>
          </w:p>
        </w:tc>
        <w:tc>
          <w:tcPr>
            <w:tcW w:w="1565" w:type="dxa"/>
          </w:tcPr>
          <w:p w:rsidR="002265C7" w:rsidRPr="00D27F8A" w:rsidRDefault="002265C7" w:rsidP="00D27F8A">
            <w:pPr>
              <w:pStyle w:val="TableFigText"/>
              <w:jc w:val="right"/>
              <w:rPr>
                <w:b/>
              </w:rPr>
            </w:pPr>
            <w:r w:rsidRPr="00D27F8A">
              <w:rPr>
                <w:b/>
              </w:rPr>
              <w:t>258,740</w:t>
            </w:r>
          </w:p>
        </w:tc>
        <w:tc>
          <w:tcPr>
            <w:tcW w:w="1398" w:type="dxa"/>
          </w:tcPr>
          <w:p w:rsidR="002265C7" w:rsidRPr="00D27F8A" w:rsidRDefault="002265C7" w:rsidP="00D27F8A">
            <w:pPr>
              <w:pStyle w:val="TableFigText"/>
              <w:jc w:val="right"/>
              <w:rPr>
                <w:b/>
              </w:rPr>
            </w:pPr>
            <w:r w:rsidRPr="00D27F8A">
              <w:rPr>
                <w:b/>
              </w:rPr>
              <w:t>31,839</w:t>
            </w:r>
          </w:p>
        </w:tc>
        <w:tc>
          <w:tcPr>
            <w:tcW w:w="1139" w:type="dxa"/>
          </w:tcPr>
          <w:p w:rsidR="002265C7" w:rsidRPr="00D27F8A" w:rsidRDefault="002265C7" w:rsidP="00D27F8A">
            <w:pPr>
              <w:pStyle w:val="TableFigText"/>
              <w:jc w:val="right"/>
              <w:rPr>
                <w:b/>
              </w:rPr>
            </w:pPr>
            <w:r w:rsidRPr="00D27F8A">
              <w:rPr>
                <w:b/>
              </w:rPr>
              <w:t>1,296</w:t>
            </w:r>
          </w:p>
        </w:tc>
        <w:tc>
          <w:tcPr>
            <w:tcW w:w="1209" w:type="dxa"/>
          </w:tcPr>
          <w:p w:rsidR="002265C7" w:rsidRPr="00D27F8A" w:rsidRDefault="002265C7" w:rsidP="00D27F8A">
            <w:pPr>
              <w:pStyle w:val="TableFigText"/>
              <w:jc w:val="right"/>
              <w:rPr>
                <w:b/>
              </w:rPr>
            </w:pPr>
            <w:r w:rsidRPr="00D27F8A">
              <w:rPr>
                <w:b/>
              </w:rPr>
              <w:t>1,312</w:t>
            </w:r>
          </w:p>
        </w:tc>
        <w:tc>
          <w:tcPr>
            <w:tcW w:w="1209" w:type="dxa"/>
          </w:tcPr>
          <w:p w:rsidR="002265C7" w:rsidRPr="00D27F8A" w:rsidRDefault="002265C7" w:rsidP="00D27F8A">
            <w:pPr>
              <w:pStyle w:val="TableFigText"/>
              <w:jc w:val="right"/>
              <w:rPr>
                <w:b/>
              </w:rPr>
            </w:pPr>
            <w:r w:rsidRPr="00D27F8A">
              <w:rPr>
                <w:b/>
              </w:rPr>
              <w:t>1,255,878</w:t>
            </w:r>
          </w:p>
        </w:tc>
      </w:tr>
    </w:tbl>
    <w:p w:rsidR="002265C7" w:rsidRPr="00B27FBD" w:rsidRDefault="002265C7" w:rsidP="00540186">
      <w:pPr>
        <w:pStyle w:val="TableFigNotesnumbered"/>
        <w:numPr>
          <w:ilvl w:val="0"/>
          <w:numId w:val="32"/>
        </w:numPr>
        <w:rPr>
          <w:rStyle w:val="table-note"/>
        </w:rPr>
      </w:pPr>
      <w:r w:rsidRPr="00B27FBD">
        <w:rPr>
          <w:rStyle w:val="table-note"/>
        </w:rPr>
        <w:t>Expenditure excludes depreciation.</w:t>
      </w:r>
    </w:p>
    <w:p w:rsidR="004C1ACE" w:rsidRPr="00B27FBD" w:rsidRDefault="002265C7" w:rsidP="00540186">
      <w:pPr>
        <w:pStyle w:val="TableFigNotesnumbered"/>
        <w:numPr>
          <w:ilvl w:val="0"/>
          <w:numId w:val="32"/>
        </w:numPr>
        <w:rPr>
          <w:rStyle w:val="table-note"/>
        </w:rPr>
      </w:pPr>
      <w:r w:rsidRPr="00B27FBD">
        <w:rPr>
          <w:rStyle w:val="table-note"/>
        </w:rPr>
        <w:t xml:space="preserve">Expenditure excludes grants to non-government organisations and indirect expenditure at the state/territory, region and organisation levels not apportioned to service units. </w:t>
      </w:r>
    </w:p>
    <w:p w:rsidR="002265C7" w:rsidRPr="00B27FBD" w:rsidRDefault="002265C7" w:rsidP="00540186">
      <w:pPr>
        <w:pStyle w:val="TableFigNotesnumbered"/>
        <w:numPr>
          <w:ilvl w:val="0"/>
          <w:numId w:val="32"/>
        </w:numPr>
        <w:rPr>
          <w:rStyle w:val="table-note"/>
        </w:rPr>
      </w:pPr>
      <w:r w:rsidRPr="00B27FBD">
        <w:rPr>
          <w:rStyle w:val="table-note"/>
        </w:rPr>
        <w:t>Totals may not add due to rounding to the nearest $'000.</w:t>
      </w:r>
    </w:p>
    <w:p w:rsidR="002265C7" w:rsidRPr="00B27FBD" w:rsidRDefault="002265C7" w:rsidP="00540186">
      <w:pPr>
        <w:pStyle w:val="TableFigNotesnumbered"/>
        <w:numPr>
          <w:ilvl w:val="0"/>
          <w:numId w:val="32"/>
        </w:numPr>
        <w:rPr>
          <w:rStyle w:val="table-note"/>
        </w:rPr>
      </w:pPr>
      <w:r w:rsidRPr="00B27FBD">
        <w:rPr>
          <w:rStyle w:val="table-note"/>
        </w:rPr>
        <w:t>Includes public hospital services managed and operated by private and non-government entities.</w:t>
      </w:r>
    </w:p>
    <w:p w:rsidR="002265C7" w:rsidRPr="00B27FBD" w:rsidRDefault="002265C7" w:rsidP="00540186">
      <w:pPr>
        <w:pStyle w:val="TableFigNotesnumbered"/>
        <w:numPr>
          <w:ilvl w:val="0"/>
          <w:numId w:val="32"/>
        </w:numPr>
        <w:rPr>
          <w:rStyle w:val="table-note"/>
        </w:rPr>
      </w:pPr>
      <w:r w:rsidRPr="00B27FBD">
        <w:rPr>
          <w:rStyle w:val="table-note"/>
        </w:rPr>
        <w:t>Public psychiatric hospitals and specialised psychiatric units or wards in public acute hospitals include expenditure on admitted patient services only. Public hospitals outpatient departments are included in communit</w:t>
      </w:r>
      <w:r w:rsidR="001F0D51" w:rsidRPr="00B27FBD">
        <w:rPr>
          <w:rStyle w:val="table-note"/>
        </w:rPr>
        <w:t>y mental health care services.</w:t>
      </w:r>
    </w:p>
    <w:p w:rsidR="002265C7" w:rsidRPr="00B27FBD" w:rsidRDefault="002265C7" w:rsidP="00540186">
      <w:pPr>
        <w:pStyle w:val="TableFigNotesnumbered"/>
        <w:numPr>
          <w:ilvl w:val="0"/>
          <w:numId w:val="32"/>
        </w:numPr>
        <w:rPr>
          <w:rStyle w:val="table-note"/>
        </w:rPr>
      </w:pPr>
      <w:r w:rsidRPr="00B27FBD">
        <w:rPr>
          <w:rStyle w:val="table-note"/>
        </w:rPr>
        <w:t>Residential mental health services include the total operating costs for partially or wholly government funded non-government-operated residential mental health services.</w:t>
      </w:r>
    </w:p>
    <w:p w:rsidR="004C1ACE" w:rsidRPr="001B1E83" w:rsidRDefault="004C1ACE" w:rsidP="004C1ACE">
      <w:pPr>
        <w:pStyle w:val="TableFigNotesnumbered"/>
        <w:rPr>
          <w:rFonts w:asciiTheme="minorHAnsi" w:hAnsiTheme="minorHAnsi"/>
        </w:rPr>
      </w:pPr>
    </w:p>
    <w:p w:rsidR="004C1ACE" w:rsidRPr="00CB7CCD" w:rsidRDefault="00CB7CCD" w:rsidP="004C1ACE">
      <w:pPr>
        <w:pStyle w:val="TableCaption"/>
        <w:rPr>
          <w:rStyle w:val="table-note"/>
        </w:rPr>
      </w:pPr>
      <w:r w:rsidRPr="00CB7CCD">
        <w:rPr>
          <w:rStyle w:val="table-note"/>
        </w:rPr>
        <w:t xml:space="preserve">Table 5: </w:t>
      </w:r>
      <w:r w:rsidR="004C1ACE" w:rsidRPr="00CB7CCD">
        <w:rPr>
          <w:rStyle w:val="table-note"/>
        </w:rPr>
        <w:t xml:space="preserve">NSW: Recurrent </w:t>
      </w:r>
      <w:proofErr w:type="gramStart"/>
      <w:r w:rsidR="004C1ACE" w:rsidRPr="00CB7CCD">
        <w:rPr>
          <w:rStyle w:val="table-note"/>
        </w:rPr>
        <w:t>expenditure</w:t>
      </w:r>
      <w:r w:rsidR="004C1ACE" w:rsidRPr="00CB7CCD">
        <w:rPr>
          <w:rStyle w:val="table-note"/>
          <w:vertAlign w:val="superscript"/>
        </w:rPr>
        <w:t>(</w:t>
      </w:r>
      <w:proofErr w:type="gramEnd"/>
      <w:r w:rsidR="004C1ACE" w:rsidRPr="00CB7CCD">
        <w:rPr>
          <w:rStyle w:val="table-note"/>
          <w:vertAlign w:val="superscript"/>
        </w:rPr>
        <w:t>a)(b)</w:t>
      </w:r>
      <w:r w:rsidR="004C1ACE" w:rsidRPr="00CB7CCD">
        <w:rPr>
          <w:rStyle w:val="table-note"/>
        </w:rPr>
        <w:t xml:space="preserve"> ($) per capita</w:t>
      </w:r>
      <w:r w:rsidR="004C1ACE" w:rsidRPr="00CB7CCD">
        <w:rPr>
          <w:rStyle w:val="table-note"/>
          <w:vertAlign w:val="superscript"/>
        </w:rPr>
        <w:t>(c)</w:t>
      </w:r>
      <w:r w:rsidR="004C1ACE" w:rsidRPr="00CB7CCD">
        <w:rPr>
          <w:rStyle w:val="table-note"/>
        </w:rPr>
        <w:t xml:space="preserve"> on state and territory specialised mental health services, by service type, 2011–12 (current prices)</w:t>
      </w:r>
    </w:p>
    <w:tbl>
      <w:tblPr>
        <w:tblStyle w:val="TableGrid"/>
        <w:tblW w:w="0" w:type="auto"/>
        <w:tblLook w:val="04A0" w:firstRow="1" w:lastRow="0" w:firstColumn="1" w:lastColumn="0" w:noHBand="0" w:noVBand="1"/>
        <w:tblCaption w:val="NSW: Recurrent expenditure(a)(b) ($) per capita(c) on state and territory specialised mental health services, by service type, 2011–12 (current prices)"/>
        <w:tblDescription w:val="Table showing that, in 2011-2012, inner regional in NSW had the highest recurrent expenditure per capita for all mental health services at $184.38. Very remote areas had the highest recurrent expenditure per capita in community mental health services at $155.11 and inner regional areas had the highest for public hospital services at $112.61."/>
      </w:tblPr>
      <w:tblGrid>
        <w:gridCol w:w="2381"/>
        <w:gridCol w:w="1047"/>
        <w:gridCol w:w="1380"/>
        <w:gridCol w:w="1251"/>
        <w:gridCol w:w="1047"/>
        <w:gridCol w:w="1094"/>
        <w:gridCol w:w="1086"/>
      </w:tblGrid>
      <w:tr w:rsidR="004C1ACE" w:rsidRPr="005F6DCC" w:rsidTr="000C3DEA">
        <w:trPr>
          <w:tblHeader/>
        </w:trPr>
        <w:tc>
          <w:tcPr>
            <w:tcW w:w="2381" w:type="dxa"/>
          </w:tcPr>
          <w:p w:rsidR="004C1ACE" w:rsidRPr="005F6DCC" w:rsidRDefault="004C1ACE" w:rsidP="00614CCC">
            <w:pPr>
              <w:pStyle w:val="TableFigText"/>
              <w:rPr>
                <w:rFonts w:asciiTheme="minorHAnsi" w:hAnsiTheme="minorHAnsi" w:cstheme="minorHAnsi"/>
                <w:szCs w:val="22"/>
              </w:rPr>
            </w:pPr>
          </w:p>
        </w:tc>
        <w:tc>
          <w:tcPr>
            <w:tcW w:w="1047" w:type="dxa"/>
          </w:tcPr>
          <w:p w:rsidR="004C1ACE" w:rsidRPr="005F6DCC" w:rsidRDefault="004C1ACE" w:rsidP="00614CCC">
            <w:pPr>
              <w:pStyle w:val="TableFigText"/>
              <w:jc w:val="right"/>
              <w:rPr>
                <w:rFonts w:asciiTheme="minorHAnsi" w:hAnsiTheme="minorHAnsi" w:cstheme="minorHAnsi"/>
                <w:b/>
                <w:szCs w:val="22"/>
              </w:rPr>
            </w:pPr>
            <w:r w:rsidRPr="005F6DCC">
              <w:rPr>
                <w:rFonts w:asciiTheme="minorHAnsi" w:hAnsiTheme="minorHAnsi" w:cstheme="minorHAnsi"/>
                <w:b/>
                <w:szCs w:val="22"/>
              </w:rPr>
              <w:t>Major cities</w:t>
            </w:r>
          </w:p>
        </w:tc>
        <w:tc>
          <w:tcPr>
            <w:tcW w:w="1380" w:type="dxa"/>
          </w:tcPr>
          <w:p w:rsidR="004C1ACE" w:rsidRPr="005F6DCC" w:rsidRDefault="004C1ACE" w:rsidP="00614CCC">
            <w:pPr>
              <w:pStyle w:val="TableFigText"/>
              <w:jc w:val="right"/>
              <w:rPr>
                <w:rFonts w:asciiTheme="minorHAnsi" w:hAnsiTheme="minorHAnsi" w:cstheme="minorHAnsi"/>
                <w:b/>
                <w:szCs w:val="22"/>
              </w:rPr>
            </w:pPr>
            <w:r w:rsidRPr="005F6DCC">
              <w:rPr>
                <w:rFonts w:asciiTheme="minorHAnsi" w:hAnsiTheme="minorHAnsi" w:cstheme="minorHAnsi"/>
                <w:b/>
                <w:szCs w:val="22"/>
              </w:rPr>
              <w:t>Inner regional</w:t>
            </w:r>
          </w:p>
        </w:tc>
        <w:tc>
          <w:tcPr>
            <w:tcW w:w="1251" w:type="dxa"/>
          </w:tcPr>
          <w:p w:rsidR="004C1ACE" w:rsidRPr="005F6DCC" w:rsidRDefault="004C1ACE" w:rsidP="00614CCC">
            <w:pPr>
              <w:pStyle w:val="TableFigText"/>
              <w:jc w:val="right"/>
              <w:rPr>
                <w:rFonts w:asciiTheme="minorHAnsi" w:hAnsiTheme="minorHAnsi" w:cstheme="minorHAnsi"/>
                <w:b/>
                <w:szCs w:val="22"/>
              </w:rPr>
            </w:pPr>
            <w:r w:rsidRPr="005F6DCC">
              <w:rPr>
                <w:rFonts w:asciiTheme="minorHAnsi" w:hAnsiTheme="minorHAnsi" w:cstheme="minorHAnsi"/>
                <w:b/>
                <w:szCs w:val="22"/>
              </w:rPr>
              <w:t>Outer regional</w:t>
            </w:r>
          </w:p>
        </w:tc>
        <w:tc>
          <w:tcPr>
            <w:tcW w:w="1047" w:type="dxa"/>
          </w:tcPr>
          <w:p w:rsidR="004C1ACE" w:rsidRPr="005F6DCC" w:rsidRDefault="004C1ACE" w:rsidP="00614CCC">
            <w:pPr>
              <w:pStyle w:val="TableFigText"/>
              <w:jc w:val="right"/>
              <w:rPr>
                <w:rFonts w:asciiTheme="minorHAnsi" w:hAnsiTheme="minorHAnsi" w:cstheme="minorHAnsi"/>
                <w:b/>
                <w:szCs w:val="22"/>
              </w:rPr>
            </w:pPr>
            <w:r w:rsidRPr="005F6DCC">
              <w:rPr>
                <w:rFonts w:asciiTheme="minorHAnsi" w:hAnsiTheme="minorHAnsi" w:cstheme="minorHAnsi"/>
                <w:b/>
                <w:szCs w:val="22"/>
              </w:rPr>
              <w:t>Remote</w:t>
            </w:r>
          </w:p>
        </w:tc>
        <w:tc>
          <w:tcPr>
            <w:tcW w:w="1094" w:type="dxa"/>
          </w:tcPr>
          <w:p w:rsidR="004C1ACE" w:rsidRPr="005F6DCC" w:rsidRDefault="004C1ACE" w:rsidP="00614CCC">
            <w:pPr>
              <w:pStyle w:val="TableFigText"/>
              <w:jc w:val="right"/>
              <w:rPr>
                <w:rFonts w:asciiTheme="minorHAnsi" w:hAnsiTheme="minorHAnsi" w:cstheme="minorHAnsi"/>
                <w:b/>
                <w:szCs w:val="22"/>
              </w:rPr>
            </w:pPr>
            <w:r w:rsidRPr="005F6DCC">
              <w:rPr>
                <w:rFonts w:asciiTheme="minorHAnsi" w:hAnsiTheme="minorHAnsi" w:cstheme="minorHAnsi"/>
                <w:b/>
                <w:szCs w:val="22"/>
              </w:rPr>
              <w:t>Very remote</w:t>
            </w:r>
          </w:p>
        </w:tc>
        <w:tc>
          <w:tcPr>
            <w:tcW w:w="1086" w:type="dxa"/>
          </w:tcPr>
          <w:p w:rsidR="004C1ACE" w:rsidRPr="005F6DCC" w:rsidRDefault="0002561B" w:rsidP="0002561B">
            <w:pPr>
              <w:pStyle w:val="TableFigText"/>
              <w:jc w:val="right"/>
              <w:rPr>
                <w:rFonts w:asciiTheme="minorHAnsi" w:hAnsiTheme="minorHAnsi" w:cstheme="minorHAnsi"/>
                <w:b/>
                <w:szCs w:val="22"/>
              </w:rPr>
            </w:pPr>
            <w:r w:rsidRPr="005F6DCC">
              <w:rPr>
                <w:rFonts w:asciiTheme="minorHAnsi" w:hAnsiTheme="minorHAnsi" w:cstheme="minorHAnsi"/>
                <w:b/>
                <w:szCs w:val="22"/>
              </w:rPr>
              <w:t>Total</w:t>
            </w:r>
          </w:p>
        </w:tc>
      </w:tr>
      <w:tr w:rsidR="004C1ACE" w:rsidRPr="005F6DCC" w:rsidTr="004C1ACE">
        <w:tc>
          <w:tcPr>
            <w:tcW w:w="2381" w:type="dxa"/>
          </w:tcPr>
          <w:p w:rsidR="004C1ACE" w:rsidRPr="005F6DCC" w:rsidRDefault="004C1ACE" w:rsidP="0002561B">
            <w:pPr>
              <w:pStyle w:val="TableFigText"/>
              <w:rPr>
                <w:rFonts w:asciiTheme="minorHAnsi" w:hAnsiTheme="minorHAnsi" w:cstheme="minorHAnsi"/>
                <w:szCs w:val="22"/>
              </w:rPr>
            </w:pPr>
            <w:r w:rsidRPr="005F6DCC">
              <w:rPr>
                <w:rFonts w:asciiTheme="minorHAnsi" w:hAnsiTheme="minorHAnsi" w:cstheme="minorHAnsi"/>
                <w:szCs w:val="22"/>
              </w:rPr>
              <w:t>Public hospital services</w:t>
            </w:r>
            <w:r w:rsidRPr="005F6DCC">
              <w:rPr>
                <w:rFonts w:asciiTheme="minorHAnsi" w:hAnsiTheme="minorHAnsi" w:cstheme="minorHAnsi"/>
                <w:szCs w:val="22"/>
                <w:vertAlign w:val="superscript"/>
              </w:rPr>
              <w:t>(</w:t>
            </w:r>
            <w:r w:rsidR="0002561B" w:rsidRPr="005F6DCC">
              <w:rPr>
                <w:rFonts w:asciiTheme="minorHAnsi" w:hAnsiTheme="minorHAnsi" w:cstheme="minorHAnsi"/>
                <w:szCs w:val="22"/>
                <w:vertAlign w:val="superscript"/>
              </w:rPr>
              <w:t>d</w:t>
            </w:r>
            <w:r w:rsidRPr="005F6DCC">
              <w:rPr>
                <w:rFonts w:asciiTheme="minorHAnsi" w:hAnsiTheme="minorHAnsi" w:cstheme="minorHAnsi"/>
                <w:szCs w:val="22"/>
                <w:vertAlign w:val="superscript"/>
              </w:rPr>
              <w:t>)(</w:t>
            </w:r>
            <w:r w:rsidR="0002561B" w:rsidRPr="005F6DCC">
              <w:rPr>
                <w:rFonts w:asciiTheme="minorHAnsi" w:hAnsiTheme="minorHAnsi" w:cstheme="minorHAnsi"/>
                <w:szCs w:val="22"/>
                <w:vertAlign w:val="superscript"/>
              </w:rPr>
              <w:t>e</w:t>
            </w:r>
            <w:r w:rsidRPr="005F6DCC">
              <w:rPr>
                <w:rFonts w:asciiTheme="minorHAnsi" w:hAnsiTheme="minorHAnsi" w:cstheme="minorHAnsi"/>
                <w:szCs w:val="22"/>
                <w:vertAlign w:val="superscript"/>
              </w:rPr>
              <w:t>)</w:t>
            </w:r>
          </w:p>
        </w:tc>
        <w:tc>
          <w:tcPr>
            <w:tcW w:w="1047" w:type="dxa"/>
          </w:tcPr>
          <w:p w:rsidR="004C1ACE" w:rsidRPr="005F6DCC" w:rsidRDefault="004C1ACE" w:rsidP="00D27F8A">
            <w:pPr>
              <w:pStyle w:val="TableFigText"/>
              <w:jc w:val="right"/>
            </w:pPr>
            <w:r w:rsidRPr="005F6DCC">
              <w:t>108.54</w:t>
            </w:r>
          </w:p>
        </w:tc>
        <w:tc>
          <w:tcPr>
            <w:tcW w:w="1380" w:type="dxa"/>
          </w:tcPr>
          <w:p w:rsidR="004C1ACE" w:rsidRPr="005F6DCC" w:rsidRDefault="004C1ACE" w:rsidP="00D27F8A">
            <w:pPr>
              <w:pStyle w:val="TableFigText"/>
              <w:jc w:val="right"/>
            </w:pPr>
            <w:r w:rsidRPr="005F6DCC">
              <w:t>112.61</w:t>
            </w:r>
          </w:p>
        </w:tc>
        <w:tc>
          <w:tcPr>
            <w:tcW w:w="1251" w:type="dxa"/>
          </w:tcPr>
          <w:p w:rsidR="004C1ACE" w:rsidRPr="005F6DCC" w:rsidRDefault="004C1ACE" w:rsidP="00D27F8A">
            <w:pPr>
              <w:pStyle w:val="TableFigText"/>
              <w:jc w:val="right"/>
            </w:pPr>
            <w:r w:rsidRPr="005F6DCC">
              <w:t>17.92</w:t>
            </w:r>
          </w:p>
        </w:tc>
        <w:tc>
          <w:tcPr>
            <w:tcW w:w="1047" w:type="dxa"/>
          </w:tcPr>
          <w:p w:rsidR="004C1ACE" w:rsidRPr="005F6DCC" w:rsidRDefault="001B1E83" w:rsidP="00D27F8A">
            <w:pPr>
              <w:pStyle w:val="TableFigText"/>
              <w:jc w:val="right"/>
            </w:pPr>
            <w:r w:rsidRPr="005F6DCC">
              <w:t>0</w:t>
            </w:r>
          </w:p>
        </w:tc>
        <w:tc>
          <w:tcPr>
            <w:tcW w:w="1094" w:type="dxa"/>
          </w:tcPr>
          <w:p w:rsidR="004C1ACE" w:rsidRPr="005F6DCC" w:rsidRDefault="001B1E83" w:rsidP="00D27F8A">
            <w:pPr>
              <w:pStyle w:val="TableFigText"/>
              <w:jc w:val="right"/>
            </w:pPr>
            <w:r w:rsidRPr="005F6DCC">
              <w:t>0</w:t>
            </w:r>
          </w:p>
        </w:tc>
        <w:tc>
          <w:tcPr>
            <w:tcW w:w="1086" w:type="dxa"/>
          </w:tcPr>
          <w:p w:rsidR="004C1ACE" w:rsidRPr="005F6DCC" w:rsidRDefault="004C1ACE" w:rsidP="00D27F8A">
            <w:pPr>
              <w:pStyle w:val="TableFigText"/>
              <w:jc w:val="right"/>
            </w:pPr>
            <w:r w:rsidRPr="005F6DCC">
              <w:t>103.18</w:t>
            </w:r>
          </w:p>
        </w:tc>
      </w:tr>
      <w:tr w:rsidR="004C1ACE" w:rsidRPr="005F6DCC" w:rsidTr="004C1ACE">
        <w:tc>
          <w:tcPr>
            <w:tcW w:w="2381" w:type="dxa"/>
          </w:tcPr>
          <w:p w:rsidR="004C1ACE" w:rsidRPr="005F6DCC" w:rsidRDefault="004C1ACE" w:rsidP="00614CCC">
            <w:pPr>
              <w:pStyle w:val="TableFigText"/>
              <w:rPr>
                <w:rFonts w:asciiTheme="minorHAnsi" w:hAnsiTheme="minorHAnsi" w:cstheme="minorHAnsi"/>
                <w:szCs w:val="22"/>
              </w:rPr>
            </w:pPr>
            <w:r w:rsidRPr="005F6DCC">
              <w:rPr>
                <w:rFonts w:asciiTheme="minorHAnsi" w:hAnsiTheme="minorHAnsi" w:cstheme="minorHAnsi"/>
                <w:szCs w:val="22"/>
              </w:rPr>
              <w:t>Community mental health services</w:t>
            </w:r>
          </w:p>
        </w:tc>
        <w:tc>
          <w:tcPr>
            <w:tcW w:w="1047" w:type="dxa"/>
          </w:tcPr>
          <w:p w:rsidR="004C1ACE" w:rsidRPr="005F6DCC" w:rsidRDefault="004C1ACE" w:rsidP="00D27F8A">
            <w:pPr>
              <w:pStyle w:val="TableFigText"/>
              <w:jc w:val="right"/>
            </w:pPr>
            <w:r w:rsidRPr="005F6DCC">
              <w:t>70.47</w:t>
            </w:r>
          </w:p>
        </w:tc>
        <w:tc>
          <w:tcPr>
            <w:tcW w:w="1380" w:type="dxa"/>
          </w:tcPr>
          <w:p w:rsidR="004C1ACE" w:rsidRPr="005F6DCC" w:rsidRDefault="004C1ACE" w:rsidP="00D27F8A">
            <w:pPr>
              <w:pStyle w:val="TableFigText"/>
              <w:jc w:val="right"/>
            </w:pPr>
            <w:r w:rsidRPr="005F6DCC">
              <w:t>68.47</w:t>
            </w:r>
          </w:p>
        </w:tc>
        <w:tc>
          <w:tcPr>
            <w:tcW w:w="1251" w:type="dxa"/>
          </w:tcPr>
          <w:p w:rsidR="004C1ACE" w:rsidRPr="005F6DCC" w:rsidRDefault="004C1ACE" w:rsidP="00D27F8A">
            <w:pPr>
              <w:pStyle w:val="TableFigText"/>
              <w:jc w:val="right"/>
            </w:pPr>
            <w:r w:rsidRPr="005F6DCC">
              <w:t>53.71</w:t>
            </w:r>
          </w:p>
        </w:tc>
        <w:tc>
          <w:tcPr>
            <w:tcW w:w="1047" w:type="dxa"/>
          </w:tcPr>
          <w:p w:rsidR="004C1ACE" w:rsidRPr="005F6DCC" w:rsidRDefault="004C1ACE" w:rsidP="00D27F8A">
            <w:pPr>
              <w:pStyle w:val="TableFigText"/>
              <w:jc w:val="right"/>
            </w:pPr>
            <w:r w:rsidRPr="005F6DCC">
              <w:t>42.45</w:t>
            </w:r>
          </w:p>
        </w:tc>
        <w:tc>
          <w:tcPr>
            <w:tcW w:w="1094" w:type="dxa"/>
          </w:tcPr>
          <w:p w:rsidR="004C1ACE" w:rsidRPr="005F6DCC" w:rsidRDefault="004C1ACE" w:rsidP="00D27F8A">
            <w:pPr>
              <w:pStyle w:val="TableFigText"/>
              <w:jc w:val="right"/>
            </w:pPr>
            <w:r w:rsidRPr="005F6DCC">
              <w:t>155.11</w:t>
            </w:r>
          </w:p>
        </w:tc>
        <w:tc>
          <w:tcPr>
            <w:tcW w:w="1086" w:type="dxa"/>
          </w:tcPr>
          <w:p w:rsidR="004C1ACE" w:rsidRPr="005F6DCC" w:rsidRDefault="004C1ACE" w:rsidP="00D27F8A">
            <w:pPr>
              <w:pStyle w:val="TableFigText"/>
              <w:jc w:val="right"/>
            </w:pPr>
            <w:r w:rsidRPr="005F6DCC">
              <w:t>69.04</w:t>
            </w:r>
          </w:p>
        </w:tc>
      </w:tr>
      <w:tr w:rsidR="004C1ACE" w:rsidRPr="005F6DCC" w:rsidTr="004C1ACE">
        <w:tc>
          <w:tcPr>
            <w:tcW w:w="2381" w:type="dxa"/>
          </w:tcPr>
          <w:p w:rsidR="004C1ACE" w:rsidRPr="005F6DCC" w:rsidRDefault="004C1ACE" w:rsidP="004C1ACE">
            <w:pPr>
              <w:pStyle w:val="TableFigText"/>
              <w:rPr>
                <w:rFonts w:asciiTheme="minorHAnsi" w:hAnsiTheme="minorHAnsi" w:cstheme="minorHAnsi"/>
                <w:szCs w:val="22"/>
              </w:rPr>
            </w:pPr>
            <w:r w:rsidRPr="005F6DCC">
              <w:rPr>
                <w:rFonts w:asciiTheme="minorHAnsi" w:hAnsiTheme="minorHAnsi" w:cstheme="minorHAnsi"/>
                <w:szCs w:val="22"/>
              </w:rPr>
              <w:t>Residential mental health services</w:t>
            </w:r>
            <w:r w:rsidRPr="005F6DCC">
              <w:rPr>
                <w:rFonts w:asciiTheme="minorHAnsi" w:hAnsiTheme="minorHAnsi" w:cstheme="minorHAnsi"/>
                <w:szCs w:val="22"/>
                <w:vertAlign w:val="superscript"/>
              </w:rPr>
              <w:t>(</w:t>
            </w:r>
            <w:r w:rsidR="0002561B" w:rsidRPr="005F6DCC">
              <w:rPr>
                <w:rFonts w:asciiTheme="minorHAnsi" w:hAnsiTheme="minorHAnsi" w:cstheme="minorHAnsi"/>
                <w:szCs w:val="22"/>
                <w:vertAlign w:val="superscript"/>
              </w:rPr>
              <w:t>f</w:t>
            </w:r>
            <w:r w:rsidRPr="005F6DCC">
              <w:rPr>
                <w:rFonts w:asciiTheme="minorHAnsi" w:hAnsiTheme="minorHAnsi" w:cstheme="minorHAnsi"/>
                <w:szCs w:val="22"/>
                <w:vertAlign w:val="superscript"/>
              </w:rPr>
              <w:t>)</w:t>
            </w:r>
          </w:p>
        </w:tc>
        <w:tc>
          <w:tcPr>
            <w:tcW w:w="1047" w:type="dxa"/>
          </w:tcPr>
          <w:p w:rsidR="004C1ACE" w:rsidRPr="005F6DCC" w:rsidRDefault="004C1ACE" w:rsidP="00D27F8A">
            <w:pPr>
              <w:pStyle w:val="TableFigText"/>
              <w:jc w:val="right"/>
            </w:pPr>
            <w:r w:rsidRPr="005F6DCC">
              <w:t>1.50</w:t>
            </w:r>
          </w:p>
        </w:tc>
        <w:tc>
          <w:tcPr>
            <w:tcW w:w="1380" w:type="dxa"/>
          </w:tcPr>
          <w:p w:rsidR="004C1ACE" w:rsidRPr="005F6DCC" w:rsidRDefault="004C1ACE" w:rsidP="00D27F8A">
            <w:pPr>
              <w:pStyle w:val="TableFigText"/>
              <w:jc w:val="right"/>
            </w:pPr>
            <w:r w:rsidRPr="005F6DCC">
              <w:t>3.31</w:t>
            </w:r>
          </w:p>
        </w:tc>
        <w:tc>
          <w:tcPr>
            <w:tcW w:w="1251" w:type="dxa"/>
          </w:tcPr>
          <w:p w:rsidR="004C1ACE" w:rsidRPr="005F6DCC" w:rsidRDefault="004C1ACE" w:rsidP="00D27F8A">
            <w:pPr>
              <w:pStyle w:val="TableFigText"/>
              <w:jc w:val="right"/>
            </w:pPr>
            <w:r w:rsidRPr="005F6DCC">
              <w:t>0.22</w:t>
            </w:r>
          </w:p>
        </w:tc>
        <w:tc>
          <w:tcPr>
            <w:tcW w:w="1047" w:type="dxa"/>
          </w:tcPr>
          <w:p w:rsidR="004C1ACE" w:rsidRPr="005F6DCC" w:rsidRDefault="001B1E83" w:rsidP="00D27F8A">
            <w:pPr>
              <w:pStyle w:val="TableFigText"/>
              <w:jc w:val="right"/>
            </w:pPr>
            <w:r w:rsidRPr="005F6DCC">
              <w:t>0</w:t>
            </w:r>
          </w:p>
        </w:tc>
        <w:tc>
          <w:tcPr>
            <w:tcW w:w="1094" w:type="dxa"/>
          </w:tcPr>
          <w:p w:rsidR="004C1ACE" w:rsidRPr="005F6DCC" w:rsidRDefault="001B1E83" w:rsidP="00D27F8A">
            <w:pPr>
              <w:pStyle w:val="TableFigText"/>
              <w:jc w:val="right"/>
            </w:pPr>
            <w:r w:rsidRPr="005F6DCC">
              <w:t>0</w:t>
            </w:r>
          </w:p>
        </w:tc>
        <w:tc>
          <w:tcPr>
            <w:tcW w:w="1086" w:type="dxa"/>
          </w:tcPr>
          <w:p w:rsidR="004C1ACE" w:rsidRPr="005F6DCC" w:rsidRDefault="004C1ACE" w:rsidP="00D27F8A">
            <w:pPr>
              <w:pStyle w:val="TableFigText"/>
              <w:jc w:val="right"/>
            </w:pPr>
            <w:r w:rsidRPr="005F6DCC">
              <w:t>1.77</w:t>
            </w:r>
          </w:p>
        </w:tc>
      </w:tr>
      <w:tr w:rsidR="004C1ACE" w:rsidRPr="005F6DCC" w:rsidTr="004C1ACE">
        <w:tc>
          <w:tcPr>
            <w:tcW w:w="2381" w:type="dxa"/>
          </w:tcPr>
          <w:p w:rsidR="004C1ACE" w:rsidRPr="00D27F8A" w:rsidRDefault="004C1ACE" w:rsidP="0002561B">
            <w:pPr>
              <w:pStyle w:val="TableFigText"/>
              <w:rPr>
                <w:rFonts w:asciiTheme="minorHAnsi" w:hAnsiTheme="minorHAnsi" w:cstheme="minorHAnsi"/>
                <w:b/>
                <w:szCs w:val="22"/>
              </w:rPr>
            </w:pPr>
            <w:r w:rsidRPr="00D27F8A">
              <w:rPr>
                <w:rFonts w:asciiTheme="minorHAnsi" w:hAnsiTheme="minorHAnsi" w:cstheme="minorHAnsi"/>
                <w:b/>
                <w:szCs w:val="22"/>
              </w:rPr>
              <w:t>All mental health service types</w:t>
            </w:r>
            <w:r w:rsidRPr="00D27F8A">
              <w:rPr>
                <w:rFonts w:asciiTheme="minorHAnsi" w:hAnsiTheme="minorHAnsi" w:cstheme="minorHAnsi"/>
                <w:b/>
                <w:szCs w:val="22"/>
                <w:vertAlign w:val="superscript"/>
              </w:rPr>
              <w:t>(</w:t>
            </w:r>
            <w:r w:rsidR="0002561B" w:rsidRPr="00D27F8A">
              <w:rPr>
                <w:rFonts w:asciiTheme="minorHAnsi" w:hAnsiTheme="minorHAnsi" w:cstheme="minorHAnsi"/>
                <w:b/>
                <w:szCs w:val="22"/>
                <w:vertAlign w:val="superscript"/>
              </w:rPr>
              <w:t>g</w:t>
            </w:r>
            <w:r w:rsidRPr="00D27F8A">
              <w:rPr>
                <w:rFonts w:asciiTheme="minorHAnsi" w:hAnsiTheme="minorHAnsi" w:cstheme="minorHAnsi"/>
                <w:b/>
                <w:szCs w:val="22"/>
                <w:vertAlign w:val="superscript"/>
              </w:rPr>
              <w:t>)</w:t>
            </w:r>
          </w:p>
        </w:tc>
        <w:tc>
          <w:tcPr>
            <w:tcW w:w="1047" w:type="dxa"/>
          </w:tcPr>
          <w:p w:rsidR="004C1ACE" w:rsidRPr="00D27F8A" w:rsidRDefault="004C1ACE" w:rsidP="00D27F8A">
            <w:pPr>
              <w:pStyle w:val="TableFigText"/>
              <w:jc w:val="right"/>
              <w:rPr>
                <w:b/>
              </w:rPr>
            </w:pPr>
            <w:r w:rsidRPr="00D27F8A">
              <w:rPr>
                <w:b/>
              </w:rPr>
              <w:t>180.51</w:t>
            </w:r>
          </w:p>
        </w:tc>
        <w:tc>
          <w:tcPr>
            <w:tcW w:w="1380" w:type="dxa"/>
          </w:tcPr>
          <w:p w:rsidR="004C1ACE" w:rsidRPr="00D27F8A" w:rsidRDefault="004C1ACE" w:rsidP="00D27F8A">
            <w:pPr>
              <w:pStyle w:val="TableFigText"/>
              <w:jc w:val="right"/>
              <w:rPr>
                <w:b/>
              </w:rPr>
            </w:pPr>
            <w:r w:rsidRPr="00D27F8A">
              <w:rPr>
                <w:b/>
              </w:rPr>
              <w:t>184.38</w:t>
            </w:r>
          </w:p>
        </w:tc>
        <w:tc>
          <w:tcPr>
            <w:tcW w:w="1251" w:type="dxa"/>
          </w:tcPr>
          <w:p w:rsidR="004C1ACE" w:rsidRPr="00D27F8A" w:rsidRDefault="004C1ACE" w:rsidP="00D27F8A">
            <w:pPr>
              <w:pStyle w:val="TableFigText"/>
              <w:jc w:val="right"/>
              <w:rPr>
                <w:b/>
              </w:rPr>
            </w:pPr>
            <w:r w:rsidRPr="00D27F8A">
              <w:rPr>
                <w:b/>
              </w:rPr>
              <w:t>71.84</w:t>
            </w:r>
          </w:p>
        </w:tc>
        <w:tc>
          <w:tcPr>
            <w:tcW w:w="1047" w:type="dxa"/>
          </w:tcPr>
          <w:p w:rsidR="004C1ACE" w:rsidRPr="00D27F8A" w:rsidRDefault="004C1ACE" w:rsidP="00D27F8A">
            <w:pPr>
              <w:pStyle w:val="TableFigText"/>
              <w:jc w:val="right"/>
              <w:rPr>
                <w:b/>
              </w:rPr>
            </w:pPr>
            <w:r w:rsidRPr="00D27F8A">
              <w:rPr>
                <w:b/>
              </w:rPr>
              <w:t>42.45</w:t>
            </w:r>
          </w:p>
        </w:tc>
        <w:tc>
          <w:tcPr>
            <w:tcW w:w="1094" w:type="dxa"/>
          </w:tcPr>
          <w:p w:rsidR="004C1ACE" w:rsidRPr="00D27F8A" w:rsidRDefault="004C1ACE" w:rsidP="00D27F8A">
            <w:pPr>
              <w:pStyle w:val="TableFigText"/>
              <w:jc w:val="right"/>
              <w:rPr>
                <w:b/>
              </w:rPr>
            </w:pPr>
            <w:r w:rsidRPr="00D27F8A">
              <w:rPr>
                <w:b/>
              </w:rPr>
              <w:t>155.11</w:t>
            </w:r>
          </w:p>
        </w:tc>
        <w:tc>
          <w:tcPr>
            <w:tcW w:w="1086" w:type="dxa"/>
          </w:tcPr>
          <w:p w:rsidR="004C1ACE" w:rsidRPr="00D27F8A" w:rsidRDefault="004C1ACE" w:rsidP="00D27F8A">
            <w:pPr>
              <w:pStyle w:val="TableFigText"/>
              <w:jc w:val="right"/>
              <w:rPr>
                <w:b/>
              </w:rPr>
            </w:pPr>
            <w:r w:rsidRPr="00D27F8A">
              <w:rPr>
                <w:b/>
              </w:rPr>
              <w:t>173.98</w:t>
            </w:r>
          </w:p>
        </w:tc>
      </w:tr>
    </w:tbl>
    <w:p w:rsidR="004C1ACE" w:rsidRPr="00B27FBD" w:rsidRDefault="004C1ACE" w:rsidP="00540186">
      <w:pPr>
        <w:pStyle w:val="TableFigNotesnumbered"/>
        <w:numPr>
          <w:ilvl w:val="0"/>
          <w:numId w:val="35"/>
        </w:numPr>
        <w:rPr>
          <w:rStyle w:val="table-note"/>
        </w:rPr>
      </w:pPr>
      <w:r w:rsidRPr="00B27FBD">
        <w:rPr>
          <w:rStyle w:val="table-note"/>
        </w:rPr>
        <w:t>Expenditure excludes depreciation.</w:t>
      </w:r>
    </w:p>
    <w:p w:rsidR="004C1ACE" w:rsidRPr="00B27FBD" w:rsidRDefault="004C1ACE" w:rsidP="00540186">
      <w:pPr>
        <w:pStyle w:val="TableFigNotesnumbered"/>
        <w:numPr>
          <w:ilvl w:val="0"/>
          <w:numId w:val="35"/>
        </w:numPr>
        <w:rPr>
          <w:rStyle w:val="table-note"/>
        </w:rPr>
      </w:pPr>
      <w:r w:rsidRPr="00B27FBD">
        <w:rPr>
          <w:rStyle w:val="table-note"/>
        </w:rPr>
        <w:t xml:space="preserve">Expenditure excludes grants to non-government organisations and indirect expenditure at the state/territory, region and organisation levels not apportioned to service units. </w:t>
      </w:r>
    </w:p>
    <w:p w:rsidR="00614CCC" w:rsidRPr="00B27FBD" w:rsidRDefault="00614CCC" w:rsidP="00540186">
      <w:pPr>
        <w:pStyle w:val="TableFigNotesnumbered"/>
        <w:numPr>
          <w:ilvl w:val="0"/>
          <w:numId w:val="35"/>
        </w:numPr>
        <w:rPr>
          <w:rStyle w:val="table-note"/>
        </w:rPr>
      </w:pPr>
      <w:r w:rsidRPr="00B27FBD">
        <w:rPr>
          <w:rStyle w:val="table-note"/>
        </w:rPr>
        <w:t>Crude rate is based on the state and territory estimated resident population by remoteness area as at 30 June 2011.</w:t>
      </w:r>
    </w:p>
    <w:p w:rsidR="004C1ACE" w:rsidRPr="00B27FBD" w:rsidRDefault="004C1ACE" w:rsidP="00540186">
      <w:pPr>
        <w:pStyle w:val="TableFigNotesnumbered"/>
        <w:numPr>
          <w:ilvl w:val="0"/>
          <w:numId w:val="35"/>
        </w:numPr>
        <w:rPr>
          <w:rStyle w:val="table-note"/>
        </w:rPr>
      </w:pPr>
      <w:r w:rsidRPr="00B27FBD">
        <w:rPr>
          <w:rStyle w:val="table-note"/>
        </w:rPr>
        <w:t>Includes public hospital services managed and operated by private and non-government entities.</w:t>
      </w:r>
    </w:p>
    <w:p w:rsidR="004C1ACE" w:rsidRPr="00B27FBD" w:rsidRDefault="004C1ACE" w:rsidP="00540186">
      <w:pPr>
        <w:pStyle w:val="TableFigNotesnumbered"/>
        <w:numPr>
          <w:ilvl w:val="0"/>
          <w:numId w:val="35"/>
        </w:numPr>
        <w:rPr>
          <w:rStyle w:val="table-note"/>
        </w:rPr>
      </w:pPr>
      <w:r w:rsidRPr="00B27FBD">
        <w:rPr>
          <w:rStyle w:val="table-note"/>
        </w:rPr>
        <w:t>Public psychiatric hospitals and specialised psychiatric units or wards in public acute hospitals include expenditure on admitted patient services only. Public hospitals outpatient departments are included in community mental health care services.</w:t>
      </w:r>
    </w:p>
    <w:p w:rsidR="0002561B" w:rsidRPr="00B27FBD" w:rsidRDefault="004C1ACE" w:rsidP="00540186">
      <w:pPr>
        <w:pStyle w:val="TableFigNotesnumbered"/>
        <w:numPr>
          <w:ilvl w:val="0"/>
          <w:numId w:val="35"/>
        </w:numPr>
        <w:rPr>
          <w:rStyle w:val="table-note"/>
        </w:rPr>
      </w:pPr>
      <w:r w:rsidRPr="00B27FBD">
        <w:rPr>
          <w:rStyle w:val="table-note"/>
        </w:rPr>
        <w:t>Residential mental health services include the total operating costs for partially or wholly government funded non-government-operated residential mental health services.</w:t>
      </w:r>
      <w:r w:rsidRPr="00B27FBD">
        <w:rPr>
          <w:rStyle w:val="table-note"/>
        </w:rPr>
        <w:tab/>
      </w:r>
    </w:p>
    <w:p w:rsidR="0002561B" w:rsidRPr="00B27FBD" w:rsidRDefault="0002561B" w:rsidP="00540186">
      <w:pPr>
        <w:pStyle w:val="TableFigNotesnumbered"/>
        <w:numPr>
          <w:ilvl w:val="0"/>
          <w:numId w:val="35"/>
        </w:numPr>
        <w:rPr>
          <w:rStyle w:val="table-note"/>
        </w:rPr>
      </w:pPr>
      <w:r w:rsidRPr="00B27FBD">
        <w:rPr>
          <w:rStyle w:val="table-note"/>
        </w:rPr>
        <w:t>Totals may not add due to rounding.</w:t>
      </w:r>
    </w:p>
    <w:p w:rsidR="004C1ACE" w:rsidRPr="001B1E83" w:rsidRDefault="004C1ACE" w:rsidP="0002561B">
      <w:pPr>
        <w:pStyle w:val="TableFigNotesnumbered"/>
        <w:ind w:left="0" w:firstLine="0"/>
        <w:rPr>
          <w:rFonts w:asciiTheme="minorHAnsi" w:hAnsiTheme="minorHAnsi"/>
        </w:rPr>
      </w:pPr>
    </w:p>
    <w:p w:rsidR="004C1ACE" w:rsidRPr="001B1E83" w:rsidRDefault="004C1ACE" w:rsidP="004C1ACE">
      <w:pPr>
        <w:pStyle w:val="TableFigNotesnumbered"/>
        <w:rPr>
          <w:rFonts w:asciiTheme="minorHAnsi" w:hAnsiTheme="minorHAnsi"/>
        </w:rPr>
      </w:pPr>
    </w:p>
    <w:p w:rsidR="004C1ACE" w:rsidRPr="001B1E83" w:rsidRDefault="004C1ACE">
      <w:pPr>
        <w:spacing w:before="0" w:after="0" w:line="240" w:lineRule="auto"/>
        <w:rPr>
          <w:rFonts w:asciiTheme="minorHAnsi" w:hAnsiTheme="minorHAnsi"/>
          <w:szCs w:val="20"/>
        </w:rPr>
      </w:pPr>
      <w:r w:rsidRPr="001B1E83">
        <w:rPr>
          <w:rFonts w:asciiTheme="minorHAnsi" w:hAnsiTheme="minorHAnsi"/>
        </w:rPr>
        <w:br w:type="page"/>
      </w:r>
    </w:p>
    <w:p w:rsidR="002265C7" w:rsidRPr="00CB7CCD" w:rsidRDefault="00CB7CCD" w:rsidP="002265C7">
      <w:pPr>
        <w:pStyle w:val="TableCaption"/>
        <w:keepLines w:val="0"/>
        <w:rPr>
          <w:rStyle w:val="table-note"/>
        </w:rPr>
      </w:pPr>
      <w:r w:rsidRPr="00CB7CCD">
        <w:rPr>
          <w:rStyle w:val="table-note"/>
        </w:rPr>
        <w:lastRenderedPageBreak/>
        <w:t xml:space="preserve">Table 6: </w:t>
      </w:r>
      <w:r w:rsidR="002265C7" w:rsidRPr="00CB7CCD">
        <w:rPr>
          <w:rStyle w:val="table-note"/>
        </w:rPr>
        <w:t xml:space="preserve">NSW: Number of specialised mental health beds, by service type, 2007–08 </w:t>
      </w:r>
    </w:p>
    <w:tbl>
      <w:tblPr>
        <w:tblStyle w:val="TableGrid"/>
        <w:tblW w:w="0" w:type="auto"/>
        <w:tblLook w:val="04A0" w:firstRow="1" w:lastRow="0" w:firstColumn="1" w:lastColumn="0" w:noHBand="0" w:noVBand="1"/>
        <w:tblCaption w:val="NSW: Number of specialised mental health beds, by service type, 2007–08 "/>
        <w:tblDescription w:val="Table showing that, in 2007-08 major cities in NSW had the highest number of all types of specialised mental health beds at 2,078. The number of beds decreased with remoteness across all specialised mental health beds. Specialised psychiatric units or wards in public acute hospitals had the highest number of beds at 1,400 across all region types."/>
      </w:tblPr>
      <w:tblGrid>
        <w:gridCol w:w="2402"/>
        <w:gridCol w:w="1058"/>
        <w:gridCol w:w="1397"/>
        <w:gridCol w:w="1266"/>
        <w:gridCol w:w="1056"/>
        <w:gridCol w:w="1104"/>
        <w:gridCol w:w="1003"/>
      </w:tblGrid>
      <w:tr w:rsidR="002265C7" w:rsidRPr="001B1E83" w:rsidTr="000C3DEA">
        <w:trPr>
          <w:tblHeader/>
        </w:trPr>
        <w:tc>
          <w:tcPr>
            <w:tcW w:w="2504" w:type="dxa"/>
          </w:tcPr>
          <w:p w:rsidR="002265C7" w:rsidRPr="001B1E83" w:rsidRDefault="002265C7" w:rsidP="002265C7">
            <w:pPr>
              <w:pStyle w:val="TableFigText"/>
              <w:keepNext/>
              <w:keepLines w:val="0"/>
              <w:rPr>
                <w:rFonts w:asciiTheme="minorHAnsi" w:hAnsiTheme="minorHAnsi" w:cstheme="minorHAnsi"/>
                <w:szCs w:val="22"/>
              </w:rPr>
            </w:pPr>
          </w:p>
        </w:tc>
        <w:tc>
          <w:tcPr>
            <w:tcW w:w="1089" w:type="dxa"/>
          </w:tcPr>
          <w:p w:rsidR="002265C7" w:rsidRPr="001B1E83" w:rsidRDefault="002265C7" w:rsidP="002265C7">
            <w:pPr>
              <w:pStyle w:val="TableFigText"/>
              <w:keepNext/>
              <w:keepLines w:val="0"/>
              <w:jc w:val="right"/>
              <w:rPr>
                <w:rFonts w:asciiTheme="minorHAnsi" w:hAnsiTheme="minorHAnsi" w:cstheme="minorHAnsi"/>
                <w:b/>
                <w:szCs w:val="22"/>
              </w:rPr>
            </w:pPr>
            <w:r w:rsidRPr="001B1E83">
              <w:rPr>
                <w:rFonts w:asciiTheme="minorHAnsi" w:hAnsiTheme="minorHAnsi" w:cstheme="minorHAnsi"/>
                <w:b/>
                <w:szCs w:val="22"/>
              </w:rPr>
              <w:t>Major cities</w:t>
            </w:r>
          </w:p>
        </w:tc>
        <w:tc>
          <w:tcPr>
            <w:tcW w:w="1442" w:type="dxa"/>
          </w:tcPr>
          <w:p w:rsidR="002265C7" w:rsidRPr="001B1E83" w:rsidRDefault="002265C7" w:rsidP="002265C7">
            <w:pPr>
              <w:pStyle w:val="TableFigText"/>
              <w:keepNext/>
              <w:keepLines w:val="0"/>
              <w:jc w:val="right"/>
              <w:rPr>
                <w:rFonts w:asciiTheme="minorHAnsi" w:hAnsiTheme="minorHAnsi" w:cstheme="minorHAnsi"/>
                <w:b/>
                <w:szCs w:val="22"/>
              </w:rPr>
            </w:pPr>
            <w:r w:rsidRPr="001B1E83">
              <w:rPr>
                <w:rFonts w:asciiTheme="minorHAnsi" w:hAnsiTheme="minorHAnsi" w:cstheme="minorHAnsi"/>
                <w:b/>
                <w:szCs w:val="22"/>
              </w:rPr>
              <w:t>Inner regional</w:t>
            </w:r>
          </w:p>
        </w:tc>
        <w:tc>
          <w:tcPr>
            <w:tcW w:w="1301" w:type="dxa"/>
          </w:tcPr>
          <w:p w:rsidR="002265C7" w:rsidRPr="001B1E83" w:rsidRDefault="002265C7" w:rsidP="002265C7">
            <w:pPr>
              <w:pStyle w:val="TableFigText"/>
              <w:keepNext/>
              <w:keepLines w:val="0"/>
              <w:jc w:val="right"/>
              <w:rPr>
                <w:rFonts w:asciiTheme="minorHAnsi" w:hAnsiTheme="minorHAnsi" w:cstheme="minorHAnsi"/>
                <w:b/>
                <w:szCs w:val="22"/>
              </w:rPr>
            </w:pPr>
            <w:r w:rsidRPr="001B1E83">
              <w:rPr>
                <w:rFonts w:asciiTheme="minorHAnsi" w:hAnsiTheme="minorHAnsi" w:cstheme="minorHAnsi"/>
                <w:b/>
                <w:szCs w:val="22"/>
              </w:rPr>
              <w:t>Outer regional</w:t>
            </w:r>
          </w:p>
        </w:tc>
        <w:tc>
          <w:tcPr>
            <w:tcW w:w="1078" w:type="dxa"/>
          </w:tcPr>
          <w:p w:rsidR="002265C7" w:rsidRPr="001B1E83" w:rsidRDefault="002265C7" w:rsidP="002265C7">
            <w:pPr>
              <w:pStyle w:val="TableFigText"/>
              <w:keepNext/>
              <w:keepLines w:val="0"/>
              <w:jc w:val="right"/>
              <w:rPr>
                <w:rFonts w:asciiTheme="minorHAnsi" w:hAnsiTheme="minorHAnsi" w:cstheme="minorHAnsi"/>
                <w:b/>
                <w:szCs w:val="22"/>
              </w:rPr>
            </w:pPr>
            <w:r w:rsidRPr="001B1E83">
              <w:rPr>
                <w:rFonts w:asciiTheme="minorHAnsi" w:hAnsiTheme="minorHAnsi" w:cstheme="minorHAnsi"/>
                <w:b/>
                <w:szCs w:val="22"/>
              </w:rPr>
              <w:t>Remote</w:t>
            </w:r>
          </w:p>
        </w:tc>
        <w:tc>
          <w:tcPr>
            <w:tcW w:w="1132" w:type="dxa"/>
          </w:tcPr>
          <w:p w:rsidR="002265C7" w:rsidRPr="001B1E83" w:rsidRDefault="002265C7" w:rsidP="002265C7">
            <w:pPr>
              <w:pStyle w:val="TableFigText"/>
              <w:keepNext/>
              <w:keepLines w:val="0"/>
              <w:jc w:val="right"/>
              <w:rPr>
                <w:rFonts w:asciiTheme="minorHAnsi" w:hAnsiTheme="minorHAnsi" w:cstheme="minorHAnsi"/>
                <w:b/>
                <w:szCs w:val="22"/>
              </w:rPr>
            </w:pPr>
            <w:r w:rsidRPr="001B1E83">
              <w:rPr>
                <w:rFonts w:asciiTheme="minorHAnsi" w:hAnsiTheme="minorHAnsi" w:cstheme="minorHAnsi"/>
                <w:b/>
                <w:szCs w:val="22"/>
              </w:rPr>
              <w:t>Very remote</w:t>
            </w:r>
          </w:p>
        </w:tc>
        <w:tc>
          <w:tcPr>
            <w:tcW w:w="1030" w:type="dxa"/>
          </w:tcPr>
          <w:p w:rsidR="002265C7" w:rsidRPr="001B1E83" w:rsidRDefault="002265C7" w:rsidP="002265C7">
            <w:pPr>
              <w:pStyle w:val="TableFigText"/>
              <w:keepNext/>
              <w:keepLines w:val="0"/>
              <w:jc w:val="right"/>
              <w:rPr>
                <w:rFonts w:asciiTheme="minorHAnsi" w:hAnsiTheme="minorHAnsi" w:cstheme="minorHAnsi"/>
                <w:b/>
                <w:szCs w:val="22"/>
              </w:rPr>
            </w:pPr>
            <w:r w:rsidRPr="001B1E83">
              <w:rPr>
                <w:rFonts w:asciiTheme="minorHAnsi" w:hAnsiTheme="minorHAnsi" w:cstheme="minorHAnsi"/>
                <w:b/>
                <w:szCs w:val="22"/>
              </w:rPr>
              <w:t>Total</w:t>
            </w:r>
          </w:p>
        </w:tc>
      </w:tr>
      <w:tr w:rsidR="002265C7" w:rsidRPr="001B1E83" w:rsidTr="002265C7">
        <w:tc>
          <w:tcPr>
            <w:tcW w:w="2504" w:type="dxa"/>
          </w:tcPr>
          <w:p w:rsidR="002265C7" w:rsidRPr="001B1E83" w:rsidRDefault="002265C7" w:rsidP="002265C7">
            <w:pPr>
              <w:pStyle w:val="TableFigText"/>
              <w:keepNext/>
              <w:keepLines w:val="0"/>
              <w:rPr>
                <w:rFonts w:asciiTheme="minorHAnsi" w:hAnsiTheme="minorHAnsi" w:cstheme="minorHAnsi"/>
                <w:szCs w:val="22"/>
              </w:rPr>
            </w:pPr>
            <w:r w:rsidRPr="001B1E83">
              <w:rPr>
                <w:rFonts w:asciiTheme="minorHAnsi" w:hAnsiTheme="minorHAnsi" w:cstheme="minorHAnsi"/>
                <w:szCs w:val="22"/>
              </w:rPr>
              <w:t>Specialised psychiatric units or wards in public acute hospitals</w:t>
            </w:r>
          </w:p>
        </w:tc>
        <w:tc>
          <w:tcPr>
            <w:tcW w:w="1089" w:type="dxa"/>
            <w:vAlign w:val="center"/>
          </w:tcPr>
          <w:p w:rsidR="002265C7" w:rsidRPr="001B1E83" w:rsidRDefault="002265C7" w:rsidP="00D27F8A">
            <w:pPr>
              <w:pStyle w:val="TableFigText"/>
              <w:jc w:val="right"/>
            </w:pPr>
            <w:r w:rsidRPr="001B1E83">
              <w:t>1,111</w:t>
            </w:r>
          </w:p>
        </w:tc>
        <w:tc>
          <w:tcPr>
            <w:tcW w:w="1442" w:type="dxa"/>
            <w:vAlign w:val="center"/>
          </w:tcPr>
          <w:p w:rsidR="002265C7" w:rsidRPr="001B1E83" w:rsidRDefault="002265C7" w:rsidP="00D27F8A">
            <w:pPr>
              <w:pStyle w:val="TableFigText"/>
              <w:jc w:val="right"/>
            </w:pPr>
            <w:r w:rsidRPr="001B1E83">
              <w:t>278</w:t>
            </w:r>
          </w:p>
        </w:tc>
        <w:tc>
          <w:tcPr>
            <w:tcW w:w="1301" w:type="dxa"/>
            <w:vAlign w:val="center"/>
          </w:tcPr>
          <w:p w:rsidR="002265C7" w:rsidRPr="001B1E83" w:rsidRDefault="002265C7" w:rsidP="00D27F8A">
            <w:pPr>
              <w:pStyle w:val="TableFigText"/>
              <w:jc w:val="right"/>
            </w:pPr>
            <w:r w:rsidRPr="001B1E83">
              <w:t>11</w:t>
            </w:r>
          </w:p>
        </w:tc>
        <w:tc>
          <w:tcPr>
            <w:tcW w:w="1078" w:type="dxa"/>
            <w:vAlign w:val="center"/>
          </w:tcPr>
          <w:p w:rsidR="002265C7" w:rsidRPr="001B1E83" w:rsidRDefault="002265C7" w:rsidP="00D27F8A">
            <w:pPr>
              <w:pStyle w:val="TableFigText"/>
              <w:jc w:val="right"/>
            </w:pPr>
            <w:r w:rsidRPr="001B1E83">
              <w:t>0</w:t>
            </w:r>
          </w:p>
        </w:tc>
        <w:tc>
          <w:tcPr>
            <w:tcW w:w="1132" w:type="dxa"/>
            <w:vAlign w:val="center"/>
          </w:tcPr>
          <w:p w:rsidR="002265C7" w:rsidRPr="001B1E83" w:rsidRDefault="002265C7" w:rsidP="00D27F8A">
            <w:pPr>
              <w:pStyle w:val="TableFigText"/>
              <w:jc w:val="right"/>
            </w:pPr>
            <w:r w:rsidRPr="001B1E83">
              <w:t>0</w:t>
            </w:r>
          </w:p>
        </w:tc>
        <w:tc>
          <w:tcPr>
            <w:tcW w:w="1030" w:type="dxa"/>
            <w:vAlign w:val="center"/>
          </w:tcPr>
          <w:p w:rsidR="002265C7" w:rsidRPr="001B1E83" w:rsidRDefault="002265C7" w:rsidP="00D27F8A">
            <w:pPr>
              <w:pStyle w:val="TableFigText"/>
              <w:jc w:val="right"/>
            </w:pPr>
            <w:r w:rsidRPr="001B1E83">
              <w:t>1,400</w:t>
            </w:r>
          </w:p>
        </w:tc>
      </w:tr>
      <w:tr w:rsidR="002265C7" w:rsidRPr="001B1E83" w:rsidTr="002265C7">
        <w:tc>
          <w:tcPr>
            <w:tcW w:w="2504" w:type="dxa"/>
          </w:tcPr>
          <w:p w:rsidR="002265C7" w:rsidRPr="001B1E83" w:rsidRDefault="002265C7" w:rsidP="002265C7">
            <w:pPr>
              <w:pStyle w:val="TableFigText"/>
              <w:keepNext/>
              <w:keepLines w:val="0"/>
              <w:rPr>
                <w:rFonts w:asciiTheme="minorHAnsi" w:hAnsiTheme="minorHAnsi" w:cstheme="minorHAnsi"/>
                <w:szCs w:val="22"/>
              </w:rPr>
            </w:pPr>
            <w:r w:rsidRPr="001B1E83">
              <w:rPr>
                <w:rFonts w:asciiTheme="minorHAnsi" w:hAnsiTheme="minorHAnsi" w:cstheme="minorHAnsi"/>
                <w:szCs w:val="22"/>
              </w:rPr>
              <w:t>Public psychiatric hospital services</w:t>
            </w:r>
          </w:p>
        </w:tc>
        <w:tc>
          <w:tcPr>
            <w:tcW w:w="1089" w:type="dxa"/>
            <w:vAlign w:val="center"/>
          </w:tcPr>
          <w:p w:rsidR="002265C7" w:rsidRPr="001B1E83" w:rsidRDefault="002265C7" w:rsidP="00D27F8A">
            <w:pPr>
              <w:pStyle w:val="TableFigText"/>
              <w:jc w:val="right"/>
            </w:pPr>
            <w:r w:rsidRPr="001B1E83">
              <w:t>810</w:t>
            </w:r>
          </w:p>
        </w:tc>
        <w:tc>
          <w:tcPr>
            <w:tcW w:w="1442" w:type="dxa"/>
            <w:vAlign w:val="center"/>
          </w:tcPr>
          <w:p w:rsidR="002265C7" w:rsidRPr="001B1E83" w:rsidRDefault="002265C7" w:rsidP="00D27F8A">
            <w:pPr>
              <w:pStyle w:val="TableFigText"/>
              <w:jc w:val="right"/>
            </w:pPr>
            <w:r w:rsidRPr="001B1E83">
              <w:t>214</w:t>
            </w:r>
          </w:p>
        </w:tc>
        <w:tc>
          <w:tcPr>
            <w:tcW w:w="1301" w:type="dxa"/>
            <w:vAlign w:val="center"/>
          </w:tcPr>
          <w:p w:rsidR="002265C7" w:rsidRPr="001B1E83" w:rsidRDefault="002265C7" w:rsidP="00D27F8A">
            <w:pPr>
              <w:pStyle w:val="TableFigText"/>
              <w:jc w:val="right"/>
            </w:pPr>
            <w:r w:rsidRPr="001B1E83">
              <w:t>0</w:t>
            </w:r>
          </w:p>
        </w:tc>
        <w:tc>
          <w:tcPr>
            <w:tcW w:w="1078" w:type="dxa"/>
            <w:vAlign w:val="center"/>
          </w:tcPr>
          <w:p w:rsidR="002265C7" w:rsidRPr="001B1E83" w:rsidRDefault="002265C7" w:rsidP="00D27F8A">
            <w:pPr>
              <w:pStyle w:val="TableFigText"/>
              <w:jc w:val="right"/>
            </w:pPr>
            <w:r w:rsidRPr="001B1E83">
              <w:t>0</w:t>
            </w:r>
          </w:p>
        </w:tc>
        <w:tc>
          <w:tcPr>
            <w:tcW w:w="1132" w:type="dxa"/>
            <w:vAlign w:val="center"/>
          </w:tcPr>
          <w:p w:rsidR="002265C7" w:rsidRPr="001B1E83" w:rsidRDefault="002265C7" w:rsidP="00D27F8A">
            <w:pPr>
              <w:pStyle w:val="TableFigText"/>
              <w:jc w:val="right"/>
            </w:pPr>
            <w:r w:rsidRPr="001B1E83">
              <w:t>0</w:t>
            </w:r>
          </w:p>
        </w:tc>
        <w:tc>
          <w:tcPr>
            <w:tcW w:w="1030" w:type="dxa"/>
            <w:vAlign w:val="center"/>
          </w:tcPr>
          <w:p w:rsidR="002265C7" w:rsidRPr="001B1E83" w:rsidRDefault="002265C7" w:rsidP="00D27F8A">
            <w:pPr>
              <w:pStyle w:val="TableFigText"/>
              <w:jc w:val="right"/>
            </w:pPr>
            <w:r w:rsidRPr="001B1E83">
              <w:t>1,024</w:t>
            </w:r>
          </w:p>
        </w:tc>
      </w:tr>
      <w:tr w:rsidR="002265C7" w:rsidRPr="001B1E83" w:rsidTr="002265C7">
        <w:tc>
          <w:tcPr>
            <w:tcW w:w="2504" w:type="dxa"/>
          </w:tcPr>
          <w:p w:rsidR="002265C7" w:rsidRPr="001B1E83" w:rsidRDefault="002265C7" w:rsidP="002265C7">
            <w:pPr>
              <w:pStyle w:val="TableFigText"/>
              <w:keepNext/>
              <w:keepLines w:val="0"/>
              <w:rPr>
                <w:rFonts w:asciiTheme="minorHAnsi" w:hAnsiTheme="minorHAnsi" w:cstheme="minorHAnsi"/>
                <w:szCs w:val="22"/>
              </w:rPr>
            </w:pPr>
            <w:r w:rsidRPr="001B1E83">
              <w:rPr>
                <w:rFonts w:asciiTheme="minorHAnsi" w:hAnsiTheme="minorHAnsi" w:cstheme="minorHAnsi"/>
                <w:szCs w:val="22"/>
              </w:rPr>
              <w:t>Residential mental health care services</w:t>
            </w:r>
          </w:p>
        </w:tc>
        <w:tc>
          <w:tcPr>
            <w:tcW w:w="1089" w:type="dxa"/>
            <w:vAlign w:val="center"/>
          </w:tcPr>
          <w:p w:rsidR="002265C7" w:rsidRPr="001B1E83" w:rsidRDefault="002265C7" w:rsidP="00D27F8A">
            <w:pPr>
              <w:pStyle w:val="TableFigText"/>
              <w:jc w:val="right"/>
            </w:pPr>
            <w:r w:rsidRPr="001B1E83">
              <w:t>157</w:t>
            </w:r>
          </w:p>
        </w:tc>
        <w:tc>
          <w:tcPr>
            <w:tcW w:w="1442" w:type="dxa"/>
            <w:vAlign w:val="center"/>
          </w:tcPr>
          <w:p w:rsidR="002265C7" w:rsidRPr="001B1E83" w:rsidRDefault="002265C7" w:rsidP="00D27F8A">
            <w:pPr>
              <w:pStyle w:val="TableFigText"/>
              <w:jc w:val="right"/>
            </w:pPr>
            <w:r w:rsidRPr="001B1E83">
              <w:t>91</w:t>
            </w:r>
          </w:p>
        </w:tc>
        <w:tc>
          <w:tcPr>
            <w:tcW w:w="1301" w:type="dxa"/>
            <w:vAlign w:val="center"/>
          </w:tcPr>
          <w:p w:rsidR="002265C7" w:rsidRPr="001B1E83" w:rsidRDefault="002265C7" w:rsidP="00D27F8A">
            <w:pPr>
              <w:pStyle w:val="TableFigText"/>
              <w:jc w:val="right"/>
            </w:pPr>
            <w:r w:rsidRPr="001B1E83">
              <w:t>3</w:t>
            </w:r>
          </w:p>
        </w:tc>
        <w:tc>
          <w:tcPr>
            <w:tcW w:w="1078" w:type="dxa"/>
            <w:vAlign w:val="center"/>
          </w:tcPr>
          <w:p w:rsidR="002265C7" w:rsidRPr="001B1E83" w:rsidRDefault="002265C7" w:rsidP="00D27F8A">
            <w:pPr>
              <w:pStyle w:val="TableFigText"/>
              <w:jc w:val="right"/>
            </w:pPr>
            <w:r w:rsidRPr="001B1E83">
              <w:t>0</w:t>
            </w:r>
          </w:p>
        </w:tc>
        <w:tc>
          <w:tcPr>
            <w:tcW w:w="1132" w:type="dxa"/>
            <w:vAlign w:val="center"/>
          </w:tcPr>
          <w:p w:rsidR="002265C7" w:rsidRPr="001B1E83" w:rsidRDefault="002265C7" w:rsidP="00D27F8A">
            <w:pPr>
              <w:pStyle w:val="TableFigText"/>
              <w:jc w:val="right"/>
            </w:pPr>
            <w:r w:rsidRPr="001B1E83">
              <w:t>0</w:t>
            </w:r>
          </w:p>
        </w:tc>
        <w:tc>
          <w:tcPr>
            <w:tcW w:w="1030" w:type="dxa"/>
            <w:vAlign w:val="center"/>
          </w:tcPr>
          <w:p w:rsidR="002265C7" w:rsidRPr="001B1E83" w:rsidRDefault="002265C7" w:rsidP="00D27F8A">
            <w:pPr>
              <w:pStyle w:val="TableFigText"/>
              <w:jc w:val="right"/>
            </w:pPr>
            <w:r w:rsidRPr="001B1E83">
              <w:t>251</w:t>
            </w:r>
          </w:p>
        </w:tc>
      </w:tr>
      <w:tr w:rsidR="002265C7" w:rsidRPr="001B1E83" w:rsidTr="002265C7">
        <w:tc>
          <w:tcPr>
            <w:tcW w:w="2504" w:type="dxa"/>
          </w:tcPr>
          <w:p w:rsidR="002265C7" w:rsidRPr="00D27F8A" w:rsidRDefault="002265C7" w:rsidP="002265C7">
            <w:pPr>
              <w:pStyle w:val="TableFigText"/>
              <w:keepNext/>
              <w:keepLines w:val="0"/>
              <w:rPr>
                <w:rFonts w:asciiTheme="minorHAnsi" w:hAnsiTheme="minorHAnsi" w:cstheme="minorHAnsi"/>
                <w:b/>
                <w:szCs w:val="22"/>
              </w:rPr>
            </w:pPr>
            <w:r w:rsidRPr="00D27F8A">
              <w:rPr>
                <w:rFonts w:asciiTheme="minorHAnsi" w:hAnsiTheme="minorHAnsi" w:cstheme="minorHAnsi"/>
                <w:b/>
                <w:szCs w:val="22"/>
              </w:rPr>
              <w:t>Total</w:t>
            </w:r>
          </w:p>
        </w:tc>
        <w:tc>
          <w:tcPr>
            <w:tcW w:w="1089" w:type="dxa"/>
            <w:vAlign w:val="center"/>
          </w:tcPr>
          <w:p w:rsidR="002265C7" w:rsidRPr="00D27F8A" w:rsidRDefault="002265C7" w:rsidP="00D27F8A">
            <w:pPr>
              <w:pStyle w:val="TableFigText"/>
              <w:jc w:val="right"/>
              <w:rPr>
                <w:b/>
              </w:rPr>
            </w:pPr>
            <w:r w:rsidRPr="00D27F8A">
              <w:rPr>
                <w:b/>
              </w:rPr>
              <w:t>2,078</w:t>
            </w:r>
          </w:p>
        </w:tc>
        <w:tc>
          <w:tcPr>
            <w:tcW w:w="1442" w:type="dxa"/>
            <w:vAlign w:val="center"/>
          </w:tcPr>
          <w:p w:rsidR="002265C7" w:rsidRPr="00D27F8A" w:rsidRDefault="002265C7" w:rsidP="00D27F8A">
            <w:pPr>
              <w:pStyle w:val="TableFigText"/>
              <w:jc w:val="right"/>
              <w:rPr>
                <w:b/>
              </w:rPr>
            </w:pPr>
            <w:r w:rsidRPr="00D27F8A">
              <w:rPr>
                <w:b/>
              </w:rPr>
              <w:t>583</w:t>
            </w:r>
          </w:p>
        </w:tc>
        <w:tc>
          <w:tcPr>
            <w:tcW w:w="1301" w:type="dxa"/>
            <w:vAlign w:val="center"/>
          </w:tcPr>
          <w:p w:rsidR="002265C7" w:rsidRPr="00D27F8A" w:rsidRDefault="002265C7" w:rsidP="00D27F8A">
            <w:pPr>
              <w:pStyle w:val="TableFigText"/>
              <w:jc w:val="right"/>
              <w:rPr>
                <w:b/>
              </w:rPr>
            </w:pPr>
            <w:r w:rsidRPr="00D27F8A">
              <w:rPr>
                <w:b/>
              </w:rPr>
              <w:t>14</w:t>
            </w:r>
          </w:p>
        </w:tc>
        <w:tc>
          <w:tcPr>
            <w:tcW w:w="1078" w:type="dxa"/>
            <w:vAlign w:val="center"/>
          </w:tcPr>
          <w:p w:rsidR="002265C7" w:rsidRPr="00D27F8A" w:rsidRDefault="002265C7" w:rsidP="00D27F8A">
            <w:pPr>
              <w:pStyle w:val="TableFigText"/>
              <w:jc w:val="right"/>
              <w:rPr>
                <w:b/>
              </w:rPr>
            </w:pPr>
            <w:r w:rsidRPr="00D27F8A">
              <w:rPr>
                <w:b/>
              </w:rPr>
              <w:t>0</w:t>
            </w:r>
          </w:p>
        </w:tc>
        <w:tc>
          <w:tcPr>
            <w:tcW w:w="1132" w:type="dxa"/>
            <w:vAlign w:val="center"/>
          </w:tcPr>
          <w:p w:rsidR="002265C7" w:rsidRPr="00D27F8A" w:rsidRDefault="002265C7" w:rsidP="00D27F8A">
            <w:pPr>
              <w:pStyle w:val="TableFigText"/>
              <w:jc w:val="right"/>
              <w:rPr>
                <w:b/>
              </w:rPr>
            </w:pPr>
            <w:r w:rsidRPr="00D27F8A">
              <w:rPr>
                <w:b/>
              </w:rPr>
              <w:t>0</w:t>
            </w:r>
          </w:p>
        </w:tc>
        <w:tc>
          <w:tcPr>
            <w:tcW w:w="1030" w:type="dxa"/>
            <w:vAlign w:val="center"/>
          </w:tcPr>
          <w:p w:rsidR="002265C7" w:rsidRPr="00D27F8A" w:rsidRDefault="002265C7" w:rsidP="00D27F8A">
            <w:pPr>
              <w:pStyle w:val="TableFigText"/>
              <w:jc w:val="right"/>
              <w:rPr>
                <w:b/>
              </w:rPr>
            </w:pPr>
            <w:r w:rsidRPr="00D27F8A">
              <w:rPr>
                <w:b/>
              </w:rPr>
              <w:t>2,675</w:t>
            </w:r>
          </w:p>
        </w:tc>
      </w:tr>
    </w:tbl>
    <w:p w:rsidR="002265C7" w:rsidRPr="00B27FBD" w:rsidRDefault="002265C7" w:rsidP="002265C7">
      <w:pPr>
        <w:spacing w:before="0" w:after="0" w:line="240" w:lineRule="auto"/>
        <w:rPr>
          <w:rStyle w:val="table-note"/>
          <w:rFonts w:ascii="Arial" w:hAnsi="Arial"/>
          <w:sz w:val="14"/>
          <w:szCs w:val="20"/>
          <w:lang w:eastAsia="en-US"/>
        </w:rPr>
      </w:pPr>
      <w:r w:rsidRPr="00B27FBD">
        <w:rPr>
          <w:rStyle w:val="table-note"/>
          <w:rFonts w:ascii="Arial" w:hAnsi="Arial"/>
          <w:sz w:val="14"/>
          <w:szCs w:val="20"/>
          <w:lang w:eastAsia="en-US"/>
        </w:rPr>
        <w:t xml:space="preserve">Notes: </w:t>
      </w:r>
      <w:r w:rsidRPr="00B27FBD">
        <w:rPr>
          <w:rStyle w:val="table-note"/>
          <w:rFonts w:ascii="Arial" w:hAnsi="Arial"/>
          <w:sz w:val="14"/>
          <w:szCs w:val="20"/>
          <w:lang w:eastAsia="en-US"/>
        </w:rPr>
        <w:tab/>
      </w:r>
    </w:p>
    <w:p w:rsidR="002265C7" w:rsidRPr="00B27FBD" w:rsidRDefault="002265C7" w:rsidP="00631EB9">
      <w:pPr>
        <w:pStyle w:val="ListParagraph"/>
        <w:numPr>
          <w:ilvl w:val="0"/>
          <w:numId w:val="19"/>
        </w:numPr>
        <w:spacing w:after="0" w:line="240" w:lineRule="auto"/>
        <w:rPr>
          <w:rStyle w:val="table-note"/>
          <w:rFonts w:ascii="Arial" w:eastAsia="Times New Roman" w:hAnsi="Arial" w:cs="Times New Roman"/>
          <w:sz w:val="14"/>
          <w:szCs w:val="20"/>
          <w:lang w:eastAsia="en-US"/>
        </w:rPr>
      </w:pPr>
      <w:r w:rsidRPr="00B27FBD">
        <w:rPr>
          <w:rStyle w:val="table-note"/>
          <w:rFonts w:ascii="Arial" w:eastAsia="Times New Roman" w:hAnsi="Arial" w:cs="Times New Roman"/>
          <w:sz w:val="14"/>
          <w:szCs w:val="20"/>
          <w:lang w:eastAsia="en-US"/>
        </w:rPr>
        <w:t>Housing and Accommodation Support Initiative (HASI) services provided in New South Wales are considered out-of-scope as residential services according to the Mental Health Establishments NMDS.</w:t>
      </w:r>
    </w:p>
    <w:p w:rsidR="002265C7" w:rsidRPr="00CB7CCD" w:rsidRDefault="00CB7CCD" w:rsidP="002265C7">
      <w:pPr>
        <w:pStyle w:val="TableCaption"/>
        <w:rPr>
          <w:rStyle w:val="table-note"/>
        </w:rPr>
      </w:pPr>
      <w:r w:rsidRPr="00CB7CCD">
        <w:rPr>
          <w:rStyle w:val="table-note"/>
        </w:rPr>
        <w:t xml:space="preserve">Table 7: </w:t>
      </w:r>
      <w:r w:rsidR="002265C7" w:rsidRPr="00CB7CCD">
        <w:rPr>
          <w:rStyle w:val="table-note"/>
        </w:rPr>
        <w:t>NSW: Number of specialised mental health beds, by service type, 2011–12</w:t>
      </w:r>
    </w:p>
    <w:tbl>
      <w:tblPr>
        <w:tblStyle w:val="TableGrid"/>
        <w:tblW w:w="0" w:type="auto"/>
        <w:tblLook w:val="04A0" w:firstRow="1" w:lastRow="0" w:firstColumn="1" w:lastColumn="0" w:noHBand="0" w:noVBand="1"/>
        <w:tblCaption w:val="NSW: Number of specialised mental health beds, by service type, 2011–12"/>
        <w:tblDescription w:val="Table showing that, in 2011-12, major cities in NSW had the highest number of all types of specialised mental health beds at 2,187. The number of beds decreased with remoteness across all specialised mental health beds. Specialised psychiatric units or wards in public acute hospitals had the highest number of beds at 1,747 across all region types."/>
      </w:tblPr>
      <w:tblGrid>
        <w:gridCol w:w="2354"/>
        <w:gridCol w:w="1061"/>
        <w:gridCol w:w="1398"/>
        <w:gridCol w:w="1276"/>
        <w:gridCol w:w="1079"/>
        <w:gridCol w:w="1118"/>
        <w:gridCol w:w="1000"/>
      </w:tblGrid>
      <w:tr w:rsidR="002265C7" w:rsidRPr="001B1E83" w:rsidTr="000C3DEA">
        <w:trPr>
          <w:tblHeader/>
        </w:trPr>
        <w:tc>
          <w:tcPr>
            <w:tcW w:w="2452" w:type="dxa"/>
          </w:tcPr>
          <w:p w:rsidR="002265C7" w:rsidRPr="001B1E83" w:rsidRDefault="002265C7" w:rsidP="002265C7">
            <w:pPr>
              <w:pStyle w:val="TableFigText"/>
              <w:rPr>
                <w:rFonts w:asciiTheme="minorHAnsi" w:hAnsiTheme="minorHAnsi" w:cstheme="minorHAnsi"/>
                <w:szCs w:val="22"/>
              </w:rPr>
            </w:pPr>
          </w:p>
        </w:tc>
        <w:tc>
          <w:tcPr>
            <w:tcW w:w="1092" w:type="dxa"/>
          </w:tcPr>
          <w:p w:rsidR="002265C7" w:rsidRPr="001B1E83" w:rsidRDefault="002265C7" w:rsidP="002265C7">
            <w:pPr>
              <w:pStyle w:val="TableFigText"/>
              <w:jc w:val="right"/>
              <w:rPr>
                <w:rFonts w:asciiTheme="minorHAnsi" w:hAnsiTheme="minorHAnsi" w:cstheme="minorHAnsi"/>
                <w:b/>
                <w:szCs w:val="22"/>
              </w:rPr>
            </w:pPr>
            <w:r w:rsidRPr="001B1E83">
              <w:rPr>
                <w:rFonts w:asciiTheme="minorHAnsi" w:hAnsiTheme="minorHAnsi" w:cstheme="minorHAnsi"/>
                <w:b/>
                <w:szCs w:val="22"/>
              </w:rPr>
              <w:t>Major cities</w:t>
            </w:r>
          </w:p>
        </w:tc>
        <w:tc>
          <w:tcPr>
            <w:tcW w:w="1443" w:type="dxa"/>
          </w:tcPr>
          <w:p w:rsidR="002265C7" w:rsidRPr="001B1E83" w:rsidRDefault="002265C7" w:rsidP="002265C7">
            <w:pPr>
              <w:pStyle w:val="TableFigText"/>
              <w:jc w:val="right"/>
              <w:rPr>
                <w:rFonts w:asciiTheme="minorHAnsi" w:hAnsiTheme="minorHAnsi" w:cstheme="minorHAnsi"/>
                <w:b/>
                <w:szCs w:val="22"/>
              </w:rPr>
            </w:pPr>
            <w:r w:rsidRPr="001B1E83">
              <w:rPr>
                <w:rFonts w:asciiTheme="minorHAnsi" w:hAnsiTheme="minorHAnsi" w:cstheme="minorHAnsi"/>
                <w:b/>
                <w:szCs w:val="22"/>
              </w:rPr>
              <w:t>Inner regional</w:t>
            </w:r>
          </w:p>
        </w:tc>
        <w:tc>
          <w:tcPr>
            <w:tcW w:w="1312" w:type="dxa"/>
          </w:tcPr>
          <w:p w:rsidR="002265C7" w:rsidRPr="001B1E83" w:rsidRDefault="002265C7" w:rsidP="002265C7">
            <w:pPr>
              <w:pStyle w:val="TableFigText"/>
              <w:jc w:val="right"/>
              <w:rPr>
                <w:rFonts w:asciiTheme="minorHAnsi" w:hAnsiTheme="minorHAnsi" w:cstheme="minorHAnsi"/>
                <w:b/>
                <w:szCs w:val="22"/>
              </w:rPr>
            </w:pPr>
            <w:r w:rsidRPr="001B1E83">
              <w:rPr>
                <w:rFonts w:asciiTheme="minorHAnsi" w:hAnsiTheme="minorHAnsi" w:cstheme="minorHAnsi"/>
                <w:b/>
                <w:szCs w:val="22"/>
              </w:rPr>
              <w:t>Outer regional</w:t>
            </w:r>
          </w:p>
        </w:tc>
        <w:tc>
          <w:tcPr>
            <w:tcW w:w="1103" w:type="dxa"/>
          </w:tcPr>
          <w:p w:rsidR="002265C7" w:rsidRPr="001B1E83" w:rsidRDefault="002265C7" w:rsidP="002265C7">
            <w:pPr>
              <w:pStyle w:val="TableFigText"/>
              <w:jc w:val="right"/>
              <w:rPr>
                <w:rFonts w:asciiTheme="minorHAnsi" w:hAnsiTheme="minorHAnsi" w:cstheme="minorHAnsi"/>
                <w:b/>
                <w:szCs w:val="22"/>
              </w:rPr>
            </w:pPr>
            <w:r w:rsidRPr="001B1E83">
              <w:rPr>
                <w:rFonts w:asciiTheme="minorHAnsi" w:hAnsiTheme="minorHAnsi" w:cstheme="minorHAnsi"/>
                <w:b/>
                <w:szCs w:val="22"/>
              </w:rPr>
              <w:t>Remote</w:t>
            </w:r>
          </w:p>
        </w:tc>
        <w:tc>
          <w:tcPr>
            <w:tcW w:w="1147" w:type="dxa"/>
          </w:tcPr>
          <w:p w:rsidR="002265C7" w:rsidRPr="001B1E83" w:rsidRDefault="002265C7" w:rsidP="002265C7">
            <w:pPr>
              <w:pStyle w:val="TableFigText"/>
              <w:jc w:val="right"/>
              <w:rPr>
                <w:rFonts w:asciiTheme="minorHAnsi" w:hAnsiTheme="minorHAnsi" w:cstheme="minorHAnsi"/>
                <w:b/>
                <w:szCs w:val="22"/>
              </w:rPr>
            </w:pPr>
            <w:r w:rsidRPr="001B1E83">
              <w:rPr>
                <w:rFonts w:asciiTheme="minorHAnsi" w:hAnsiTheme="minorHAnsi" w:cstheme="minorHAnsi"/>
                <w:b/>
                <w:szCs w:val="22"/>
              </w:rPr>
              <w:t>Very remote</w:t>
            </w:r>
          </w:p>
        </w:tc>
        <w:tc>
          <w:tcPr>
            <w:tcW w:w="1027" w:type="dxa"/>
          </w:tcPr>
          <w:p w:rsidR="002265C7" w:rsidRPr="001B1E83" w:rsidRDefault="002265C7" w:rsidP="002265C7">
            <w:pPr>
              <w:pStyle w:val="TableFigText"/>
              <w:jc w:val="right"/>
              <w:rPr>
                <w:rFonts w:asciiTheme="minorHAnsi" w:hAnsiTheme="minorHAnsi" w:cstheme="minorHAnsi"/>
                <w:b/>
                <w:szCs w:val="22"/>
              </w:rPr>
            </w:pPr>
            <w:r w:rsidRPr="001B1E83">
              <w:rPr>
                <w:rFonts w:asciiTheme="minorHAnsi" w:hAnsiTheme="minorHAnsi" w:cstheme="minorHAnsi"/>
                <w:b/>
                <w:szCs w:val="22"/>
              </w:rPr>
              <w:t>Total</w:t>
            </w:r>
          </w:p>
        </w:tc>
      </w:tr>
      <w:tr w:rsidR="002265C7" w:rsidRPr="001B1E83" w:rsidTr="002265C7">
        <w:tc>
          <w:tcPr>
            <w:tcW w:w="2452" w:type="dxa"/>
          </w:tcPr>
          <w:p w:rsidR="002265C7" w:rsidRPr="001B1E83" w:rsidRDefault="002265C7" w:rsidP="002265C7">
            <w:pPr>
              <w:pStyle w:val="TableFigText"/>
              <w:keepLines w:val="0"/>
              <w:rPr>
                <w:rFonts w:asciiTheme="minorHAnsi" w:hAnsiTheme="minorHAnsi" w:cstheme="minorHAnsi"/>
                <w:szCs w:val="22"/>
              </w:rPr>
            </w:pPr>
            <w:r w:rsidRPr="001B1E83">
              <w:rPr>
                <w:rFonts w:asciiTheme="minorHAnsi" w:hAnsiTheme="minorHAnsi" w:cstheme="minorHAnsi"/>
                <w:szCs w:val="22"/>
              </w:rPr>
              <w:t>Specialised psychiatric units or wards in public acute hospitals</w:t>
            </w:r>
          </w:p>
        </w:tc>
        <w:tc>
          <w:tcPr>
            <w:tcW w:w="1092" w:type="dxa"/>
          </w:tcPr>
          <w:p w:rsidR="002265C7" w:rsidRPr="001B1E83" w:rsidRDefault="002265C7" w:rsidP="00D27F8A">
            <w:pPr>
              <w:pStyle w:val="TableFigText"/>
              <w:jc w:val="right"/>
            </w:pPr>
            <w:r w:rsidRPr="001B1E83">
              <w:t>1,245</w:t>
            </w:r>
          </w:p>
        </w:tc>
        <w:tc>
          <w:tcPr>
            <w:tcW w:w="1443" w:type="dxa"/>
          </w:tcPr>
          <w:p w:rsidR="002265C7" w:rsidRPr="001B1E83" w:rsidRDefault="002265C7" w:rsidP="00D27F8A">
            <w:pPr>
              <w:pStyle w:val="TableFigText"/>
              <w:jc w:val="right"/>
            </w:pPr>
            <w:r w:rsidRPr="001B1E83">
              <w:t>483</w:t>
            </w:r>
          </w:p>
        </w:tc>
        <w:tc>
          <w:tcPr>
            <w:tcW w:w="1312" w:type="dxa"/>
          </w:tcPr>
          <w:p w:rsidR="002265C7" w:rsidRPr="001B1E83" w:rsidRDefault="002265C7" w:rsidP="00D27F8A">
            <w:pPr>
              <w:pStyle w:val="TableFigText"/>
              <w:jc w:val="right"/>
            </w:pPr>
            <w:r w:rsidRPr="001B1E83">
              <w:t>19</w:t>
            </w:r>
          </w:p>
        </w:tc>
        <w:tc>
          <w:tcPr>
            <w:tcW w:w="1103" w:type="dxa"/>
          </w:tcPr>
          <w:p w:rsidR="002265C7" w:rsidRPr="001B1E83" w:rsidRDefault="002265C7" w:rsidP="00D27F8A">
            <w:pPr>
              <w:pStyle w:val="TableFigText"/>
              <w:jc w:val="right"/>
            </w:pPr>
            <w:r w:rsidRPr="001B1E83">
              <w:t>0</w:t>
            </w:r>
          </w:p>
        </w:tc>
        <w:tc>
          <w:tcPr>
            <w:tcW w:w="1147" w:type="dxa"/>
          </w:tcPr>
          <w:p w:rsidR="002265C7" w:rsidRPr="001B1E83" w:rsidRDefault="002265C7" w:rsidP="00D27F8A">
            <w:pPr>
              <w:pStyle w:val="TableFigText"/>
              <w:jc w:val="right"/>
            </w:pPr>
            <w:r w:rsidRPr="001B1E83">
              <w:t>0</w:t>
            </w:r>
          </w:p>
        </w:tc>
        <w:tc>
          <w:tcPr>
            <w:tcW w:w="1027" w:type="dxa"/>
          </w:tcPr>
          <w:p w:rsidR="002265C7" w:rsidRPr="001B1E83" w:rsidRDefault="002265C7" w:rsidP="00D27F8A">
            <w:pPr>
              <w:pStyle w:val="TableFigText"/>
              <w:jc w:val="right"/>
            </w:pPr>
            <w:r w:rsidRPr="001B1E83">
              <w:t>1,747</w:t>
            </w:r>
          </w:p>
        </w:tc>
      </w:tr>
      <w:tr w:rsidR="002265C7" w:rsidRPr="001B1E83" w:rsidTr="002265C7">
        <w:tc>
          <w:tcPr>
            <w:tcW w:w="2452" w:type="dxa"/>
          </w:tcPr>
          <w:p w:rsidR="002265C7" w:rsidRPr="001B1E83" w:rsidRDefault="002265C7" w:rsidP="002265C7">
            <w:pPr>
              <w:pStyle w:val="TableFigText"/>
              <w:keepLines w:val="0"/>
              <w:rPr>
                <w:rFonts w:asciiTheme="minorHAnsi" w:hAnsiTheme="minorHAnsi" w:cstheme="minorHAnsi"/>
                <w:szCs w:val="22"/>
              </w:rPr>
            </w:pPr>
            <w:r w:rsidRPr="001B1E83">
              <w:rPr>
                <w:rFonts w:asciiTheme="minorHAnsi" w:hAnsiTheme="minorHAnsi" w:cstheme="minorHAnsi"/>
                <w:szCs w:val="22"/>
              </w:rPr>
              <w:t>Public psychiatric hospital services</w:t>
            </w:r>
          </w:p>
        </w:tc>
        <w:tc>
          <w:tcPr>
            <w:tcW w:w="1092" w:type="dxa"/>
          </w:tcPr>
          <w:p w:rsidR="002265C7" w:rsidRPr="001B1E83" w:rsidRDefault="002265C7" w:rsidP="00D27F8A">
            <w:pPr>
              <w:pStyle w:val="TableFigText"/>
              <w:jc w:val="right"/>
            </w:pPr>
            <w:r w:rsidRPr="001B1E83">
              <w:t>844</w:t>
            </w:r>
          </w:p>
        </w:tc>
        <w:tc>
          <w:tcPr>
            <w:tcW w:w="1443" w:type="dxa"/>
          </w:tcPr>
          <w:p w:rsidR="002265C7" w:rsidRPr="001B1E83" w:rsidRDefault="002265C7" w:rsidP="00D27F8A">
            <w:pPr>
              <w:pStyle w:val="TableFigText"/>
              <w:jc w:val="right"/>
            </w:pPr>
            <w:r w:rsidRPr="001B1E83">
              <w:t>59</w:t>
            </w:r>
          </w:p>
        </w:tc>
        <w:tc>
          <w:tcPr>
            <w:tcW w:w="1312" w:type="dxa"/>
          </w:tcPr>
          <w:p w:rsidR="002265C7" w:rsidRPr="001B1E83" w:rsidRDefault="002265C7" w:rsidP="00D27F8A">
            <w:pPr>
              <w:pStyle w:val="TableFigText"/>
              <w:jc w:val="right"/>
            </w:pPr>
            <w:r w:rsidRPr="001B1E83">
              <w:t>0</w:t>
            </w:r>
          </w:p>
        </w:tc>
        <w:tc>
          <w:tcPr>
            <w:tcW w:w="1103" w:type="dxa"/>
          </w:tcPr>
          <w:p w:rsidR="002265C7" w:rsidRPr="001B1E83" w:rsidRDefault="002265C7" w:rsidP="00D27F8A">
            <w:pPr>
              <w:pStyle w:val="TableFigText"/>
              <w:jc w:val="right"/>
            </w:pPr>
            <w:r w:rsidRPr="001B1E83">
              <w:t>0</w:t>
            </w:r>
          </w:p>
        </w:tc>
        <w:tc>
          <w:tcPr>
            <w:tcW w:w="1147" w:type="dxa"/>
          </w:tcPr>
          <w:p w:rsidR="002265C7" w:rsidRPr="001B1E83" w:rsidRDefault="002265C7" w:rsidP="00D27F8A">
            <w:pPr>
              <w:pStyle w:val="TableFigText"/>
              <w:jc w:val="right"/>
            </w:pPr>
            <w:r w:rsidRPr="001B1E83">
              <w:t>0</w:t>
            </w:r>
          </w:p>
        </w:tc>
        <w:tc>
          <w:tcPr>
            <w:tcW w:w="1027" w:type="dxa"/>
          </w:tcPr>
          <w:p w:rsidR="002265C7" w:rsidRPr="001B1E83" w:rsidRDefault="002265C7" w:rsidP="00D27F8A">
            <w:pPr>
              <w:pStyle w:val="TableFigText"/>
              <w:jc w:val="right"/>
            </w:pPr>
            <w:r w:rsidRPr="001B1E83">
              <w:t>902</w:t>
            </w:r>
          </w:p>
        </w:tc>
      </w:tr>
      <w:tr w:rsidR="002265C7" w:rsidRPr="001B1E83" w:rsidTr="002265C7">
        <w:tc>
          <w:tcPr>
            <w:tcW w:w="2452" w:type="dxa"/>
          </w:tcPr>
          <w:p w:rsidR="002265C7" w:rsidRPr="001B1E83" w:rsidRDefault="002265C7" w:rsidP="002265C7">
            <w:pPr>
              <w:pStyle w:val="TableFigText"/>
              <w:keepLines w:val="0"/>
              <w:rPr>
                <w:rFonts w:asciiTheme="minorHAnsi" w:hAnsiTheme="minorHAnsi" w:cstheme="minorHAnsi"/>
                <w:szCs w:val="22"/>
              </w:rPr>
            </w:pPr>
            <w:r w:rsidRPr="001B1E83">
              <w:rPr>
                <w:rFonts w:asciiTheme="minorHAnsi" w:hAnsiTheme="minorHAnsi" w:cstheme="minorHAnsi"/>
                <w:szCs w:val="22"/>
              </w:rPr>
              <w:t>Residential mental health care services</w:t>
            </w:r>
          </w:p>
        </w:tc>
        <w:tc>
          <w:tcPr>
            <w:tcW w:w="1092" w:type="dxa"/>
          </w:tcPr>
          <w:p w:rsidR="002265C7" w:rsidRPr="001B1E83" w:rsidRDefault="002265C7" w:rsidP="00D27F8A">
            <w:pPr>
              <w:pStyle w:val="TableFigText"/>
              <w:jc w:val="right"/>
            </w:pPr>
            <w:r w:rsidRPr="001B1E83">
              <w:t>98</w:t>
            </w:r>
          </w:p>
        </w:tc>
        <w:tc>
          <w:tcPr>
            <w:tcW w:w="1443" w:type="dxa"/>
          </w:tcPr>
          <w:p w:rsidR="002265C7" w:rsidRPr="001B1E83" w:rsidRDefault="002265C7" w:rsidP="00D27F8A">
            <w:pPr>
              <w:pStyle w:val="TableFigText"/>
              <w:jc w:val="right"/>
            </w:pPr>
            <w:r w:rsidRPr="001B1E83">
              <w:t>76</w:t>
            </w:r>
          </w:p>
        </w:tc>
        <w:tc>
          <w:tcPr>
            <w:tcW w:w="1312" w:type="dxa"/>
          </w:tcPr>
          <w:p w:rsidR="002265C7" w:rsidRPr="001B1E83" w:rsidRDefault="002265C7" w:rsidP="00D27F8A">
            <w:pPr>
              <w:pStyle w:val="TableFigText"/>
              <w:jc w:val="right"/>
            </w:pPr>
            <w:r w:rsidRPr="001B1E83">
              <w:t>2</w:t>
            </w:r>
          </w:p>
        </w:tc>
        <w:tc>
          <w:tcPr>
            <w:tcW w:w="1103" w:type="dxa"/>
          </w:tcPr>
          <w:p w:rsidR="002265C7" w:rsidRPr="001B1E83" w:rsidRDefault="002265C7" w:rsidP="00D27F8A">
            <w:pPr>
              <w:pStyle w:val="TableFigText"/>
              <w:jc w:val="right"/>
            </w:pPr>
            <w:r w:rsidRPr="001B1E83">
              <w:t>0</w:t>
            </w:r>
          </w:p>
        </w:tc>
        <w:tc>
          <w:tcPr>
            <w:tcW w:w="1147" w:type="dxa"/>
          </w:tcPr>
          <w:p w:rsidR="002265C7" w:rsidRPr="001B1E83" w:rsidRDefault="002265C7" w:rsidP="00D27F8A">
            <w:pPr>
              <w:pStyle w:val="TableFigText"/>
              <w:jc w:val="right"/>
            </w:pPr>
            <w:r w:rsidRPr="001B1E83">
              <w:t>0</w:t>
            </w:r>
          </w:p>
        </w:tc>
        <w:tc>
          <w:tcPr>
            <w:tcW w:w="1027" w:type="dxa"/>
          </w:tcPr>
          <w:p w:rsidR="002265C7" w:rsidRPr="001B1E83" w:rsidRDefault="002265C7" w:rsidP="00D27F8A">
            <w:pPr>
              <w:pStyle w:val="TableFigText"/>
              <w:jc w:val="right"/>
            </w:pPr>
            <w:r w:rsidRPr="001B1E83">
              <w:t>176</w:t>
            </w:r>
          </w:p>
        </w:tc>
      </w:tr>
      <w:tr w:rsidR="002265C7" w:rsidRPr="001B1E83" w:rsidTr="002265C7">
        <w:tc>
          <w:tcPr>
            <w:tcW w:w="2452" w:type="dxa"/>
          </w:tcPr>
          <w:p w:rsidR="002265C7" w:rsidRPr="00D27F8A" w:rsidRDefault="002265C7" w:rsidP="002265C7">
            <w:pPr>
              <w:pStyle w:val="TableFigText"/>
              <w:keepLines w:val="0"/>
              <w:rPr>
                <w:rFonts w:asciiTheme="minorHAnsi" w:hAnsiTheme="minorHAnsi" w:cstheme="minorHAnsi"/>
                <w:b/>
                <w:szCs w:val="22"/>
              </w:rPr>
            </w:pPr>
            <w:r w:rsidRPr="00D27F8A">
              <w:rPr>
                <w:rFonts w:asciiTheme="minorHAnsi" w:hAnsiTheme="minorHAnsi" w:cstheme="minorHAnsi"/>
                <w:b/>
                <w:szCs w:val="22"/>
              </w:rPr>
              <w:t>Total</w:t>
            </w:r>
          </w:p>
        </w:tc>
        <w:tc>
          <w:tcPr>
            <w:tcW w:w="1092" w:type="dxa"/>
          </w:tcPr>
          <w:p w:rsidR="002265C7" w:rsidRPr="00D27F8A" w:rsidRDefault="002265C7" w:rsidP="00D27F8A">
            <w:pPr>
              <w:pStyle w:val="TableFigText"/>
              <w:jc w:val="right"/>
              <w:rPr>
                <w:b/>
              </w:rPr>
            </w:pPr>
            <w:r w:rsidRPr="00D27F8A">
              <w:rPr>
                <w:b/>
              </w:rPr>
              <w:t>2,187</w:t>
            </w:r>
          </w:p>
        </w:tc>
        <w:tc>
          <w:tcPr>
            <w:tcW w:w="1443" w:type="dxa"/>
          </w:tcPr>
          <w:p w:rsidR="002265C7" w:rsidRPr="00D27F8A" w:rsidRDefault="002265C7" w:rsidP="00D27F8A">
            <w:pPr>
              <w:pStyle w:val="TableFigText"/>
              <w:jc w:val="right"/>
              <w:rPr>
                <w:b/>
              </w:rPr>
            </w:pPr>
            <w:r w:rsidRPr="00D27F8A">
              <w:rPr>
                <w:b/>
              </w:rPr>
              <w:t>618</w:t>
            </w:r>
          </w:p>
        </w:tc>
        <w:tc>
          <w:tcPr>
            <w:tcW w:w="1312" w:type="dxa"/>
          </w:tcPr>
          <w:p w:rsidR="002265C7" w:rsidRPr="00D27F8A" w:rsidRDefault="002265C7" w:rsidP="00D27F8A">
            <w:pPr>
              <w:pStyle w:val="TableFigText"/>
              <w:jc w:val="right"/>
              <w:rPr>
                <w:b/>
              </w:rPr>
            </w:pPr>
            <w:r w:rsidRPr="00D27F8A">
              <w:rPr>
                <w:b/>
              </w:rPr>
              <w:t>21</w:t>
            </w:r>
          </w:p>
        </w:tc>
        <w:tc>
          <w:tcPr>
            <w:tcW w:w="1103" w:type="dxa"/>
          </w:tcPr>
          <w:p w:rsidR="002265C7" w:rsidRPr="00D27F8A" w:rsidRDefault="002265C7" w:rsidP="00D27F8A">
            <w:pPr>
              <w:pStyle w:val="TableFigText"/>
              <w:jc w:val="right"/>
              <w:rPr>
                <w:b/>
              </w:rPr>
            </w:pPr>
            <w:r w:rsidRPr="00D27F8A">
              <w:rPr>
                <w:b/>
              </w:rPr>
              <w:t>0</w:t>
            </w:r>
          </w:p>
        </w:tc>
        <w:tc>
          <w:tcPr>
            <w:tcW w:w="1147" w:type="dxa"/>
          </w:tcPr>
          <w:p w:rsidR="002265C7" w:rsidRPr="00D27F8A" w:rsidRDefault="002265C7" w:rsidP="00D27F8A">
            <w:pPr>
              <w:pStyle w:val="TableFigText"/>
              <w:jc w:val="right"/>
              <w:rPr>
                <w:b/>
              </w:rPr>
            </w:pPr>
            <w:r w:rsidRPr="00D27F8A">
              <w:rPr>
                <w:b/>
              </w:rPr>
              <w:t>0</w:t>
            </w:r>
          </w:p>
        </w:tc>
        <w:tc>
          <w:tcPr>
            <w:tcW w:w="1027" w:type="dxa"/>
          </w:tcPr>
          <w:p w:rsidR="002265C7" w:rsidRPr="00D27F8A" w:rsidRDefault="002265C7" w:rsidP="00D27F8A">
            <w:pPr>
              <w:pStyle w:val="TableFigText"/>
              <w:jc w:val="right"/>
              <w:rPr>
                <w:b/>
              </w:rPr>
            </w:pPr>
            <w:r w:rsidRPr="00D27F8A">
              <w:rPr>
                <w:b/>
              </w:rPr>
              <w:t>2,825</w:t>
            </w:r>
          </w:p>
        </w:tc>
      </w:tr>
    </w:tbl>
    <w:p w:rsidR="002265C7" w:rsidRPr="00B27FBD" w:rsidRDefault="002265C7" w:rsidP="002265C7">
      <w:pPr>
        <w:spacing w:before="0" w:after="0" w:line="240" w:lineRule="auto"/>
        <w:rPr>
          <w:rStyle w:val="table-note"/>
          <w:lang w:eastAsia="en-US"/>
        </w:rPr>
      </w:pPr>
      <w:r w:rsidRPr="00B27FBD">
        <w:rPr>
          <w:rStyle w:val="table-note"/>
          <w:rFonts w:ascii="Arial" w:hAnsi="Arial"/>
          <w:sz w:val="14"/>
          <w:szCs w:val="20"/>
          <w:lang w:eastAsia="en-US"/>
        </w:rPr>
        <w:t>Notes:</w:t>
      </w:r>
      <w:r w:rsidRPr="00B27FBD">
        <w:rPr>
          <w:rStyle w:val="table-note"/>
          <w:lang w:eastAsia="en-US"/>
        </w:rPr>
        <w:t xml:space="preserve"> </w:t>
      </w:r>
      <w:r w:rsidRPr="00B27FBD">
        <w:rPr>
          <w:rStyle w:val="table-note"/>
          <w:lang w:eastAsia="en-US"/>
        </w:rPr>
        <w:tab/>
      </w:r>
    </w:p>
    <w:p w:rsidR="002265C7" w:rsidRPr="00B27FBD" w:rsidRDefault="002265C7" w:rsidP="00540186">
      <w:pPr>
        <w:pStyle w:val="ListParagraph"/>
        <w:numPr>
          <w:ilvl w:val="0"/>
          <w:numId w:val="57"/>
        </w:numPr>
        <w:spacing w:after="0" w:line="240" w:lineRule="auto"/>
        <w:rPr>
          <w:rStyle w:val="table-note"/>
          <w:rFonts w:ascii="Arial" w:eastAsia="Times New Roman" w:hAnsi="Arial" w:cs="Times New Roman"/>
          <w:sz w:val="14"/>
          <w:szCs w:val="20"/>
          <w:lang w:eastAsia="en-US"/>
        </w:rPr>
      </w:pPr>
      <w:r w:rsidRPr="00B27FBD">
        <w:rPr>
          <w:rStyle w:val="table-note"/>
          <w:rFonts w:ascii="Arial" w:eastAsia="Times New Roman" w:hAnsi="Arial" w:cs="Times New Roman"/>
          <w:sz w:val="14"/>
          <w:szCs w:val="20"/>
          <w:lang w:eastAsia="en-US"/>
        </w:rPr>
        <w:t>Housing and Accommodation Support Initiative (HASI) services provided in New South Wales are considered out-of-scope as residential services according to the Mental Health Establishments NMDS.</w:t>
      </w:r>
    </w:p>
    <w:p w:rsidR="002265C7" w:rsidRPr="00CB7CCD" w:rsidRDefault="00CB7CCD" w:rsidP="002265C7">
      <w:pPr>
        <w:pStyle w:val="TableCaption"/>
        <w:rPr>
          <w:rStyle w:val="table-note"/>
        </w:rPr>
      </w:pPr>
      <w:r w:rsidRPr="00CB7CCD">
        <w:rPr>
          <w:rStyle w:val="table-note"/>
        </w:rPr>
        <w:t xml:space="preserve">Table 8: </w:t>
      </w:r>
      <w:r w:rsidR="002265C7" w:rsidRPr="00CB7CCD">
        <w:rPr>
          <w:rStyle w:val="table-note"/>
        </w:rPr>
        <w:t xml:space="preserve">NSW: Full-time-equivalent staff, state and territory specialised mental health care facilities, by staffing category, 2007–08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NSW: Full-time-equivalent staff, state and territory specialised mental health care facilities, by staffing category, 2007–08 "/>
        <w:tblDescription w:val="Table showing, in 2007-08, the number of full-time-equivalent (FTE) staff in specialised mental health care facilities across NSW region types.  Major cities have the highest number of all types of FTE staff at 6,664.4 and very remote have the least at 15.1. Nurses were the highest FTE staff type overall, across all region types, at 4,299.6."/>
      </w:tblPr>
      <w:tblGrid>
        <w:gridCol w:w="2399"/>
        <w:gridCol w:w="1157"/>
        <w:gridCol w:w="1355"/>
        <w:gridCol w:w="1224"/>
        <w:gridCol w:w="1023"/>
        <w:gridCol w:w="1070"/>
        <w:gridCol w:w="1058"/>
      </w:tblGrid>
      <w:tr w:rsidR="002265C7" w:rsidRPr="001B1E83" w:rsidTr="000C3DEA">
        <w:trPr>
          <w:tblHeader/>
        </w:trPr>
        <w:tc>
          <w:tcPr>
            <w:tcW w:w="2399" w:type="dxa"/>
          </w:tcPr>
          <w:p w:rsidR="002265C7" w:rsidRPr="001B1E83" w:rsidRDefault="002265C7" w:rsidP="002265C7">
            <w:pPr>
              <w:pStyle w:val="TableFigText"/>
              <w:keepNext/>
              <w:rPr>
                <w:rFonts w:asciiTheme="minorHAnsi" w:hAnsiTheme="minorHAnsi" w:cstheme="minorHAnsi"/>
                <w:szCs w:val="22"/>
              </w:rPr>
            </w:pPr>
          </w:p>
        </w:tc>
        <w:tc>
          <w:tcPr>
            <w:tcW w:w="1157" w:type="dxa"/>
          </w:tcPr>
          <w:p w:rsidR="002265C7" w:rsidRPr="001B1E83" w:rsidRDefault="002265C7" w:rsidP="002265C7">
            <w:pPr>
              <w:pStyle w:val="TableFigText"/>
              <w:keepNext/>
              <w:jc w:val="right"/>
              <w:rPr>
                <w:rFonts w:asciiTheme="minorHAnsi" w:hAnsiTheme="minorHAnsi" w:cstheme="minorHAnsi"/>
                <w:b/>
                <w:szCs w:val="22"/>
              </w:rPr>
            </w:pPr>
            <w:r w:rsidRPr="001B1E83">
              <w:rPr>
                <w:rFonts w:asciiTheme="minorHAnsi" w:hAnsiTheme="minorHAnsi" w:cstheme="minorHAnsi"/>
                <w:b/>
                <w:szCs w:val="22"/>
              </w:rPr>
              <w:t>Major cities</w:t>
            </w:r>
          </w:p>
        </w:tc>
        <w:tc>
          <w:tcPr>
            <w:tcW w:w="1355" w:type="dxa"/>
          </w:tcPr>
          <w:p w:rsidR="002265C7" w:rsidRPr="001B1E83" w:rsidRDefault="002265C7" w:rsidP="002265C7">
            <w:pPr>
              <w:pStyle w:val="TableFigText"/>
              <w:keepNext/>
              <w:jc w:val="right"/>
              <w:rPr>
                <w:rFonts w:asciiTheme="minorHAnsi" w:hAnsiTheme="minorHAnsi" w:cstheme="minorHAnsi"/>
                <w:b/>
                <w:szCs w:val="22"/>
              </w:rPr>
            </w:pPr>
            <w:r w:rsidRPr="001B1E83">
              <w:rPr>
                <w:rFonts w:asciiTheme="minorHAnsi" w:hAnsiTheme="minorHAnsi" w:cstheme="minorHAnsi"/>
                <w:b/>
                <w:szCs w:val="22"/>
              </w:rPr>
              <w:t>Inner regional</w:t>
            </w:r>
          </w:p>
        </w:tc>
        <w:tc>
          <w:tcPr>
            <w:tcW w:w="1224" w:type="dxa"/>
          </w:tcPr>
          <w:p w:rsidR="002265C7" w:rsidRPr="001B1E83" w:rsidRDefault="002265C7" w:rsidP="002265C7">
            <w:pPr>
              <w:pStyle w:val="TableFigText"/>
              <w:keepNext/>
              <w:jc w:val="right"/>
              <w:rPr>
                <w:rFonts w:asciiTheme="minorHAnsi" w:hAnsiTheme="minorHAnsi" w:cstheme="minorHAnsi"/>
                <w:b/>
                <w:szCs w:val="22"/>
              </w:rPr>
            </w:pPr>
            <w:r w:rsidRPr="001B1E83">
              <w:rPr>
                <w:rFonts w:asciiTheme="minorHAnsi" w:hAnsiTheme="minorHAnsi" w:cstheme="minorHAnsi"/>
                <w:b/>
                <w:szCs w:val="22"/>
              </w:rPr>
              <w:t>Outer regional</w:t>
            </w:r>
          </w:p>
        </w:tc>
        <w:tc>
          <w:tcPr>
            <w:tcW w:w="1023" w:type="dxa"/>
          </w:tcPr>
          <w:p w:rsidR="002265C7" w:rsidRPr="001B1E83" w:rsidRDefault="002265C7" w:rsidP="002265C7">
            <w:pPr>
              <w:pStyle w:val="TableFigText"/>
              <w:keepNext/>
              <w:jc w:val="right"/>
              <w:rPr>
                <w:rFonts w:asciiTheme="minorHAnsi" w:hAnsiTheme="minorHAnsi" w:cstheme="minorHAnsi"/>
                <w:b/>
                <w:szCs w:val="22"/>
              </w:rPr>
            </w:pPr>
            <w:r w:rsidRPr="001B1E83">
              <w:rPr>
                <w:rFonts w:asciiTheme="minorHAnsi" w:hAnsiTheme="minorHAnsi" w:cstheme="minorHAnsi"/>
                <w:b/>
                <w:szCs w:val="22"/>
              </w:rPr>
              <w:t>Remote</w:t>
            </w:r>
          </w:p>
        </w:tc>
        <w:tc>
          <w:tcPr>
            <w:tcW w:w="1070" w:type="dxa"/>
          </w:tcPr>
          <w:p w:rsidR="002265C7" w:rsidRPr="001B1E83" w:rsidRDefault="002265C7" w:rsidP="002265C7">
            <w:pPr>
              <w:pStyle w:val="TableFigText"/>
              <w:keepNext/>
              <w:jc w:val="right"/>
              <w:rPr>
                <w:rFonts w:asciiTheme="minorHAnsi" w:hAnsiTheme="minorHAnsi" w:cstheme="minorHAnsi"/>
                <w:b/>
                <w:szCs w:val="22"/>
              </w:rPr>
            </w:pPr>
            <w:r w:rsidRPr="001B1E83">
              <w:rPr>
                <w:rFonts w:asciiTheme="minorHAnsi" w:hAnsiTheme="minorHAnsi" w:cstheme="minorHAnsi"/>
                <w:b/>
                <w:szCs w:val="22"/>
              </w:rPr>
              <w:t>Very remote</w:t>
            </w:r>
          </w:p>
        </w:tc>
        <w:tc>
          <w:tcPr>
            <w:tcW w:w="1058" w:type="dxa"/>
          </w:tcPr>
          <w:p w:rsidR="002265C7" w:rsidRPr="001B1E83" w:rsidRDefault="002265C7" w:rsidP="002265C7">
            <w:pPr>
              <w:pStyle w:val="TableFigText"/>
              <w:keepNext/>
              <w:jc w:val="right"/>
              <w:rPr>
                <w:rFonts w:asciiTheme="minorHAnsi" w:hAnsiTheme="minorHAnsi" w:cstheme="minorHAnsi"/>
                <w:b/>
                <w:szCs w:val="22"/>
              </w:rPr>
            </w:pPr>
            <w:r w:rsidRPr="001B1E83">
              <w:rPr>
                <w:rFonts w:asciiTheme="minorHAnsi" w:hAnsiTheme="minorHAnsi" w:cstheme="minorHAnsi"/>
                <w:b/>
                <w:szCs w:val="22"/>
              </w:rPr>
              <w:t>Total</w:t>
            </w:r>
            <w:r w:rsidRPr="001B1E83">
              <w:rPr>
                <w:rFonts w:asciiTheme="minorHAnsi" w:hAnsiTheme="minorHAnsi" w:cstheme="minorHAnsi"/>
                <w:b/>
                <w:szCs w:val="22"/>
                <w:vertAlign w:val="superscript"/>
              </w:rPr>
              <w:t>(a)</w:t>
            </w:r>
          </w:p>
        </w:tc>
      </w:tr>
      <w:tr w:rsidR="002265C7" w:rsidRPr="001B1E83" w:rsidTr="002265C7">
        <w:tc>
          <w:tcPr>
            <w:tcW w:w="2399" w:type="dxa"/>
          </w:tcPr>
          <w:p w:rsidR="002265C7" w:rsidRPr="001B1E83" w:rsidRDefault="002265C7" w:rsidP="002265C7">
            <w:pPr>
              <w:pStyle w:val="TableFigText"/>
              <w:keepNext/>
              <w:rPr>
                <w:rFonts w:asciiTheme="minorHAnsi" w:hAnsiTheme="minorHAnsi" w:cstheme="minorHAnsi"/>
                <w:szCs w:val="22"/>
              </w:rPr>
            </w:pPr>
            <w:r w:rsidRPr="001B1E83">
              <w:rPr>
                <w:rFonts w:asciiTheme="minorHAnsi" w:hAnsiTheme="minorHAnsi" w:cstheme="minorHAnsi"/>
                <w:szCs w:val="22"/>
              </w:rPr>
              <w:t>Consultant psychiatrists and psychiatrists</w:t>
            </w:r>
          </w:p>
        </w:tc>
        <w:tc>
          <w:tcPr>
            <w:tcW w:w="1157" w:type="dxa"/>
            <w:vAlign w:val="bottom"/>
          </w:tcPr>
          <w:p w:rsidR="002265C7" w:rsidRPr="001B1E83" w:rsidRDefault="002265C7" w:rsidP="00D27F8A">
            <w:pPr>
              <w:pStyle w:val="TableFigText"/>
              <w:jc w:val="right"/>
            </w:pPr>
            <w:r w:rsidRPr="001B1E83">
              <w:t>310.6</w:t>
            </w:r>
          </w:p>
        </w:tc>
        <w:tc>
          <w:tcPr>
            <w:tcW w:w="1355" w:type="dxa"/>
            <w:vAlign w:val="bottom"/>
          </w:tcPr>
          <w:p w:rsidR="002265C7" w:rsidRPr="001B1E83" w:rsidRDefault="002265C7" w:rsidP="00D27F8A">
            <w:pPr>
              <w:pStyle w:val="TableFigText"/>
              <w:jc w:val="right"/>
            </w:pPr>
            <w:r w:rsidRPr="001B1E83">
              <w:t>60.4</w:t>
            </w:r>
          </w:p>
        </w:tc>
        <w:tc>
          <w:tcPr>
            <w:tcW w:w="1224" w:type="dxa"/>
            <w:vAlign w:val="bottom"/>
          </w:tcPr>
          <w:p w:rsidR="002265C7" w:rsidRPr="001B1E83" w:rsidRDefault="002265C7" w:rsidP="00D27F8A">
            <w:pPr>
              <w:pStyle w:val="TableFigText"/>
              <w:jc w:val="right"/>
            </w:pPr>
            <w:r w:rsidRPr="001B1E83">
              <w:t>11.6</w:t>
            </w:r>
          </w:p>
        </w:tc>
        <w:tc>
          <w:tcPr>
            <w:tcW w:w="1023" w:type="dxa"/>
            <w:vAlign w:val="bottom"/>
          </w:tcPr>
          <w:p w:rsidR="002265C7" w:rsidRPr="001B1E83" w:rsidRDefault="002265C7" w:rsidP="00D27F8A">
            <w:pPr>
              <w:pStyle w:val="TableFigText"/>
              <w:jc w:val="right"/>
            </w:pPr>
            <w:r w:rsidRPr="001B1E83">
              <w:t>1.1</w:t>
            </w:r>
          </w:p>
        </w:tc>
        <w:tc>
          <w:tcPr>
            <w:tcW w:w="1070" w:type="dxa"/>
            <w:vAlign w:val="bottom"/>
          </w:tcPr>
          <w:p w:rsidR="002265C7" w:rsidRPr="001B1E83" w:rsidRDefault="002265C7" w:rsidP="00D27F8A">
            <w:pPr>
              <w:pStyle w:val="TableFigText"/>
              <w:jc w:val="right"/>
            </w:pPr>
            <w:r w:rsidRPr="001B1E83">
              <w:t>0.3</w:t>
            </w:r>
          </w:p>
        </w:tc>
        <w:tc>
          <w:tcPr>
            <w:tcW w:w="1058" w:type="dxa"/>
            <w:vAlign w:val="bottom"/>
          </w:tcPr>
          <w:p w:rsidR="002265C7" w:rsidRPr="001B1E83" w:rsidRDefault="002265C7" w:rsidP="00D27F8A">
            <w:pPr>
              <w:pStyle w:val="TableFigText"/>
              <w:jc w:val="right"/>
            </w:pPr>
            <w:r w:rsidRPr="001B1E83">
              <w:t>384.0</w:t>
            </w:r>
          </w:p>
        </w:tc>
      </w:tr>
      <w:tr w:rsidR="002265C7" w:rsidRPr="001B1E83" w:rsidTr="002265C7">
        <w:tc>
          <w:tcPr>
            <w:tcW w:w="2399" w:type="dxa"/>
          </w:tcPr>
          <w:p w:rsidR="002265C7" w:rsidRPr="001B1E83" w:rsidRDefault="002265C7" w:rsidP="002265C7">
            <w:pPr>
              <w:pStyle w:val="TableFigText"/>
              <w:keepNext/>
              <w:rPr>
                <w:rFonts w:asciiTheme="minorHAnsi" w:hAnsiTheme="minorHAnsi" w:cstheme="minorHAnsi"/>
                <w:szCs w:val="22"/>
              </w:rPr>
            </w:pPr>
            <w:r w:rsidRPr="001B1E83">
              <w:rPr>
                <w:rFonts w:asciiTheme="minorHAnsi" w:hAnsiTheme="minorHAnsi" w:cstheme="minorHAnsi"/>
                <w:szCs w:val="22"/>
              </w:rPr>
              <w:t>Psychiatry registrars and trainees</w:t>
            </w:r>
          </w:p>
        </w:tc>
        <w:tc>
          <w:tcPr>
            <w:tcW w:w="1157" w:type="dxa"/>
            <w:vAlign w:val="bottom"/>
          </w:tcPr>
          <w:p w:rsidR="002265C7" w:rsidRPr="001B1E83" w:rsidRDefault="002265C7" w:rsidP="00D27F8A">
            <w:pPr>
              <w:pStyle w:val="TableFigText"/>
              <w:jc w:val="right"/>
            </w:pPr>
            <w:r w:rsidRPr="001B1E83">
              <w:t>329.3</w:t>
            </w:r>
          </w:p>
        </w:tc>
        <w:tc>
          <w:tcPr>
            <w:tcW w:w="1355" w:type="dxa"/>
            <w:vAlign w:val="bottom"/>
          </w:tcPr>
          <w:p w:rsidR="002265C7" w:rsidRPr="001B1E83" w:rsidRDefault="002265C7" w:rsidP="00D27F8A">
            <w:pPr>
              <w:pStyle w:val="TableFigText"/>
              <w:jc w:val="right"/>
            </w:pPr>
            <w:r w:rsidRPr="001B1E83">
              <w:t>38.2</w:t>
            </w:r>
          </w:p>
        </w:tc>
        <w:tc>
          <w:tcPr>
            <w:tcW w:w="1224" w:type="dxa"/>
            <w:vAlign w:val="bottom"/>
          </w:tcPr>
          <w:p w:rsidR="002265C7" w:rsidRPr="001B1E83" w:rsidRDefault="002265C7" w:rsidP="00D27F8A">
            <w:pPr>
              <w:pStyle w:val="TableFigText"/>
              <w:jc w:val="right"/>
            </w:pPr>
            <w:r w:rsidRPr="001B1E83">
              <w:t>4.3</w:t>
            </w:r>
          </w:p>
        </w:tc>
        <w:tc>
          <w:tcPr>
            <w:tcW w:w="1023" w:type="dxa"/>
            <w:vAlign w:val="bottom"/>
          </w:tcPr>
          <w:p w:rsidR="002265C7" w:rsidRPr="001B1E83" w:rsidRDefault="002265C7" w:rsidP="00D27F8A">
            <w:pPr>
              <w:pStyle w:val="TableFigText"/>
              <w:jc w:val="right"/>
            </w:pPr>
            <w:r w:rsidRPr="001B1E83">
              <w:t>0.2</w:t>
            </w:r>
          </w:p>
        </w:tc>
        <w:tc>
          <w:tcPr>
            <w:tcW w:w="1070" w:type="dxa"/>
            <w:vAlign w:val="bottom"/>
          </w:tcPr>
          <w:p w:rsidR="002265C7" w:rsidRPr="001B1E83" w:rsidRDefault="002265C7" w:rsidP="00D27F8A">
            <w:pPr>
              <w:pStyle w:val="TableFigText"/>
              <w:jc w:val="right"/>
            </w:pPr>
            <w:r w:rsidRPr="001B1E83">
              <w:t>0.0</w:t>
            </w:r>
          </w:p>
        </w:tc>
        <w:tc>
          <w:tcPr>
            <w:tcW w:w="1058" w:type="dxa"/>
            <w:vAlign w:val="bottom"/>
          </w:tcPr>
          <w:p w:rsidR="002265C7" w:rsidRPr="001B1E83" w:rsidRDefault="002265C7" w:rsidP="00D27F8A">
            <w:pPr>
              <w:pStyle w:val="TableFigText"/>
              <w:jc w:val="right"/>
            </w:pPr>
            <w:r w:rsidRPr="001B1E83">
              <w:t>372.0</w:t>
            </w:r>
          </w:p>
        </w:tc>
      </w:tr>
      <w:tr w:rsidR="002265C7" w:rsidRPr="001B1E83" w:rsidTr="002265C7">
        <w:tc>
          <w:tcPr>
            <w:tcW w:w="2399" w:type="dxa"/>
          </w:tcPr>
          <w:p w:rsidR="002265C7" w:rsidRPr="001B1E83" w:rsidRDefault="002265C7" w:rsidP="002265C7">
            <w:pPr>
              <w:pStyle w:val="TableFigText"/>
              <w:keepNext/>
              <w:rPr>
                <w:rFonts w:asciiTheme="minorHAnsi" w:hAnsiTheme="minorHAnsi" w:cstheme="minorHAnsi"/>
                <w:szCs w:val="22"/>
              </w:rPr>
            </w:pPr>
            <w:r w:rsidRPr="001B1E83">
              <w:rPr>
                <w:rFonts w:asciiTheme="minorHAnsi" w:hAnsiTheme="minorHAnsi" w:cstheme="minorHAnsi"/>
                <w:szCs w:val="22"/>
              </w:rPr>
              <w:t>Other medical officers</w:t>
            </w:r>
          </w:p>
        </w:tc>
        <w:tc>
          <w:tcPr>
            <w:tcW w:w="1157" w:type="dxa"/>
            <w:vAlign w:val="bottom"/>
          </w:tcPr>
          <w:p w:rsidR="002265C7" w:rsidRPr="001B1E83" w:rsidRDefault="002265C7" w:rsidP="00D27F8A">
            <w:pPr>
              <w:pStyle w:val="TableFigText"/>
              <w:jc w:val="right"/>
            </w:pPr>
            <w:r w:rsidRPr="001B1E83">
              <w:t>73.8</w:t>
            </w:r>
          </w:p>
        </w:tc>
        <w:tc>
          <w:tcPr>
            <w:tcW w:w="1355" w:type="dxa"/>
            <w:vAlign w:val="bottom"/>
          </w:tcPr>
          <w:p w:rsidR="002265C7" w:rsidRPr="001B1E83" w:rsidRDefault="002265C7" w:rsidP="00D27F8A">
            <w:pPr>
              <w:pStyle w:val="TableFigText"/>
              <w:jc w:val="right"/>
            </w:pPr>
            <w:r w:rsidRPr="001B1E83">
              <w:t>5.7</w:t>
            </w:r>
          </w:p>
        </w:tc>
        <w:tc>
          <w:tcPr>
            <w:tcW w:w="1224" w:type="dxa"/>
            <w:vAlign w:val="bottom"/>
          </w:tcPr>
          <w:p w:rsidR="002265C7" w:rsidRPr="001B1E83" w:rsidRDefault="002265C7" w:rsidP="00D27F8A">
            <w:pPr>
              <w:pStyle w:val="TableFigText"/>
              <w:jc w:val="right"/>
            </w:pPr>
            <w:r w:rsidRPr="001B1E83">
              <w:t>0.1</w:t>
            </w:r>
          </w:p>
        </w:tc>
        <w:tc>
          <w:tcPr>
            <w:tcW w:w="1023" w:type="dxa"/>
            <w:vAlign w:val="bottom"/>
          </w:tcPr>
          <w:p w:rsidR="002265C7" w:rsidRPr="001B1E83" w:rsidRDefault="002265C7" w:rsidP="00D27F8A">
            <w:pPr>
              <w:pStyle w:val="TableFigText"/>
              <w:jc w:val="right"/>
            </w:pPr>
            <w:r w:rsidRPr="001B1E83">
              <w:t>0.0</w:t>
            </w:r>
          </w:p>
        </w:tc>
        <w:tc>
          <w:tcPr>
            <w:tcW w:w="1070" w:type="dxa"/>
            <w:vAlign w:val="bottom"/>
          </w:tcPr>
          <w:p w:rsidR="002265C7" w:rsidRPr="001B1E83" w:rsidRDefault="002265C7" w:rsidP="00D27F8A">
            <w:pPr>
              <w:pStyle w:val="TableFigText"/>
              <w:jc w:val="right"/>
            </w:pPr>
            <w:r w:rsidRPr="001B1E83">
              <w:t>0.0</w:t>
            </w:r>
          </w:p>
        </w:tc>
        <w:tc>
          <w:tcPr>
            <w:tcW w:w="1058" w:type="dxa"/>
            <w:vAlign w:val="bottom"/>
          </w:tcPr>
          <w:p w:rsidR="002265C7" w:rsidRPr="001B1E83" w:rsidRDefault="002265C7" w:rsidP="00D27F8A">
            <w:pPr>
              <w:pStyle w:val="TableFigText"/>
              <w:jc w:val="right"/>
            </w:pPr>
            <w:r w:rsidRPr="001B1E83">
              <w:t>79.5</w:t>
            </w:r>
          </w:p>
        </w:tc>
      </w:tr>
      <w:tr w:rsidR="002265C7" w:rsidRPr="001B1E83" w:rsidTr="002265C7">
        <w:tc>
          <w:tcPr>
            <w:tcW w:w="2399" w:type="dxa"/>
          </w:tcPr>
          <w:p w:rsidR="002265C7" w:rsidRPr="001B1E83" w:rsidRDefault="002265C7" w:rsidP="002265C7">
            <w:pPr>
              <w:pStyle w:val="TableFigText"/>
              <w:keepNext/>
              <w:rPr>
                <w:rFonts w:asciiTheme="minorHAnsi" w:hAnsiTheme="minorHAnsi" w:cstheme="minorHAnsi"/>
                <w:szCs w:val="22"/>
              </w:rPr>
            </w:pPr>
            <w:r w:rsidRPr="001B1E83">
              <w:rPr>
                <w:rFonts w:asciiTheme="minorHAnsi" w:hAnsiTheme="minorHAnsi" w:cstheme="minorHAnsi"/>
                <w:szCs w:val="22"/>
              </w:rPr>
              <w:t>Psychologists</w:t>
            </w:r>
          </w:p>
        </w:tc>
        <w:tc>
          <w:tcPr>
            <w:tcW w:w="1157" w:type="dxa"/>
            <w:vAlign w:val="bottom"/>
          </w:tcPr>
          <w:p w:rsidR="002265C7" w:rsidRPr="001B1E83" w:rsidRDefault="002265C7" w:rsidP="00D27F8A">
            <w:pPr>
              <w:pStyle w:val="TableFigText"/>
              <w:jc w:val="right"/>
            </w:pPr>
            <w:r w:rsidRPr="001B1E83">
              <w:t>429.5</w:t>
            </w:r>
          </w:p>
        </w:tc>
        <w:tc>
          <w:tcPr>
            <w:tcW w:w="1355" w:type="dxa"/>
            <w:vAlign w:val="bottom"/>
          </w:tcPr>
          <w:p w:rsidR="002265C7" w:rsidRPr="001B1E83" w:rsidRDefault="002265C7" w:rsidP="00D27F8A">
            <w:pPr>
              <w:pStyle w:val="TableFigText"/>
              <w:jc w:val="right"/>
            </w:pPr>
            <w:r w:rsidRPr="001B1E83">
              <w:t>120.0</w:t>
            </w:r>
          </w:p>
        </w:tc>
        <w:tc>
          <w:tcPr>
            <w:tcW w:w="1224" w:type="dxa"/>
            <w:vAlign w:val="bottom"/>
          </w:tcPr>
          <w:p w:rsidR="002265C7" w:rsidRPr="001B1E83" w:rsidRDefault="002265C7" w:rsidP="00D27F8A">
            <w:pPr>
              <w:pStyle w:val="TableFigText"/>
              <w:jc w:val="right"/>
            </w:pPr>
            <w:r w:rsidRPr="001B1E83">
              <w:t>41.1</w:t>
            </w:r>
          </w:p>
        </w:tc>
        <w:tc>
          <w:tcPr>
            <w:tcW w:w="1023" w:type="dxa"/>
            <w:vAlign w:val="bottom"/>
          </w:tcPr>
          <w:p w:rsidR="002265C7" w:rsidRPr="001B1E83" w:rsidRDefault="002265C7" w:rsidP="00D27F8A">
            <w:pPr>
              <w:pStyle w:val="TableFigText"/>
              <w:jc w:val="right"/>
            </w:pPr>
            <w:r w:rsidRPr="001B1E83">
              <w:t>5.5</w:t>
            </w:r>
          </w:p>
        </w:tc>
        <w:tc>
          <w:tcPr>
            <w:tcW w:w="1070" w:type="dxa"/>
            <w:vAlign w:val="bottom"/>
          </w:tcPr>
          <w:p w:rsidR="002265C7" w:rsidRPr="001B1E83" w:rsidRDefault="002265C7" w:rsidP="00D27F8A">
            <w:pPr>
              <w:pStyle w:val="TableFigText"/>
              <w:jc w:val="right"/>
            </w:pPr>
            <w:r w:rsidRPr="001B1E83">
              <w:t>4.5</w:t>
            </w:r>
          </w:p>
        </w:tc>
        <w:tc>
          <w:tcPr>
            <w:tcW w:w="1058" w:type="dxa"/>
            <w:vAlign w:val="bottom"/>
          </w:tcPr>
          <w:p w:rsidR="002265C7" w:rsidRPr="001B1E83" w:rsidRDefault="002265C7" w:rsidP="00D27F8A">
            <w:pPr>
              <w:pStyle w:val="TableFigText"/>
              <w:jc w:val="right"/>
            </w:pPr>
            <w:r w:rsidRPr="001B1E83">
              <w:t>600.6</w:t>
            </w:r>
          </w:p>
        </w:tc>
      </w:tr>
      <w:tr w:rsidR="002265C7" w:rsidRPr="001B1E83" w:rsidTr="002265C7">
        <w:tc>
          <w:tcPr>
            <w:tcW w:w="2399" w:type="dxa"/>
          </w:tcPr>
          <w:p w:rsidR="002265C7" w:rsidRPr="001B1E83" w:rsidRDefault="002265C7" w:rsidP="002265C7">
            <w:pPr>
              <w:pStyle w:val="TableFigText"/>
              <w:keepNext/>
              <w:rPr>
                <w:rFonts w:asciiTheme="minorHAnsi" w:hAnsiTheme="minorHAnsi" w:cstheme="minorHAnsi"/>
                <w:szCs w:val="22"/>
              </w:rPr>
            </w:pPr>
            <w:r w:rsidRPr="001B1E83">
              <w:rPr>
                <w:rFonts w:asciiTheme="minorHAnsi" w:hAnsiTheme="minorHAnsi" w:cstheme="minorHAnsi"/>
                <w:szCs w:val="22"/>
              </w:rPr>
              <w:t>Diagnostic and health professionals</w:t>
            </w:r>
            <w:r w:rsidRPr="001B1E83">
              <w:rPr>
                <w:rFonts w:asciiTheme="minorHAnsi" w:hAnsiTheme="minorHAnsi" w:cstheme="minorHAnsi"/>
                <w:szCs w:val="22"/>
                <w:vertAlign w:val="superscript"/>
              </w:rPr>
              <w:t>(b)</w:t>
            </w:r>
          </w:p>
        </w:tc>
        <w:tc>
          <w:tcPr>
            <w:tcW w:w="1157" w:type="dxa"/>
            <w:vAlign w:val="bottom"/>
          </w:tcPr>
          <w:p w:rsidR="002265C7" w:rsidRPr="001B1E83" w:rsidRDefault="002265C7" w:rsidP="00D27F8A">
            <w:pPr>
              <w:pStyle w:val="TableFigText"/>
              <w:jc w:val="right"/>
            </w:pPr>
            <w:r w:rsidRPr="001B1E83">
              <w:t>776.0</w:t>
            </w:r>
          </w:p>
        </w:tc>
        <w:tc>
          <w:tcPr>
            <w:tcW w:w="1355" w:type="dxa"/>
            <w:vAlign w:val="bottom"/>
          </w:tcPr>
          <w:p w:rsidR="002265C7" w:rsidRPr="001B1E83" w:rsidRDefault="002265C7" w:rsidP="00D27F8A">
            <w:pPr>
              <w:pStyle w:val="TableFigText"/>
              <w:jc w:val="right"/>
            </w:pPr>
            <w:r w:rsidRPr="001B1E83">
              <w:t>132.7</w:t>
            </w:r>
          </w:p>
        </w:tc>
        <w:tc>
          <w:tcPr>
            <w:tcW w:w="1224" w:type="dxa"/>
            <w:vAlign w:val="bottom"/>
          </w:tcPr>
          <w:p w:rsidR="002265C7" w:rsidRPr="001B1E83" w:rsidRDefault="002265C7" w:rsidP="00D27F8A">
            <w:pPr>
              <w:pStyle w:val="TableFigText"/>
              <w:jc w:val="right"/>
            </w:pPr>
            <w:r w:rsidRPr="001B1E83">
              <w:t>27.5</w:t>
            </w:r>
          </w:p>
        </w:tc>
        <w:tc>
          <w:tcPr>
            <w:tcW w:w="1023" w:type="dxa"/>
            <w:vAlign w:val="bottom"/>
          </w:tcPr>
          <w:p w:rsidR="002265C7" w:rsidRPr="001B1E83" w:rsidRDefault="002265C7" w:rsidP="00D27F8A">
            <w:pPr>
              <w:pStyle w:val="TableFigText"/>
              <w:jc w:val="right"/>
            </w:pPr>
            <w:r w:rsidRPr="001B1E83">
              <w:t>0.5</w:t>
            </w:r>
          </w:p>
        </w:tc>
        <w:tc>
          <w:tcPr>
            <w:tcW w:w="1070" w:type="dxa"/>
            <w:vAlign w:val="bottom"/>
          </w:tcPr>
          <w:p w:rsidR="002265C7" w:rsidRPr="001B1E83" w:rsidRDefault="002265C7" w:rsidP="00D27F8A">
            <w:pPr>
              <w:pStyle w:val="TableFigText"/>
              <w:jc w:val="right"/>
            </w:pPr>
            <w:r w:rsidRPr="001B1E83">
              <w:t>0.0</w:t>
            </w:r>
          </w:p>
        </w:tc>
        <w:tc>
          <w:tcPr>
            <w:tcW w:w="1058" w:type="dxa"/>
            <w:vAlign w:val="bottom"/>
          </w:tcPr>
          <w:p w:rsidR="002265C7" w:rsidRPr="001B1E83" w:rsidRDefault="002265C7" w:rsidP="00D27F8A">
            <w:pPr>
              <w:pStyle w:val="TableFigText"/>
              <w:jc w:val="right"/>
            </w:pPr>
            <w:r w:rsidRPr="001B1E83">
              <w:t>936.7</w:t>
            </w:r>
          </w:p>
        </w:tc>
      </w:tr>
      <w:tr w:rsidR="002265C7" w:rsidRPr="001B1E83" w:rsidTr="002265C7">
        <w:tc>
          <w:tcPr>
            <w:tcW w:w="2399" w:type="dxa"/>
          </w:tcPr>
          <w:p w:rsidR="002265C7" w:rsidRPr="001B1E83" w:rsidRDefault="002265C7" w:rsidP="002265C7">
            <w:pPr>
              <w:pStyle w:val="TableFigText"/>
              <w:keepNext/>
              <w:rPr>
                <w:rFonts w:asciiTheme="minorHAnsi" w:hAnsiTheme="minorHAnsi" w:cstheme="minorHAnsi"/>
                <w:szCs w:val="22"/>
              </w:rPr>
            </w:pPr>
            <w:r w:rsidRPr="001B1E83">
              <w:rPr>
                <w:rFonts w:asciiTheme="minorHAnsi" w:hAnsiTheme="minorHAnsi" w:cstheme="minorHAnsi"/>
                <w:szCs w:val="22"/>
              </w:rPr>
              <w:t>Nurses</w:t>
            </w:r>
            <w:r w:rsidRPr="001B1E83">
              <w:rPr>
                <w:rFonts w:asciiTheme="minorHAnsi" w:hAnsiTheme="minorHAnsi" w:cstheme="minorHAnsi"/>
                <w:szCs w:val="22"/>
                <w:vertAlign w:val="superscript"/>
              </w:rPr>
              <w:t>(c)</w:t>
            </w:r>
          </w:p>
        </w:tc>
        <w:tc>
          <w:tcPr>
            <w:tcW w:w="1157" w:type="dxa"/>
            <w:vAlign w:val="bottom"/>
          </w:tcPr>
          <w:p w:rsidR="002265C7" w:rsidRPr="001B1E83" w:rsidRDefault="002265C7" w:rsidP="00D27F8A">
            <w:pPr>
              <w:pStyle w:val="TableFigText"/>
              <w:jc w:val="right"/>
            </w:pPr>
            <w:r w:rsidRPr="001B1E83">
              <w:t>3,227.5</w:t>
            </w:r>
          </w:p>
        </w:tc>
        <w:tc>
          <w:tcPr>
            <w:tcW w:w="1355" w:type="dxa"/>
            <w:vAlign w:val="bottom"/>
          </w:tcPr>
          <w:p w:rsidR="002265C7" w:rsidRPr="001B1E83" w:rsidRDefault="002265C7" w:rsidP="00D27F8A">
            <w:pPr>
              <w:pStyle w:val="TableFigText"/>
              <w:jc w:val="right"/>
            </w:pPr>
            <w:r w:rsidRPr="001B1E83">
              <w:t>914.4</w:t>
            </w:r>
          </w:p>
        </w:tc>
        <w:tc>
          <w:tcPr>
            <w:tcW w:w="1224" w:type="dxa"/>
            <w:vAlign w:val="bottom"/>
          </w:tcPr>
          <w:p w:rsidR="002265C7" w:rsidRPr="001B1E83" w:rsidRDefault="002265C7" w:rsidP="00D27F8A">
            <w:pPr>
              <w:pStyle w:val="TableFigText"/>
              <w:jc w:val="right"/>
            </w:pPr>
            <w:r w:rsidRPr="001B1E83">
              <w:t>138.4</w:t>
            </w:r>
          </w:p>
        </w:tc>
        <w:tc>
          <w:tcPr>
            <w:tcW w:w="1023" w:type="dxa"/>
            <w:vAlign w:val="bottom"/>
          </w:tcPr>
          <w:p w:rsidR="002265C7" w:rsidRPr="001B1E83" w:rsidRDefault="002265C7" w:rsidP="00D27F8A">
            <w:pPr>
              <w:pStyle w:val="TableFigText"/>
              <w:jc w:val="right"/>
            </w:pPr>
            <w:r w:rsidRPr="001B1E83">
              <w:t>14.3</w:t>
            </w:r>
          </w:p>
        </w:tc>
        <w:tc>
          <w:tcPr>
            <w:tcW w:w="1070" w:type="dxa"/>
            <w:vAlign w:val="bottom"/>
          </w:tcPr>
          <w:p w:rsidR="002265C7" w:rsidRPr="001B1E83" w:rsidRDefault="002265C7" w:rsidP="00D27F8A">
            <w:pPr>
              <w:pStyle w:val="TableFigText"/>
              <w:jc w:val="right"/>
            </w:pPr>
            <w:r w:rsidRPr="001B1E83">
              <w:t>5.0</w:t>
            </w:r>
          </w:p>
        </w:tc>
        <w:tc>
          <w:tcPr>
            <w:tcW w:w="1058" w:type="dxa"/>
            <w:vAlign w:val="bottom"/>
          </w:tcPr>
          <w:p w:rsidR="002265C7" w:rsidRPr="001B1E83" w:rsidRDefault="002265C7" w:rsidP="00D27F8A">
            <w:pPr>
              <w:pStyle w:val="TableFigText"/>
              <w:jc w:val="right"/>
            </w:pPr>
            <w:r w:rsidRPr="001B1E83">
              <w:t>4,299.6</w:t>
            </w:r>
          </w:p>
        </w:tc>
      </w:tr>
      <w:tr w:rsidR="002265C7" w:rsidRPr="001B1E83" w:rsidTr="002265C7">
        <w:tc>
          <w:tcPr>
            <w:tcW w:w="2399" w:type="dxa"/>
          </w:tcPr>
          <w:p w:rsidR="002265C7" w:rsidRPr="001B1E83" w:rsidRDefault="002265C7" w:rsidP="002265C7">
            <w:pPr>
              <w:pStyle w:val="TableFigText"/>
              <w:keepNext/>
              <w:rPr>
                <w:rFonts w:asciiTheme="minorHAnsi" w:hAnsiTheme="minorHAnsi" w:cstheme="minorHAnsi"/>
                <w:szCs w:val="22"/>
              </w:rPr>
            </w:pPr>
            <w:r w:rsidRPr="001B1E83">
              <w:rPr>
                <w:rFonts w:asciiTheme="minorHAnsi" w:hAnsiTheme="minorHAnsi" w:cstheme="minorHAnsi"/>
                <w:szCs w:val="22"/>
              </w:rPr>
              <w:t>Carer workers</w:t>
            </w:r>
            <w:r w:rsidRPr="001B1E83">
              <w:rPr>
                <w:rFonts w:asciiTheme="minorHAnsi" w:hAnsiTheme="minorHAnsi" w:cstheme="minorHAnsi"/>
                <w:szCs w:val="22"/>
                <w:vertAlign w:val="superscript"/>
              </w:rPr>
              <w:t>(d)</w:t>
            </w:r>
          </w:p>
        </w:tc>
        <w:tc>
          <w:tcPr>
            <w:tcW w:w="1157" w:type="dxa"/>
            <w:vAlign w:val="bottom"/>
          </w:tcPr>
          <w:p w:rsidR="002265C7" w:rsidRPr="001B1E83" w:rsidRDefault="002265C7" w:rsidP="00D27F8A">
            <w:pPr>
              <w:pStyle w:val="TableFigText"/>
              <w:jc w:val="right"/>
            </w:pPr>
            <w:r w:rsidRPr="001B1E83">
              <w:t>3.5</w:t>
            </w:r>
          </w:p>
        </w:tc>
        <w:tc>
          <w:tcPr>
            <w:tcW w:w="1355" w:type="dxa"/>
            <w:vAlign w:val="bottom"/>
          </w:tcPr>
          <w:p w:rsidR="002265C7" w:rsidRPr="001B1E83" w:rsidRDefault="002265C7" w:rsidP="00D27F8A">
            <w:pPr>
              <w:pStyle w:val="TableFigText"/>
              <w:jc w:val="right"/>
            </w:pPr>
            <w:r w:rsidRPr="001B1E83">
              <w:t>2.6</w:t>
            </w:r>
          </w:p>
        </w:tc>
        <w:tc>
          <w:tcPr>
            <w:tcW w:w="1224" w:type="dxa"/>
            <w:vAlign w:val="bottom"/>
          </w:tcPr>
          <w:p w:rsidR="002265C7" w:rsidRPr="001B1E83" w:rsidRDefault="002265C7" w:rsidP="00D27F8A">
            <w:pPr>
              <w:pStyle w:val="TableFigText"/>
              <w:jc w:val="right"/>
            </w:pPr>
            <w:r w:rsidRPr="001B1E83">
              <w:t>0.9</w:t>
            </w:r>
          </w:p>
        </w:tc>
        <w:tc>
          <w:tcPr>
            <w:tcW w:w="1023" w:type="dxa"/>
            <w:vAlign w:val="bottom"/>
          </w:tcPr>
          <w:p w:rsidR="002265C7" w:rsidRPr="001B1E83" w:rsidRDefault="002265C7" w:rsidP="00D27F8A">
            <w:pPr>
              <w:pStyle w:val="TableFigText"/>
              <w:jc w:val="right"/>
            </w:pPr>
            <w:r w:rsidRPr="001B1E83">
              <w:t>0.0</w:t>
            </w:r>
          </w:p>
        </w:tc>
        <w:tc>
          <w:tcPr>
            <w:tcW w:w="1070" w:type="dxa"/>
            <w:vAlign w:val="bottom"/>
          </w:tcPr>
          <w:p w:rsidR="002265C7" w:rsidRPr="001B1E83" w:rsidRDefault="002265C7" w:rsidP="00D27F8A">
            <w:pPr>
              <w:pStyle w:val="TableFigText"/>
              <w:jc w:val="right"/>
            </w:pPr>
            <w:r w:rsidRPr="001B1E83">
              <w:t>0.0</w:t>
            </w:r>
          </w:p>
        </w:tc>
        <w:tc>
          <w:tcPr>
            <w:tcW w:w="1058" w:type="dxa"/>
            <w:vAlign w:val="bottom"/>
          </w:tcPr>
          <w:p w:rsidR="002265C7" w:rsidRPr="001B1E83" w:rsidRDefault="002265C7" w:rsidP="00D27F8A">
            <w:pPr>
              <w:pStyle w:val="TableFigText"/>
              <w:jc w:val="right"/>
            </w:pPr>
            <w:r w:rsidRPr="001B1E83">
              <w:t>7.0</w:t>
            </w:r>
          </w:p>
        </w:tc>
      </w:tr>
      <w:tr w:rsidR="002265C7" w:rsidRPr="001B1E83" w:rsidTr="002265C7">
        <w:tc>
          <w:tcPr>
            <w:tcW w:w="2399" w:type="dxa"/>
          </w:tcPr>
          <w:p w:rsidR="002265C7" w:rsidRPr="001B1E83" w:rsidRDefault="002265C7" w:rsidP="002265C7">
            <w:pPr>
              <w:pStyle w:val="TableFigText"/>
              <w:keepNext/>
              <w:rPr>
                <w:rFonts w:asciiTheme="minorHAnsi" w:hAnsiTheme="minorHAnsi" w:cstheme="minorHAnsi"/>
                <w:szCs w:val="22"/>
              </w:rPr>
            </w:pPr>
            <w:r w:rsidRPr="001B1E83">
              <w:rPr>
                <w:rFonts w:asciiTheme="minorHAnsi" w:hAnsiTheme="minorHAnsi" w:cstheme="minorHAnsi"/>
                <w:szCs w:val="22"/>
              </w:rPr>
              <w:t>Consumer workers</w:t>
            </w:r>
            <w:r w:rsidRPr="001B1E83">
              <w:rPr>
                <w:rFonts w:asciiTheme="minorHAnsi" w:hAnsiTheme="minorHAnsi" w:cstheme="minorHAnsi"/>
                <w:szCs w:val="22"/>
                <w:vertAlign w:val="superscript"/>
              </w:rPr>
              <w:t>(d)</w:t>
            </w:r>
          </w:p>
        </w:tc>
        <w:tc>
          <w:tcPr>
            <w:tcW w:w="1157" w:type="dxa"/>
            <w:vAlign w:val="bottom"/>
          </w:tcPr>
          <w:p w:rsidR="002265C7" w:rsidRPr="001B1E83" w:rsidRDefault="002265C7" w:rsidP="00D27F8A">
            <w:pPr>
              <w:pStyle w:val="TableFigText"/>
              <w:jc w:val="right"/>
            </w:pPr>
            <w:r w:rsidRPr="001B1E83">
              <w:t>22.0</w:t>
            </w:r>
          </w:p>
        </w:tc>
        <w:tc>
          <w:tcPr>
            <w:tcW w:w="1355" w:type="dxa"/>
            <w:vAlign w:val="bottom"/>
          </w:tcPr>
          <w:p w:rsidR="002265C7" w:rsidRPr="001B1E83" w:rsidRDefault="002265C7" w:rsidP="00D27F8A">
            <w:pPr>
              <w:pStyle w:val="TableFigText"/>
              <w:jc w:val="right"/>
            </w:pPr>
            <w:r w:rsidRPr="001B1E83">
              <w:t>4.3</w:t>
            </w:r>
          </w:p>
        </w:tc>
        <w:tc>
          <w:tcPr>
            <w:tcW w:w="1224" w:type="dxa"/>
            <w:vAlign w:val="bottom"/>
          </w:tcPr>
          <w:p w:rsidR="002265C7" w:rsidRPr="001B1E83" w:rsidRDefault="002265C7" w:rsidP="00D27F8A">
            <w:pPr>
              <w:pStyle w:val="TableFigText"/>
              <w:jc w:val="right"/>
            </w:pPr>
            <w:r w:rsidRPr="001B1E83">
              <w:t>1.5</w:t>
            </w:r>
          </w:p>
        </w:tc>
        <w:tc>
          <w:tcPr>
            <w:tcW w:w="1023" w:type="dxa"/>
            <w:vAlign w:val="bottom"/>
          </w:tcPr>
          <w:p w:rsidR="002265C7" w:rsidRPr="001B1E83" w:rsidRDefault="002265C7" w:rsidP="00D27F8A">
            <w:pPr>
              <w:pStyle w:val="TableFigText"/>
              <w:jc w:val="right"/>
            </w:pPr>
            <w:r w:rsidRPr="001B1E83">
              <w:t>0.1</w:t>
            </w:r>
          </w:p>
        </w:tc>
        <w:tc>
          <w:tcPr>
            <w:tcW w:w="1070" w:type="dxa"/>
            <w:vAlign w:val="bottom"/>
          </w:tcPr>
          <w:p w:rsidR="002265C7" w:rsidRPr="001B1E83" w:rsidRDefault="002265C7" w:rsidP="00D27F8A">
            <w:pPr>
              <w:pStyle w:val="TableFigText"/>
              <w:jc w:val="right"/>
            </w:pPr>
            <w:r w:rsidRPr="001B1E83">
              <w:t>0.0</w:t>
            </w:r>
          </w:p>
        </w:tc>
        <w:tc>
          <w:tcPr>
            <w:tcW w:w="1058" w:type="dxa"/>
            <w:vAlign w:val="bottom"/>
          </w:tcPr>
          <w:p w:rsidR="002265C7" w:rsidRPr="001B1E83" w:rsidRDefault="002265C7" w:rsidP="00D27F8A">
            <w:pPr>
              <w:pStyle w:val="TableFigText"/>
              <w:jc w:val="right"/>
            </w:pPr>
            <w:r w:rsidRPr="001B1E83">
              <w:t>27.9</w:t>
            </w:r>
          </w:p>
        </w:tc>
      </w:tr>
      <w:tr w:rsidR="002265C7" w:rsidRPr="001B1E83" w:rsidTr="002265C7">
        <w:tc>
          <w:tcPr>
            <w:tcW w:w="2399" w:type="dxa"/>
          </w:tcPr>
          <w:p w:rsidR="002265C7" w:rsidRPr="001B1E83" w:rsidRDefault="002265C7" w:rsidP="002265C7">
            <w:pPr>
              <w:pStyle w:val="TableFigText"/>
              <w:keepNext/>
              <w:rPr>
                <w:rFonts w:asciiTheme="minorHAnsi" w:hAnsiTheme="minorHAnsi" w:cstheme="minorHAnsi"/>
                <w:szCs w:val="22"/>
              </w:rPr>
            </w:pPr>
            <w:r w:rsidRPr="001B1E83">
              <w:rPr>
                <w:rFonts w:asciiTheme="minorHAnsi" w:hAnsiTheme="minorHAnsi" w:cstheme="minorHAnsi"/>
                <w:szCs w:val="22"/>
              </w:rPr>
              <w:t>Other personal care</w:t>
            </w:r>
            <w:r w:rsidRPr="001B1E83">
              <w:rPr>
                <w:rFonts w:asciiTheme="minorHAnsi" w:hAnsiTheme="minorHAnsi" w:cstheme="minorHAnsi"/>
                <w:szCs w:val="22"/>
                <w:vertAlign w:val="superscript"/>
              </w:rPr>
              <w:t>(e)</w:t>
            </w:r>
          </w:p>
        </w:tc>
        <w:tc>
          <w:tcPr>
            <w:tcW w:w="1157" w:type="dxa"/>
            <w:vAlign w:val="bottom"/>
          </w:tcPr>
          <w:p w:rsidR="002265C7" w:rsidRPr="001B1E83" w:rsidRDefault="002265C7" w:rsidP="00D27F8A">
            <w:pPr>
              <w:pStyle w:val="TableFigText"/>
              <w:jc w:val="right"/>
            </w:pPr>
            <w:r w:rsidRPr="001B1E83">
              <w:t>33.6</w:t>
            </w:r>
          </w:p>
        </w:tc>
        <w:tc>
          <w:tcPr>
            <w:tcW w:w="1355" w:type="dxa"/>
            <w:vAlign w:val="bottom"/>
          </w:tcPr>
          <w:p w:rsidR="002265C7" w:rsidRPr="001B1E83" w:rsidRDefault="002265C7" w:rsidP="00D27F8A">
            <w:pPr>
              <w:pStyle w:val="TableFigText"/>
              <w:jc w:val="right"/>
            </w:pPr>
            <w:r w:rsidRPr="001B1E83">
              <w:t>29.5</w:t>
            </w:r>
          </w:p>
        </w:tc>
        <w:tc>
          <w:tcPr>
            <w:tcW w:w="1224" w:type="dxa"/>
            <w:vAlign w:val="bottom"/>
          </w:tcPr>
          <w:p w:rsidR="002265C7" w:rsidRPr="001B1E83" w:rsidRDefault="002265C7" w:rsidP="00D27F8A">
            <w:pPr>
              <w:pStyle w:val="TableFigText"/>
              <w:jc w:val="right"/>
            </w:pPr>
            <w:r w:rsidRPr="001B1E83">
              <w:t>6.0</w:t>
            </w:r>
          </w:p>
        </w:tc>
        <w:tc>
          <w:tcPr>
            <w:tcW w:w="1023" w:type="dxa"/>
            <w:vAlign w:val="bottom"/>
          </w:tcPr>
          <w:p w:rsidR="002265C7" w:rsidRPr="001B1E83" w:rsidRDefault="002265C7" w:rsidP="00D27F8A">
            <w:pPr>
              <w:pStyle w:val="TableFigText"/>
              <w:jc w:val="right"/>
            </w:pPr>
            <w:r w:rsidRPr="001B1E83">
              <w:t>0.9</w:t>
            </w:r>
          </w:p>
        </w:tc>
        <w:tc>
          <w:tcPr>
            <w:tcW w:w="1070" w:type="dxa"/>
            <w:vAlign w:val="bottom"/>
          </w:tcPr>
          <w:p w:rsidR="002265C7" w:rsidRPr="001B1E83" w:rsidRDefault="002265C7" w:rsidP="00D27F8A">
            <w:pPr>
              <w:pStyle w:val="TableFigText"/>
              <w:jc w:val="right"/>
            </w:pPr>
            <w:r w:rsidRPr="001B1E83">
              <w:t>0.1</w:t>
            </w:r>
          </w:p>
        </w:tc>
        <w:tc>
          <w:tcPr>
            <w:tcW w:w="1058" w:type="dxa"/>
            <w:vAlign w:val="bottom"/>
          </w:tcPr>
          <w:p w:rsidR="002265C7" w:rsidRPr="001B1E83" w:rsidRDefault="002265C7" w:rsidP="00D27F8A">
            <w:pPr>
              <w:pStyle w:val="TableFigText"/>
              <w:jc w:val="right"/>
            </w:pPr>
            <w:r w:rsidRPr="001B1E83">
              <w:t>70.1</w:t>
            </w:r>
          </w:p>
        </w:tc>
      </w:tr>
      <w:tr w:rsidR="002265C7" w:rsidRPr="001B1E83" w:rsidTr="002265C7">
        <w:tc>
          <w:tcPr>
            <w:tcW w:w="2399" w:type="dxa"/>
          </w:tcPr>
          <w:p w:rsidR="002265C7" w:rsidRPr="001B1E83" w:rsidRDefault="002265C7" w:rsidP="002265C7">
            <w:pPr>
              <w:pStyle w:val="TableFigText"/>
              <w:keepNext/>
              <w:rPr>
                <w:rFonts w:asciiTheme="minorHAnsi" w:hAnsiTheme="minorHAnsi" w:cstheme="minorHAnsi"/>
                <w:szCs w:val="22"/>
              </w:rPr>
            </w:pPr>
            <w:r w:rsidRPr="001B1E83">
              <w:rPr>
                <w:rFonts w:asciiTheme="minorHAnsi" w:hAnsiTheme="minorHAnsi" w:cstheme="minorHAnsi"/>
                <w:szCs w:val="22"/>
              </w:rPr>
              <w:t>Other staffing categories</w:t>
            </w:r>
            <w:r w:rsidRPr="001B1E83">
              <w:rPr>
                <w:rFonts w:asciiTheme="minorHAnsi" w:hAnsiTheme="minorHAnsi" w:cstheme="minorHAnsi"/>
                <w:szCs w:val="22"/>
                <w:vertAlign w:val="superscript"/>
              </w:rPr>
              <w:t>(f)</w:t>
            </w:r>
          </w:p>
        </w:tc>
        <w:tc>
          <w:tcPr>
            <w:tcW w:w="1157" w:type="dxa"/>
            <w:vAlign w:val="bottom"/>
          </w:tcPr>
          <w:p w:rsidR="002265C7" w:rsidRPr="001B1E83" w:rsidRDefault="002265C7" w:rsidP="00D27F8A">
            <w:pPr>
              <w:pStyle w:val="TableFigText"/>
              <w:jc w:val="right"/>
            </w:pPr>
            <w:r w:rsidRPr="001B1E83">
              <w:t>1,458.7</w:t>
            </w:r>
          </w:p>
        </w:tc>
        <w:tc>
          <w:tcPr>
            <w:tcW w:w="1355" w:type="dxa"/>
            <w:vAlign w:val="bottom"/>
          </w:tcPr>
          <w:p w:rsidR="002265C7" w:rsidRPr="001B1E83" w:rsidRDefault="002265C7" w:rsidP="00D27F8A">
            <w:pPr>
              <w:pStyle w:val="TableFigText"/>
              <w:jc w:val="right"/>
            </w:pPr>
            <w:r w:rsidRPr="001B1E83">
              <w:t>282.2</w:t>
            </w:r>
          </w:p>
        </w:tc>
        <w:tc>
          <w:tcPr>
            <w:tcW w:w="1224" w:type="dxa"/>
            <w:vAlign w:val="bottom"/>
          </w:tcPr>
          <w:p w:rsidR="002265C7" w:rsidRPr="001B1E83" w:rsidRDefault="002265C7" w:rsidP="00D27F8A">
            <w:pPr>
              <w:pStyle w:val="TableFigText"/>
              <w:jc w:val="right"/>
            </w:pPr>
            <w:r w:rsidRPr="001B1E83">
              <w:t>62.6</w:t>
            </w:r>
          </w:p>
        </w:tc>
        <w:tc>
          <w:tcPr>
            <w:tcW w:w="1023" w:type="dxa"/>
            <w:vAlign w:val="bottom"/>
          </w:tcPr>
          <w:p w:rsidR="002265C7" w:rsidRPr="001B1E83" w:rsidRDefault="002265C7" w:rsidP="00D27F8A">
            <w:pPr>
              <w:pStyle w:val="TableFigText"/>
              <w:jc w:val="right"/>
            </w:pPr>
            <w:r w:rsidRPr="001B1E83">
              <w:t>9.9</w:t>
            </w:r>
          </w:p>
        </w:tc>
        <w:tc>
          <w:tcPr>
            <w:tcW w:w="1070" w:type="dxa"/>
            <w:vAlign w:val="bottom"/>
          </w:tcPr>
          <w:p w:rsidR="002265C7" w:rsidRPr="001B1E83" w:rsidRDefault="002265C7" w:rsidP="00D27F8A">
            <w:pPr>
              <w:pStyle w:val="TableFigText"/>
              <w:jc w:val="right"/>
            </w:pPr>
            <w:r w:rsidRPr="001B1E83">
              <w:t>5.2</w:t>
            </w:r>
          </w:p>
        </w:tc>
        <w:tc>
          <w:tcPr>
            <w:tcW w:w="1058" w:type="dxa"/>
            <w:vAlign w:val="bottom"/>
          </w:tcPr>
          <w:p w:rsidR="002265C7" w:rsidRPr="001B1E83" w:rsidRDefault="002265C7" w:rsidP="00D27F8A">
            <w:pPr>
              <w:pStyle w:val="TableFigText"/>
              <w:jc w:val="right"/>
            </w:pPr>
            <w:r w:rsidRPr="001B1E83">
              <w:t>1,818.6</w:t>
            </w:r>
          </w:p>
        </w:tc>
      </w:tr>
      <w:tr w:rsidR="002265C7" w:rsidRPr="001B1E83" w:rsidTr="002265C7">
        <w:tc>
          <w:tcPr>
            <w:tcW w:w="2399" w:type="dxa"/>
          </w:tcPr>
          <w:p w:rsidR="002265C7" w:rsidRPr="001B1E83" w:rsidRDefault="002265C7" w:rsidP="002265C7">
            <w:pPr>
              <w:pStyle w:val="TableFigText"/>
              <w:keepNext/>
              <w:rPr>
                <w:rFonts w:asciiTheme="minorHAnsi" w:hAnsiTheme="minorHAnsi" w:cstheme="minorHAnsi"/>
                <w:b/>
                <w:szCs w:val="22"/>
              </w:rPr>
            </w:pPr>
            <w:r w:rsidRPr="001B1E83">
              <w:rPr>
                <w:rFonts w:asciiTheme="minorHAnsi" w:hAnsiTheme="minorHAnsi" w:cstheme="minorHAnsi"/>
                <w:b/>
                <w:szCs w:val="22"/>
              </w:rPr>
              <w:t>Total</w:t>
            </w:r>
            <w:r w:rsidRPr="001B1E83">
              <w:rPr>
                <w:rFonts w:asciiTheme="minorHAnsi" w:hAnsiTheme="minorHAnsi" w:cstheme="minorHAnsi"/>
                <w:b/>
                <w:szCs w:val="22"/>
                <w:vertAlign w:val="superscript"/>
              </w:rPr>
              <w:t>(a)</w:t>
            </w:r>
          </w:p>
        </w:tc>
        <w:tc>
          <w:tcPr>
            <w:tcW w:w="1157" w:type="dxa"/>
            <w:vAlign w:val="bottom"/>
          </w:tcPr>
          <w:p w:rsidR="002265C7" w:rsidRPr="00D27F8A" w:rsidRDefault="002265C7" w:rsidP="00D27F8A">
            <w:pPr>
              <w:pStyle w:val="TableFigText"/>
              <w:jc w:val="right"/>
              <w:rPr>
                <w:b/>
              </w:rPr>
            </w:pPr>
            <w:r w:rsidRPr="00D27F8A">
              <w:rPr>
                <w:b/>
              </w:rPr>
              <w:t>6,664.4</w:t>
            </w:r>
          </w:p>
        </w:tc>
        <w:tc>
          <w:tcPr>
            <w:tcW w:w="1355" w:type="dxa"/>
            <w:vAlign w:val="bottom"/>
          </w:tcPr>
          <w:p w:rsidR="002265C7" w:rsidRPr="00D27F8A" w:rsidRDefault="002265C7" w:rsidP="00D27F8A">
            <w:pPr>
              <w:pStyle w:val="TableFigText"/>
              <w:jc w:val="right"/>
              <w:rPr>
                <w:b/>
              </w:rPr>
            </w:pPr>
            <w:r w:rsidRPr="00D27F8A">
              <w:rPr>
                <w:b/>
              </w:rPr>
              <w:t>1,589.9</w:t>
            </w:r>
          </w:p>
        </w:tc>
        <w:tc>
          <w:tcPr>
            <w:tcW w:w="1224" w:type="dxa"/>
            <w:vAlign w:val="bottom"/>
          </w:tcPr>
          <w:p w:rsidR="002265C7" w:rsidRPr="00D27F8A" w:rsidRDefault="002265C7" w:rsidP="00D27F8A">
            <w:pPr>
              <w:pStyle w:val="TableFigText"/>
              <w:jc w:val="right"/>
              <w:rPr>
                <w:b/>
              </w:rPr>
            </w:pPr>
            <w:r w:rsidRPr="00D27F8A">
              <w:rPr>
                <w:b/>
              </w:rPr>
              <w:t>294.0</w:t>
            </w:r>
          </w:p>
        </w:tc>
        <w:tc>
          <w:tcPr>
            <w:tcW w:w="1023" w:type="dxa"/>
            <w:vAlign w:val="bottom"/>
          </w:tcPr>
          <w:p w:rsidR="002265C7" w:rsidRPr="00D27F8A" w:rsidRDefault="002265C7" w:rsidP="00D27F8A">
            <w:pPr>
              <w:pStyle w:val="TableFigText"/>
              <w:jc w:val="right"/>
              <w:rPr>
                <w:b/>
              </w:rPr>
            </w:pPr>
            <w:r w:rsidRPr="00D27F8A">
              <w:rPr>
                <w:b/>
              </w:rPr>
              <w:t>32.5</w:t>
            </w:r>
          </w:p>
        </w:tc>
        <w:tc>
          <w:tcPr>
            <w:tcW w:w="1070" w:type="dxa"/>
            <w:vAlign w:val="bottom"/>
          </w:tcPr>
          <w:p w:rsidR="002265C7" w:rsidRPr="00D27F8A" w:rsidRDefault="002265C7" w:rsidP="00D27F8A">
            <w:pPr>
              <w:pStyle w:val="TableFigText"/>
              <w:jc w:val="right"/>
              <w:rPr>
                <w:b/>
              </w:rPr>
            </w:pPr>
            <w:r w:rsidRPr="00D27F8A">
              <w:rPr>
                <w:b/>
              </w:rPr>
              <w:t>15.1</w:t>
            </w:r>
          </w:p>
        </w:tc>
        <w:tc>
          <w:tcPr>
            <w:tcW w:w="1058" w:type="dxa"/>
            <w:vAlign w:val="bottom"/>
          </w:tcPr>
          <w:p w:rsidR="002265C7" w:rsidRPr="00D27F8A" w:rsidRDefault="002265C7" w:rsidP="00D27F8A">
            <w:pPr>
              <w:pStyle w:val="TableFigText"/>
              <w:jc w:val="right"/>
              <w:rPr>
                <w:b/>
              </w:rPr>
            </w:pPr>
            <w:r w:rsidRPr="00D27F8A">
              <w:rPr>
                <w:b/>
              </w:rPr>
              <w:t>8,595.9</w:t>
            </w:r>
          </w:p>
        </w:tc>
      </w:tr>
    </w:tbl>
    <w:p w:rsidR="002265C7" w:rsidRPr="00B27FBD" w:rsidRDefault="002265C7" w:rsidP="00540186">
      <w:pPr>
        <w:pStyle w:val="TableFigNotesnumbered"/>
        <w:numPr>
          <w:ilvl w:val="0"/>
          <w:numId w:val="58"/>
        </w:numPr>
        <w:rPr>
          <w:rStyle w:val="table-note"/>
        </w:rPr>
      </w:pPr>
      <w:r w:rsidRPr="00B27FBD">
        <w:rPr>
          <w:rStyle w:val="table-note"/>
        </w:rPr>
        <w:t>Totals may not add due to rounding.</w:t>
      </w:r>
    </w:p>
    <w:p w:rsidR="002265C7" w:rsidRPr="00B27FBD" w:rsidRDefault="002265C7" w:rsidP="00540186">
      <w:pPr>
        <w:pStyle w:val="TableFigNotesnumbered"/>
        <w:numPr>
          <w:ilvl w:val="0"/>
          <w:numId w:val="58"/>
        </w:numPr>
        <w:rPr>
          <w:rStyle w:val="table-note"/>
        </w:rPr>
      </w:pPr>
      <w:r w:rsidRPr="00B27FBD">
        <w:rPr>
          <w:rStyle w:val="table-note"/>
        </w:rPr>
        <w:t>Diagnostic and health professionals includes qualified staff (other than qualified medical or nursing staff) engaged in duties of a diagnostic, professional or technical nature and covers all allied health professionals and laboratory technicians, including Social Workers, Occupational Therapists and others  (</w:t>
      </w:r>
      <w:proofErr w:type="spellStart"/>
      <w:r w:rsidRPr="00B27FBD">
        <w:rPr>
          <w:rStyle w:val="table-note"/>
        </w:rPr>
        <w:t>METeOR</w:t>
      </w:r>
      <w:proofErr w:type="spellEnd"/>
      <w:r w:rsidRPr="00B27FBD">
        <w:rPr>
          <w:rStyle w:val="table-note"/>
        </w:rPr>
        <w:t xml:space="preserve"> identifier 287611).</w:t>
      </w:r>
    </w:p>
    <w:p w:rsidR="002265C7" w:rsidRPr="00B27FBD" w:rsidRDefault="002265C7" w:rsidP="00540186">
      <w:pPr>
        <w:pStyle w:val="TableFigNotesnumbered"/>
        <w:numPr>
          <w:ilvl w:val="0"/>
          <w:numId w:val="58"/>
        </w:numPr>
        <w:rPr>
          <w:rStyle w:val="table-note"/>
        </w:rPr>
      </w:pPr>
      <w:r w:rsidRPr="00B27FBD">
        <w:rPr>
          <w:rStyle w:val="table-note"/>
        </w:rPr>
        <w:t>Includes registered and enrolled nurses.</w:t>
      </w:r>
    </w:p>
    <w:p w:rsidR="002265C7" w:rsidRPr="00B27FBD" w:rsidRDefault="002265C7" w:rsidP="00540186">
      <w:pPr>
        <w:pStyle w:val="TableFigNotesnumbered"/>
        <w:numPr>
          <w:ilvl w:val="0"/>
          <w:numId w:val="58"/>
        </w:numPr>
        <w:rPr>
          <w:rStyle w:val="table-note"/>
        </w:rPr>
      </w:pPr>
      <w:r w:rsidRPr="00B27FBD">
        <w:rPr>
          <w:rStyle w:val="table-note"/>
        </w:rPr>
        <w:t xml:space="preserve">The definition of these categories was modified from 'consultants' to 'mental health workers' for the 2010–11 collection, in order to capture a variety of contemporary roles. </w:t>
      </w:r>
    </w:p>
    <w:p w:rsidR="002265C7" w:rsidRPr="00B27FBD" w:rsidRDefault="002265C7" w:rsidP="00540186">
      <w:pPr>
        <w:pStyle w:val="TableFigNotesnumbered"/>
        <w:numPr>
          <w:ilvl w:val="0"/>
          <w:numId w:val="58"/>
        </w:numPr>
        <w:rPr>
          <w:rStyle w:val="table-note"/>
        </w:rPr>
      </w:pPr>
      <w:r w:rsidRPr="00B27FBD">
        <w:rPr>
          <w:rStyle w:val="table-note"/>
        </w:rPr>
        <w:lastRenderedPageBreak/>
        <w:t>Other personal care staff includes staff engaged primarily in the provision of personal care to patients or residents, not formally qualified, for example attendants, assistants of home assistance, home companions, family aides, ward helpers, warders, orderlies, ward assistants and nursing assistants (</w:t>
      </w:r>
      <w:proofErr w:type="spellStart"/>
      <w:r w:rsidRPr="00B27FBD">
        <w:rPr>
          <w:rStyle w:val="table-note"/>
        </w:rPr>
        <w:t>METeOR</w:t>
      </w:r>
      <w:proofErr w:type="spellEnd"/>
      <w:r w:rsidRPr="00B27FBD">
        <w:rPr>
          <w:rStyle w:val="table-note"/>
        </w:rPr>
        <w:t xml:space="preserve"> 270171).</w:t>
      </w:r>
    </w:p>
    <w:p w:rsidR="002265C7" w:rsidRPr="00B27FBD" w:rsidRDefault="002265C7" w:rsidP="00540186">
      <w:pPr>
        <w:pStyle w:val="TableFigNotesnumbered"/>
        <w:numPr>
          <w:ilvl w:val="0"/>
          <w:numId w:val="58"/>
        </w:numPr>
        <w:rPr>
          <w:rStyle w:val="table-note"/>
        </w:rPr>
      </w:pPr>
      <w:r w:rsidRPr="00B27FBD">
        <w:rPr>
          <w:rStyle w:val="table-note"/>
        </w:rPr>
        <w:t xml:space="preserve">Other </w:t>
      </w:r>
      <w:proofErr w:type="gramStart"/>
      <w:r w:rsidRPr="00B27FBD">
        <w:rPr>
          <w:rStyle w:val="table-note"/>
        </w:rPr>
        <w:t>staff</w:t>
      </w:r>
      <w:proofErr w:type="gramEnd"/>
      <w:r w:rsidRPr="00B27FBD">
        <w:rPr>
          <w:rStyle w:val="table-note"/>
        </w:rPr>
        <w:t xml:space="preserve"> includes administrative and clerical and domestic and other staff categories. </w:t>
      </w:r>
    </w:p>
    <w:p w:rsidR="002265C7" w:rsidRPr="001B1E83" w:rsidRDefault="002265C7" w:rsidP="002265C7">
      <w:pPr>
        <w:spacing w:before="0" w:after="0" w:line="240" w:lineRule="auto"/>
        <w:rPr>
          <w:rFonts w:asciiTheme="minorHAnsi" w:hAnsiTheme="minorHAnsi" w:cstheme="minorHAnsi"/>
        </w:rPr>
      </w:pPr>
    </w:p>
    <w:p w:rsidR="002265C7" w:rsidRPr="00B27FBD" w:rsidRDefault="002265C7" w:rsidP="002265C7">
      <w:pPr>
        <w:spacing w:before="0" w:after="0" w:line="240" w:lineRule="auto"/>
        <w:rPr>
          <w:rStyle w:val="table-note"/>
          <w:rFonts w:ascii="Arial" w:hAnsi="Arial"/>
          <w:sz w:val="14"/>
          <w:szCs w:val="20"/>
          <w:lang w:eastAsia="en-US"/>
        </w:rPr>
      </w:pPr>
      <w:r w:rsidRPr="00B27FBD">
        <w:rPr>
          <w:rStyle w:val="table-note"/>
          <w:rFonts w:ascii="Arial" w:hAnsi="Arial"/>
          <w:sz w:val="14"/>
          <w:szCs w:val="20"/>
          <w:lang w:eastAsia="en-US"/>
        </w:rPr>
        <w:t>Notes:</w:t>
      </w:r>
      <w:r w:rsidRPr="00B27FBD">
        <w:rPr>
          <w:rStyle w:val="table-note"/>
          <w:rFonts w:ascii="Arial" w:hAnsi="Arial"/>
          <w:sz w:val="14"/>
          <w:szCs w:val="20"/>
          <w:lang w:eastAsia="en-US"/>
        </w:rPr>
        <w:tab/>
      </w:r>
    </w:p>
    <w:p w:rsidR="002265C7" w:rsidRPr="00B27FBD" w:rsidRDefault="002265C7" w:rsidP="00540186">
      <w:pPr>
        <w:pStyle w:val="ListParagraph"/>
        <w:numPr>
          <w:ilvl w:val="0"/>
          <w:numId w:val="33"/>
        </w:numPr>
        <w:spacing w:after="0" w:line="240" w:lineRule="auto"/>
        <w:rPr>
          <w:rStyle w:val="table-note"/>
          <w:rFonts w:ascii="Arial" w:eastAsia="Times New Roman" w:hAnsi="Arial" w:cs="Times New Roman"/>
          <w:sz w:val="14"/>
          <w:szCs w:val="20"/>
          <w:lang w:eastAsia="en-US"/>
        </w:rPr>
      </w:pPr>
      <w:r w:rsidRPr="00B27FBD">
        <w:rPr>
          <w:rStyle w:val="table-note"/>
          <w:rFonts w:ascii="Arial" w:eastAsia="Times New Roman" w:hAnsi="Arial" w:cs="Times New Roman"/>
          <w:sz w:val="14"/>
          <w:szCs w:val="20"/>
          <w:lang w:eastAsia="en-US"/>
        </w:rPr>
        <w:t xml:space="preserve">Includes consumer and carer workers and staff employed at a higher organisational level. Excludes staff employed at regional or state level in mental health policy units of the associated relevant health department or equivalent. </w:t>
      </w:r>
    </w:p>
    <w:p w:rsidR="002265C7" w:rsidRPr="00CB7CCD" w:rsidRDefault="00CB7CCD" w:rsidP="002265C7">
      <w:pPr>
        <w:pStyle w:val="TableCaption"/>
        <w:rPr>
          <w:rStyle w:val="table-note"/>
        </w:rPr>
      </w:pPr>
      <w:r w:rsidRPr="00CB7CCD">
        <w:rPr>
          <w:rStyle w:val="table-note"/>
        </w:rPr>
        <w:t xml:space="preserve">Table 9: </w:t>
      </w:r>
      <w:r w:rsidR="002265C7" w:rsidRPr="00CB7CCD">
        <w:rPr>
          <w:rStyle w:val="table-note"/>
        </w:rPr>
        <w:t>NSW: Full-time-equivalent staff, state and territory specialised mental health care facilities, by staffing category, 2011–12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NSW: Full-time-equivalent staff, state and territory specialised mental health care facilities, by staffing category, 2011–12"/>
        <w:tblDescription w:val="Table showing, in 2011-12, the number of full-time-equivalent (FTE) staff in specialised mental health care facilities across NSW region types.  Major cities have the highest number of all types of FTE staff at 7,617.1 and very remote have the least at 14.5. Nurses were the highest FTE staff type overall, across all region types, at 5,126.9."/>
      </w:tblPr>
      <w:tblGrid>
        <w:gridCol w:w="2399"/>
        <w:gridCol w:w="1157"/>
        <w:gridCol w:w="1354"/>
        <w:gridCol w:w="1223"/>
        <w:gridCol w:w="1022"/>
        <w:gridCol w:w="1069"/>
        <w:gridCol w:w="1062"/>
      </w:tblGrid>
      <w:tr w:rsidR="002265C7" w:rsidRPr="001B1E83" w:rsidTr="000C3DEA">
        <w:trPr>
          <w:tblHeader/>
        </w:trPr>
        <w:tc>
          <w:tcPr>
            <w:tcW w:w="2399" w:type="dxa"/>
          </w:tcPr>
          <w:p w:rsidR="002265C7" w:rsidRPr="001B1E83" w:rsidRDefault="002265C7" w:rsidP="002265C7">
            <w:pPr>
              <w:pStyle w:val="TableFigText"/>
              <w:keepNext/>
              <w:rPr>
                <w:rFonts w:asciiTheme="minorHAnsi" w:hAnsiTheme="minorHAnsi" w:cstheme="minorHAnsi"/>
                <w:szCs w:val="22"/>
              </w:rPr>
            </w:pPr>
          </w:p>
        </w:tc>
        <w:tc>
          <w:tcPr>
            <w:tcW w:w="1157" w:type="dxa"/>
          </w:tcPr>
          <w:p w:rsidR="002265C7" w:rsidRPr="001B1E83" w:rsidRDefault="002265C7" w:rsidP="002265C7">
            <w:pPr>
              <w:pStyle w:val="TableFigText"/>
              <w:keepNext/>
              <w:jc w:val="right"/>
              <w:rPr>
                <w:rFonts w:asciiTheme="minorHAnsi" w:hAnsiTheme="minorHAnsi" w:cstheme="minorHAnsi"/>
                <w:b/>
                <w:szCs w:val="22"/>
              </w:rPr>
            </w:pPr>
            <w:r w:rsidRPr="001B1E83">
              <w:rPr>
                <w:rFonts w:asciiTheme="minorHAnsi" w:hAnsiTheme="minorHAnsi" w:cstheme="minorHAnsi"/>
                <w:b/>
                <w:szCs w:val="22"/>
              </w:rPr>
              <w:t>Major cities</w:t>
            </w:r>
          </w:p>
        </w:tc>
        <w:tc>
          <w:tcPr>
            <w:tcW w:w="1354" w:type="dxa"/>
          </w:tcPr>
          <w:p w:rsidR="002265C7" w:rsidRPr="001B1E83" w:rsidRDefault="002265C7" w:rsidP="002265C7">
            <w:pPr>
              <w:pStyle w:val="TableFigText"/>
              <w:keepNext/>
              <w:jc w:val="right"/>
              <w:rPr>
                <w:rFonts w:asciiTheme="minorHAnsi" w:hAnsiTheme="minorHAnsi" w:cstheme="minorHAnsi"/>
                <w:b/>
                <w:szCs w:val="22"/>
              </w:rPr>
            </w:pPr>
            <w:r w:rsidRPr="001B1E83">
              <w:rPr>
                <w:rFonts w:asciiTheme="minorHAnsi" w:hAnsiTheme="minorHAnsi" w:cstheme="minorHAnsi"/>
                <w:b/>
                <w:szCs w:val="22"/>
              </w:rPr>
              <w:t>Inner regional</w:t>
            </w:r>
          </w:p>
        </w:tc>
        <w:tc>
          <w:tcPr>
            <w:tcW w:w="1223" w:type="dxa"/>
          </w:tcPr>
          <w:p w:rsidR="002265C7" w:rsidRPr="001B1E83" w:rsidRDefault="002265C7" w:rsidP="002265C7">
            <w:pPr>
              <w:pStyle w:val="TableFigText"/>
              <w:keepNext/>
              <w:jc w:val="right"/>
              <w:rPr>
                <w:rFonts w:asciiTheme="minorHAnsi" w:hAnsiTheme="minorHAnsi" w:cstheme="minorHAnsi"/>
                <w:b/>
                <w:szCs w:val="22"/>
              </w:rPr>
            </w:pPr>
            <w:r w:rsidRPr="001B1E83">
              <w:rPr>
                <w:rFonts w:asciiTheme="minorHAnsi" w:hAnsiTheme="minorHAnsi" w:cstheme="minorHAnsi"/>
                <w:b/>
                <w:szCs w:val="22"/>
              </w:rPr>
              <w:t>Outer regional</w:t>
            </w:r>
          </w:p>
        </w:tc>
        <w:tc>
          <w:tcPr>
            <w:tcW w:w="1022" w:type="dxa"/>
          </w:tcPr>
          <w:p w:rsidR="002265C7" w:rsidRPr="001B1E83" w:rsidRDefault="002265C7" w:rsidP="002265C7">
            <w:pPr>
              <w:pStyle w:val="TableFigText"/>
              <w:keepNext/>
              <w:jc w:val="right"/>
              <w:rPr>
                <w:rFonts w:asciiTheme="minorHAnsi" w:hAnsiTheme="minorHAnsi" w:cstheme="minorHAnsi"/>
                <w:b/>
                <w:szCs w:val="22"/>
              </w:rPr>
            </w:pPr>
            <w:r w:rsidRPr="001B1E83">
              <w:rPr>
                <w:rFonts w:asciiTheme="minorHAnsi" w:hAnsiTheme="minorHAnsi" w:cstheme="minorHAnsi"/>
                <w:b/>
                <w:szCs w:val="22"/>
              </w:rPr>
              <w:t>Remote</w:t>
            </w:r>
          </w:p>
        </w:tc>
        <w:tc>
          <w:tcPr>
            <w:tcW w:w="1069" w:type="dxa"/>
          </w:tcPr>
          <w:p w:rsidR="002265C7" w:rsidRPr="001B1E83" w:rsidRDefault="002265C7" w:rsidP="002265C7">
            <w:pPr>
              <w:pStyle w:val="TableFigText"/>
              <w:keepNext/>
              <w:jc w:val="right"/>
              <w:rPr>
                <w:rFonts w:asciiTheme="minorHAnsi" w:hAnsiTheme="minorHAnsi" w:cstheme="minorHAnsi"/>
                <w:b/>
                <w:szCs w:val="22"/>
              </w:rPr>
            </w:pPr>
            <w:r w:rsidRPr="001B1E83">
              <w:rPr>
                <w:rFonts w:asciiTheme="minorHAnsi" w:hAnsiTheme="minorHAnsi" w:cstheme="minorHAnsi"/>
                <w:b/>
                <w:szCs w:val="22"/>
              </w:rPr>
              <w:t>Very remote</w:t>
            </w:r>
          </w:p>
        </w:tc>
        <w:tc>
          <w:tcPr>
            <w:tcW w:w="1062" w:type="dxa"/>
          </w:tcPr>
          <w:p w:rsidR="002265C7" w:rsidRPr="001B1E83" w:rsidRDefault="002265C7" w:rsidP="002265C7">
            <w:pPr>
              <w:pStyle w:val="TableFigText"/>
              <w:keepNext/>
              <w:jc w:val="right"/>
              <w:rPr>
                <w:rFonts w:asciiTheme="minorHAnsi" w:hAnsiTheme="minorHAnsi" w:cstheme="minorHAnsi"/>
                <w:b/>
                <w:szCs w:val="22"/>
              </w:rPr>
            </w:pPr>
            <w:r w:rsidRPr="001B1E83">
              <w:rPr>
                <w:rFonts w:asciiTheme="minorHAnsi" w:hAnsiTheme="minorHAnsi" w:cstheme="minorHAnsi"/>
                <w:b/>
                <w:szCs w:val="22"/>
              </w:rPr>
              <w:t>Total</w:t>
            </w:r>
            <w:r w:rsidRPr="001B1E83">
              <w:rPr>
                <w:rFonts w:asciiTheme="minorHAnsi" w:hAnsiTheme="minorHAnsi" w:cstheme="minorHAnsi"/>
                <w:b/>
                <w:szCs w:val="22"/>
                <w:vertAlign w:val="superscript"/>
              </w:rPr>
              <w:t>(a)</w:t>
            </w:r>
          </w:p>
        </w:tc>
      </w:tr>
      <w:tr w:rsidR="002265C7" w:rsidRPr="001B1E83" w:rsidTr="002265C7">
        <w:tc>
          <w:tcPr>
            <w:tcW w:w="2399" w:type="dxa"/>
          </w:tcPr>
          <w:p w:rsidR="002265C7" w:rsidRPr="001B1E83" w:rsidRDefault="002265C7" w:rsidP="002265C7">
            <w:pPr>
              <w:pStyle w:val="TableFigText"/>
              <w:keepNext/>
              <w:rPr>
                <w:rFonts w:asciiTheme="minorHAnsi" w:hAnsiTheme="minorHAnsi" w:cstheme="minorHAnsi"/>
                <w:szCs w:val="22"/>
              </w:rPr>
            </w:pPr>
            <w:r w:rsidRPr="001B1E83">
              <w:rPr>
                <w:rFonts w:asciiTheme="minorHAnsi" w:hAnsiTheme="minorHAnsi" w:cstheme="minorHAnsi"/>
                <w:szCs w:val="22"/>
              </w:rPr>
              <w:t>Consultant psychiatrists and psychiatrists</w:t>
            </w:r>
          </w:p>
        </w:tc>
        <w:tc>
          <w:tcPr>
            <w:tcW w:w="1157" w:type="dxa"/>
            <w:vAlign w:val="bottom"/>
          </w:tcPr>
          <w:p w:rsidR="002265C7" w:rsidRPr="001B1E83" w:rsidRDefault="002265C7" w:rsidP="00D27F8A">
            <w:pPr>
              <w:pStyle w:val="TableFigText"/>
              <w:jc w:val="right"/>
            </w:pPr>
            <w:r w:rsidRPr="001B1E83">
              <w:t>327.3</w:t>
            </w:r>
          </w:p>
        </w:tc>
        <w:tc>
          <w:tcPr>
            <w:tcW w:w="1354" w:type="dxa"/>
            <w:vAlign w:val="bottom"/>
          </w:tcPr>
          <w:p w:rsidR="002265C7" w:rsidRPr="001B1E83" w:rsidRDefault="002265C7" w:rsidP="00D27F8A">
            <w:pPr>
              <w:pStyle w:val="TableFigText"/>
              <w:jc w:val="right"/>
            </w:pPr>
            <w:r w:rsidRPr="001B1E83">
              <w:t>86.0</w:t>
            </w:r>
          </w:p>
        </w:tc>
        <w:tc>
          <w:tcPr>
            <w:tcW w:w="1223" w:type="dxa"/>
            <w:vAlign w:val="bottom"/>
          </w:tcPr>
          <w:p w:rsidR="002265C7" w:rsidRPr="001B1E83" w:rsidRDefault="002265C7" w:rsidP="00D27F8A">
            <w:pPr>
              <w:pStyle w:val="TableFigText"/>
              <w:jc w:val="right"/>
            </w:pPr>
            <w:r w:rsidRPr="001B1E83">
              <w:t>19.0</w:t>
            </w:r>
          </w:p>
        </w:tc>
        <w:tc>
          <w:tcPr>
            <w:tcW w:w="1022" w:type="dxa"/>
            <w:vAlign w:val="bottom"/>
          </w:tcPr>
          <w:p w:rsidR="002265C7" w:rsidRPr="001B1E83" w:rsidRDefault="002265C7" w:rsidP="00D27F8A">
            <w:pPr>
              <w:pStyle w:val="TableFigText"/>
              <w:jc w:val="right"/>
            </w:pPr>
            <w:r w:rsidRPr="001B1E83">
              <w:t>2.5</w:t>
            </w:r>
          </w:p>
        </w:tc>
        <w:tc>
          <w:tcPr>
            <w:tcW w:w="1069" w:type="dxa"/>
            <w:vAlign w:val="bottom"/>
          </w:tcPr>
          <w:p w:rsidR="002265C7" w:rsidRPr="001B1E83" w:rsidRDefault="002265C7" w:rsidP="00D27F8A">
            <w:pPr>
              <w:pStyle w:val="TableFigText"/>
              <w:jc w:val="right"/>
            </w:pPr>
            <w:r w:rsidRPr="001B1E83">
              <w:t>1.0</w:t>
            </w:r>
          </w:p>
        </w:tc>
        <w:tc>
          <w:tcPr>
            <w:tcW w:w="1062" w:type="dxa"/>
            <w:vAlign w:val="bottom"/>
          </w:tcPr>
          <w:p w:rsidR="002265C7" w:rsidRPr="001B1E83" w:rsidRDefault="002265C7" w:rsidP="00D27F8A">
            <w:pPr>
              <w:pStyle w:val="TableFigText"/>
              <w:jc w:val="right"/>
            </w:pPr>
            <w:r w:rsidRPr="001B1E83">
              <w:t>435.9</w:t>
            </w:r>
          </w:p>
        </w:tc>
      </w:tr>
      <w:tr w:rsidR="002265C7" w:rsidRPr="001B1E83" w:rsidTr="002265C7">
        <w:tc>
          <w:tcPr>
            <w:tcW w:w="2399" w:type="dxa"/>
          </w:tcPr>
          <w:p w:rsidR="002265C7" w:rsidRPr="001B1E83" w:rsidRDefault="002265C7" w:rsidP="002265C7">
            <w:pPr>
              <w:pStyle w:val="TableFigText"/>
              <w:keepNext/>
              <w:rPr>
                <w:rFonts w:asciiTheme="minorHAnsi" w:hAnsiTheme="minorHAnsi" w:cstheme="minorHAnsi"/>
                <w:szCs w:val="22"/>
              </w:rPr>
            </w:pPr>
            <w:r w:rsidRPr="001B1E83">
              <w:rPr>
                <w:rFonts w:asciiTheme="minorHAnsi" w:hAnsiTheme="minorHAnsi" w:cstheme="minorHAnsi"/>
                <w:szCs w:val="22"/>
              </w:rPr>
              <w:t>Psychiatry registrars and trainees</w:t>
            </w:r>
          </w:p>
        </w:tc>
        <w:tc>
          <w:tcPr>
            <w:tcW w:w="1157" w:type="dxa"/>
            <w:vAlign w:val="bottom"/>
          </w:tcPr>
          <w:p w:rsidR="002265C7" w:rsidRPr="001B1E83" w:rsidRDefault="002265C7" w:rsidP="00D27F8A">
            <w:pPr>
              <w:pStyle w:val="TableFigText"/>
              <w:jc w:val="right"/>
            </w:pPr>
            <w:r w:rsidRPr="001B1E83">
              <w:t>387.7</w:t>
            </w:r>
          </w:p>
        </w:tc>
        <w:tc>
          <w:tcPr>
            <w:tcW w:w="1354" w:type="dxa"/>
            <w:vAlign w:val="bottom"/>
          </w:tcPr>
          <w:p w:rsidR="002265C7" w:rsidRPr="001B1E83" w:rsidRDefault="002265C7" w:rsidP="00D27F8A">
            <w:pPr>
              <w:pStyle w:val="TableFigText"/>
              <w:jc w:val="right"/>
            </w:pPr>
            <w:r w:rsidRPr="001B1E83">
              <w:t>46.1</w:t>
            </w:r>
          </w:p>
        </w:tc>
        <w:tc>
          <w:tcPr>
            <w:tcW w:w="1223" w:type="dxa"/>
            <w:vAlign w:val="bottom"/>
          </w:tcPr>
          <w:p w:rsidR="002265C7" w:rsidRPr="001B1E83" w:rsidRDefault="002265C7" w:rsidP="00D27F8A">
            <w:pPr>
              <w:pStyle w:val="TableFigText"/>
              <w:jc w:val="right"/>
            </w:pPr>
            <w:r w:rsidRPr="001B1E83">
              <w:t>3.2</w:t>
            </w:r>
          </w:p>
        </w:tc>
        <w:tc>
          <w:tcPr>
            <w:tcW w:w="1022" w:type="dxa"/>
            <w:vAlign w:val="bottom"/>
          </w:tcPr>
          <w:p w:rsidR="002265C7" w:rsidRPr="001B1E83" w:rsidRDefault="002265C7" w:rsidP="00D27F8A">
            <w:pPr>
              <w:pStyle w:val="TableFigText"/>
              <w:jc w:val="right"/>
            </w:pPr>
            <w:r w:rsidRPr="001B1E83">
              <w:t>0.2</w:t>
            </w:r>
          </w:p>
        </w:tc>
        <w:tc>
          <w:tcPr>
            <w:tcW w:w="1069" w:type="dxa"/>
            <w:vAlign w:val="bottom"/>
          </w:tcPr>
          <w:p w:rsidR="002265C7" w:rsidRPr="001B1E83" w:rsidRDefault="002265C7" w:rsidP="00D27F8A">
            <w:pPr>
              <w:pStyle w:val="TableFigText"/>
              <w:jc w:val="right"/>
            </w:pPr>
            <w:r w:rsidRPr="001B1E83">
              <w:t>0.0</w:t>
            </w:r>
          </w:p>
        </w:tc>
        <w:tc>
          <w:tcPr>
            <w:tcW w:w="1062" w:type="dxa"/>
            <w:vAlign w:val="bottom"/>
          </w:tcPr>
          <w:p w:rsidR="002265C7" w:rsidRPr="001B1E83" w:rsidRDefault="002265C7" w:rsidP="00D27F8A">
            <w:pPr>
              <w:pStyle w:val="TableFigText"/>
              <w:jc w:val="right"/>
            </w:pPr>
            <w:r w:rsidRPr="001B1E83">
              <w:t>437.2</w:t>
            </w:r>
          </w:p>
        </w:tc>
      </w:tr>
      <w:tr w:rsidR="002265C7" w:rsidRPr="001B1E83" w:rsidTr="002265C7">
        <w:tc>
          <w:tcPr>
            <w:tcW w:w="2399" w:type="dxa"/>
          </w:tcPr>
          <w:p w:rsidR="002265C7" w:rsidRPr="001B1E83" w:rsidRDefault="002265C7" w:rsidP="002265C7">
            <w:pPr>
              <w:pStyle w:val="TableFigText"/>
              <w:keepNext/>
              <w:rPr>
                <w:rFonts w:asciiTheme="minorHAnsi" w:hAnsiTheme="minorHAnsi" w:cstheme="minorHAnsi"/>
                <w:szCs w:val="22"/>
              </w:rPr>
            </w:pPr>
            <w:r w:rsidRPr="001B1E83">
              <w:rPr>
                <w:rFonts w:asciiTheme="minorHAnsi" w:hAnsiTheme="minorHAnsi" w:cstheme="minorHAnsi"/>
                <w:szCs w:val="22"/>
              </w:rPr>
              <w:t>Other medical officers</w:t>
            </w:r>
          </w:p>
        </w:tc>
        <w:tc>
          <w:tcPr>
            <w:tcW w:w="1157" w:type="dxa"/>
            <w:vAlign w:val="bottom"/>
          </w:tcPr>
          <w:p w:rsidR="002265C7" w:rsidRPr="001B1E83" w:rsidRDefault="002265C7" w:rsidP="00D27F8A">
            <w:pPr>
              <w:pStyle w:val="TableFigText"/>
              <w:jc w:val="right"/>
            </w:pPr>
            <w:r w:rsidRPr="001B1E83">
              <w:t>60.0</w:t>
            </w:r>
          </w:p>
        </w:tc>
        <w:tc>
          <w:tcPr>
            <w:tcW w:w="1354" w:type="dxa"/>
            <w:vAlign w:val="bottom"/>
          </w:tcPr>
          <w:p w:rsidR="002265C7" w:rsidRPr="001B1E83" w:rsidRDefault="002265C7" w:rsidP="00D27F8A">
            <w:pPr>
              <w:pStyle w:val="TableFigText"/>
              <w:jc w:val="right"/>
            </w:pPr>
            <w:r w:rsidRPr="001B1E83">
              <w:t>25.5</w:t>
            </w:r>
          </w:p>
        </w:tc>
        <w:tc>
          <w:tcPr>
            <w:tcW w:w="1223" w:type="dxa"/>
            <w:vAlign w:val="bottom"/>
          </w:tcPr>
          <w:p w:rsidR="002265C7" w:rsidRPr="001B1E83" w:rsidRDefault="002265C7" w:rsidP="00D27F8A">
            <w:pPr>
              <w:pStyle w:val="TableFigText"/>
              <w:jc w:val="right"/>
            </w:pPr>
            <w:r w:rsidRPr="001B1E83">
              <w:t>6.9</w:t>
            </w:r>
          </w:p>
        </w:tc>
        <w:tc>
          <w:tcPr>
            <w:tcW w:w="1022" w:type="dxa"/>
            <w:vAlign w:val="bottom"/>
          </w:tcPr>
          <w:p w:rsidR="002265C7" w:rsidRPr="001B1E83" w:rsidRDefault="002265C7" w:rsidP="00D27F8A">
            <w:pPr>
              <w:pStyle w:val="TableFigText"/>
              <w:jc w:val="right"/>
            </w:pPr>
            <w:r w:rsidRPr="001B1E83">
              <w:t>0.3</w:t>
            </w:r>
          </w:p>
        </w:tc>
        <w:tc>
          <w:tcPr>
            <w:tcW w:w="1069" w:type="dxa"/>
            <w:vAlign w:val="bottom"/>
          </w:tcPr>
          <w:p w:rsidR="002265C7" w:rsidRPr="001B1E83" w:rsidRDefault="002265C7" w:rsidP="00D27F8A">
            <w:pPr>
              <w:pStyle w:val="TableFigText"/>
              <w:jc w:val="right"/>
            </w:pPr>
            <w:r w:rsidRPr="001B1E83">
              <w:t>0.1</w:t>
            </w:r>
          </w:p>
        </w:tc>
        <w:tc>
          <w:tcPr>
            <w:tcW w:w="1062" w:type="dxa"/>
            <w:vAlign w:val="bottom"/>
          </w:tcPr>
          <w:p w:rsidR="002265C7" w:rsidRPr="001B1E83" w:rsidRDefault="002265C7" w:rsidP="00D27F8A">
            <w:pPr>
              <w:pStyle w:val="TableFigText"/>
              <w:jc w:val="right"/>
            </w:pPr>
            <w:r w:rsidRPr="001B1E83">
              <w:t>92.7</w:t>
            </w:r>
          </w:p>
        </w:tc>
      </w:tr>
      <w:tr w:rsidR="002265C7" w:rsidRPr="001B1E83" w:rsidTr="002265C7">
        <w:tc>
          <w:tcPr>
            <w:tcW w:w="2399" w:type="dxa"/>
          </w:tcPr>
          <w:p w:rsidR="002265C7" w:rsidRPr="001B1E83" w:rsidRDefault="002265C7" w:rsidP="002265C7">
            <w:pPr>
              <w:pStyle w:val="TableFigText"/>
              <w:keepNext/>
              <w:rPr>
                <w:rFonts w:asciiTheme="minorHAnsi" w:hAnsiTheme="minorHAnsi" w:cstheme="minorHAnsi"/>
                <w:szCs w:val="22"/>
              </w:rPr>
            </w:pPr>
            <w:r w:rsidRPr="001B1E83">
              <w:rPr>
                <w:rFonts w:asciiTheme="minorHAnsi" w:hAnsiTheme="minorHAnsi" w:cstheme="minorHAnsi"/>
                <w:szCs w:val="22"/>
              </w:rPr>
              <w:t>Psychologists</w:t>
            </w:r>
          </w:p>
        </w:tc>
        <w:tc>
          <w:tcPr>
            <w:tcW w:w="1157" w:type="dxa"/>
            <w:vAlign w:val="bottom"/>
          </w:tcPr>
          <w:p w:rsidR="002265C7" w:rsidRPr="001B1E83" w:rsidRDefault="002265C7" w:rsidP="00D27F8A">
            <w:pPr>
              <w:pStyle w:val="TableFigText"/>
              <w:jc w:val="right"/>
            </w:pPr>
            <w:r w:rsidRPr="001B1E83">
              <w:t>511.1</w:t>
            </w:r>
          </w:p>
        </w:tc>
        <w:tc>
          <w:tcPr>
            <w:tcW w:w="1354" w:type="dxa"/>
            <w:vAlign w:val="bottom"/>
          </w:tcPr>
          <w:p w:rsidR="002265C7" w:rsidRPr="001B1E83" w:rsidRDefault="002265C7" w:rsidP="00D27F8A">
            <w:pPr>
              <w:pStyle w:val="TableFigText"/>
              <w:jc w:val="right"/>
            </w:pPr>
            <w:r w:rsidRPr="001B1E83">
              <w:t>98.2</w:t>
            </w:r>
          </w:p>
        </w:tc>
        <w:tc>
          <w:tcPr>
            <w:tcW w:w="1223" w:type="dxa"/>
            <w:vAlign w:val="bottom"/>
          </w:tcPr>
          <w:p w:rsidR="002265C7" w:rsidRPr="001B1E83" w:rsidRDefault="002265C7" w:rsidP="00D27F8A">
            <w:pPr>
              <w:pStyle w:val="TableFigText"/>
              <w:jc w:val="right"/>
            </w:pPr>
            <w:r w:rsidRPr="001B1E83">
              <w:t>19.0</w:t>
            </w:r>
          </w:p>
        </w:tc>
        <w:tc>
          <w:tcPr>
            <w:tcW w:w="1022" w:type="dxa"/>
            <w:vAlign w:val="bottom"/>
          </w:tcPr>
          <w:p w:rsidR="002265C7" w:rsidRPr="001B1E83" w:rsidRDefault="002265C7" w:rsidP="00D27F8A">
            <w:pPr>
              <w:pStyle w:val="TableFigText"/>
              <w:jc w:val="right"/>
            </w:pPr>
            <w:r w:rsidRPr="001B1E83">
              <w:t>1.9</w:t>
            </w:r>
          </w:p>
        </w:tc>
        <w:tc>
          <w:tcPr>
            <w:tcW w:w="1069" w:type="dxa"/>
            <w:vAlign w:val="bottom"/>
          </w:tcPr>
          <w:p w:rsidR="002265C7" w:rsidRPr="001B1E83" w:rsidRDefault="002265C7" w:rsidP="00D27F8A">
            <w:pPr>
              <w:pStyle w:val="TableFigText"/>
              <w:jc w:val="right"/>
            </w:pPr>
            <w:r w:rsidRPr="001B1E83">
              <w:t>0.6</w:t>
            </w:r>
          </w:p>
        </w:tc>
        <w:tc>
          <w:tcPr>
            <w:tcW w:w="1062" w:type="dxa"/>
            <w:vAlign w:val="bottom"/>
          </w:tcPr>
          <w:p w:rsidR="002265C7" w:rsidRPr="001B1E83" w:rsidRDefault="002265C7" w:rsidP="00D27F8A">
            <w:pPr>
              <w:pStyle w:val="TableFigText"/>
              <w:jc w:val="right"/>
            </w:pPr>
            <w:r w:rsidRPr="001B1E83">
              <w:t>630.8</w:t>
            </w:r>
          </w:p>
        </w:tc>
      </w:tr>
      <w:tr w:rsidR="002265C7" w:rsidRPr="001B1E83" w:rsidTr="002265C7">
        <w:tc>
          <w:tcPr>
            <w:tcW w:w="2399" w:type="dxa"/>
          </w:tcPr>
          <w:p w:rsidR="002265C7" w:rsidRPr="001B1E83" w:rsidRDefault="002265C7" w:rsidP="002265C7">
            <w:pPr>
              <w:pStyle w:val="TableFigText"/>
              <w:keepNext/>
              <w:rPr>
                <w:rFonts w:asciiTheme="minorHAnsi" w:hAnsiTheme="minorHAnsi" w:cstheme="minorHAnsi"/>
                <w:szCs w:val="22"/>
              </w:rPr>
            </w:pPr>
            <w:r w:rsidRPr="001B1E83">
              <w:rPr>
                <w:rFonts w:asciiTheme="minorHAnsi" w:hAnsiTheme="minorHAnsi" w:cstheme="minorHAnsi"/>
                <w:szCs w:val="22"/>
              </w:rPr>
              <w:t>Diagnostic and health professionals</w:t>
            </w:r>
            <w:r w:rsidRPr="001B1E83">
              <w:rPr>
                <w:rFonts w:asciiTheme="minorHAnsi" w:hAnsiTheme="minorHAnsi" w:cstheme="minorHAnsi"/>
                <w:szCs w:val="22"/>
                <w:vertAlign w:val="superscript"/>
              </w:rPr>
              <w:t>(b)</w:t>
            </w:r>
          </w:p>
        </w:tc>
        <w:tc>
          <w:tcPr>
            <w:tcW w:w="1157" w:type="dxa"/>
            <w:vAlign w:val="bottom"/>
          </w:tcPr>
          <w:p w:rsidR="002265C7" w:rsidRPr="001B1E83" w:rsidRDefault="002265C7" w:rsidP="00D27F8A">
            <w:pPr>
              <w:pStyle w:val="TableFigText"/>
              <w:jc w:val="right"/>
            </w:pPr>
            <w:r w:rsidRPr="001B1E83">
              <w:t>838.3</w:t>
            </w:r>
          </w:p>
        </w:tc>
        <w:tc>
          <w:tcPr>
            <w:tcW w:w="1354" w:type="dxa"/>
            <w:vAlign w:val="bottom"/>
          </w:tcPr>
          <w:p w:rsidR="002265C7" w:rsidRPr="001B1E83" w:rsidRDefault="002265C7" w:rsidP="00D27F8A">
            <w:pPr>
              <w:pStyle w:val="TableFigText"/>
              <w:jc w:val="right"/>
            </w:pPr>
            <w:r w:rsidRPr="001B1E83">
              <w:t>216.2</w:t>
            </w:r>
          </w:p>
        </w:tc>
        <w:tc>
          <w:tcPr>
            <w:tcW w:w="1223" w:type="dxa"/>
            <w:vAlign w:val="bottom"/>
          </w:tcPr>
          <w:p w:rsidR="002265C7" w:rsidRPr="001B1E83" w:rsidRDefault="002265C7" w:rsidP="00D27F8A">
            <w:pPr>
              <w:pStyle w:val="TableFigText"/>
              <w:jc w:val="right"/>
            </w:pPr>
            <w:r w:rsidRPr="001B1E83">
              <w:t>55.8</w:t>
            </w:r>
          </w:p>
        </w:tc>
        <w:tc>
          <w:tcPr>
            <w:tcW w:w="1022" w:type="dxa"/>
            <w:vAlign w:val="bottom"/>
          </w:tcPr>
          <w:p w:rsidR="002265C7" w:rsidRPr="001B1E83" w:rsidRDefault="002265C7" w:rsidP="00D27F8A">
            <w:pPr>
              <w:pStyle w:val="TableFigText"/>
              <w:jc w:val="right"/>
            </w:pPr>
            <w:r w:rsidRPr="001B1E83">
              <w:t>5.8</w:t>
            </w:r>
          </w:p>
        </w:tc>
        <w:tc>
          <w:tcPr>
            <w:tcW w:w="1069" w:type="dxa"/>
            <w:vAlign w:val="bottom"/>
          </w:tcPr>
          <w:p w:rsidR="002265C7" w:rsidRPr="001B1E83" w:rsidRDefault="002265C7" w:rsidP="00D27F8A">
            <w:pPr>
              <w:pStyle w:val="TableFigText"/>
              <w:jc w:val="right"/>
            </w:pPr>
            <w:r w:rsidRPr="001B1E83">
              <w:t>2.5</w:t>
            </w:r>
          </w:p>
        </w:tc>
        <w:tc>
          <w:tcPr>
            <w:tcW w:w="1062" w:type="dxa"/>
            <w:vAlign w:val="bottom"/>
          </w:tcPr>
          <w:p w:rsidR="002265C7" w:rsidRPr="001B1E83" w:rsidRDefault="002265C7" w:rsidP="00D27F8A">
            <w:pPr>
              <w:pStyle w:val="TableFigText"/>
              <w:jc w:val="right"/>
            </w:pPr>
            <w:r w:rsidRPr="001B1E83">
              <w:t>1,118.6</w:t>
            </w:r>
          </w:p>
        </w:tc>
      </w:tr>
      <w:tr w:rsidR="002265C7" w:rsidRPr="001B1E83" w:rsidTr="002265C7">
        <w:tc>
          <w:tcPr>
            <w:tcW w:w="2399" w:type="dxa"/>
          </w:tcPr>
          <w:p w:rsidR="002265C7" w:rsidRPr="001B1E83" w:rsidRDefault="002265C7" w:rsidP="002265C7">
            <w:pPr>
              <w:pStyle w:val="TableFigText"/>
              <w:keepNext/>
              <w:rPr>
                <w:rFonts w:asciiTheme="minorHAnsi" w:hAnsiTheme="minorHAnsi" w:cstheme="minorHAnsi"/>
                <w:szCs w:val="22"/>
              </w:rPr>
            </w:pPr>
            <w:r w:rsidRPr="001B1E83">
              <w:rPr>
                <w:rFonts w:asciiTheme="minorHAnsi" w:hAnsiTheme="minorHAnsi" w:cstheme="minorHAnsi"/>
                <w:szCs w:val="22"/>
              </w:rPr>
              <w:t>Nurses</w:t>
            </w:r>
            <w:r w:rsidRPr="001B1E83">
              <w:rPr>
                <w:rFonts w:asciiTheme="minorHAnsi" w:hAnsiTheme="minorHAnsi" w:cstheme="minorHAnsi"/>
                <w:szCs w:val="22"/>
                <w:vertAlign w:val="superscript"/>
              </w:rPr>
              <w:t>(c)</w:t>
            </w:r>
          </w:p>
        </w:tc>
        <w:tc>
          <w:tcPr>
            <w:tcW w:w="1157" w:type="dxa"/>
            <w:vAlign w:val="bottom"/>
          </w:tcPr>
          <w:p w:rsidR="002265C7" w:rsidRPr="001B1E83" w:rsidRDefault="002265C7" w:rsidP="00D27F8A">
            <w:pPr>
              <w:pStyle w:val="TableFigText"/>
              <w:jc w:val="right"/>
            </w:pPr>
            <w:r w:rsidRPr="001B1E83">
              <w:t>3,825.6</w:t>
            </w:r>
          </w:p>
        </w:tc>
        <w:tc>
          <w:tcPr>
            <w:tcW w:w="1354" w:type="dxa"/>
            <w:vAlign w:val="bottom"/>
          </w:tcPr>
          <w:p w:rsidR="002265C7" w:rsidRPr="001B1E83" w:rsidRDefault="002265C7" w:rsidP="00D27F8A">
            <w:pPr>
              <w:pStyle w:val="TableFigText"/>
              <w:jc w:val="right"/>
            </w:pPr>
            <w:r w:rsidRPr="001B1E83">
              <w:t>1,092.8</w:t>
            </w:r>
          </w:p>
        </w:tc>
        <w:tc>
          <w:tcPr>
            <w:tcW w:w="1223" w:type="dxa"/>
            <w:vAlign w:val="bottom"/>
          </w:tcPr>
          <w:p w:rsidR="002265C7" w:rsidRPr="001B1E83" w:rsidRDefault="002265C7" w:rsidP="00D27F8A">
            <w:pPr>
              <w:pStyle w:val="TableFigText"/>
              <w:jc w:val="right"/>
            </w:pPr>
            <w:r w:rsidRPr="001B1E83">
              <w:t>182.9</w:t>
            </w:r>
          </w:p>
        </w:tc>
        <w:tc>
          <w:tcPr>
            <w:tcW w:w="1022" w:type="dxa"/>
            <w:vAlign w:val="bottom"/>
          </w:tcPr>
          <w:p w:rsidR="002265C7" w:rsidRPr="001B1E83" w:rsidRDefault="002265C7" w:rsidP="00D27F8A">
            <w:pPr>
              <w:pStyle w:val="TableFigText"/>
              <w:jc w:val="right"/>
            </w:pPr>
            <w:r w:rsidRPr="001B1E83">
              <w:t>18.5</w:t>
            </w:r>
          </w:p>
        </w:tc>
        <w:tc>
          <w:tcPr>
            <w:tcW w:w="1069" w:type="dxa"/>
            <w:vAlign w:val="bottom"/>
          </w:tcPr>
          <w:p w:rsidR="002265C7" w:rsidRPr="001B1E83" w:rsidRDefault="002265C7" w:rsidP="00D27F8A">
            <w:pPr>
              <w:pStyle w:val="TableFigText"/>
              <w:jc w:val="right"/>
            </w:pPr>
            <w:r w:rsidRPr="001B1E83">
              <w:t>7.1</w:t>
            </w:r>
          </w:p>
        </w:tc>
        <w:tc>
          <w:tcPr>
            <w:tcW w:w="1062" w:type="dxa"/>
            <w:vAlign w:val="bottom"/>
          </w:tcPr>
          <w:p w:rsidR="002265C7" w:rsidRPr="001B1E83" w:rsidRDefault="002265C7" w:rsidP="00D27F8A">
            <w:pPr>
              <w:pStyle w:val="TableFigText"/>
              <w:jc w:val="right"/>
            </w:pPr>
            <w:r w:rsidRPr="001B1E83">
              <w:t>5,126.9</w:t>
            </w:r>
          </w:p>
        </w:tc>
      </w:tr>
      <w:tr w:rsidR="002265C7" w:rsidRPr="001B1E83" w:rsidTr="002265C7">
        <w:tc>
          <w:tcPr>
            <w:tcW w:w="2399" w:type="dxa"/>
          </w:tcPr>
          <w:p w:rsidR="002265C7" w:rsidRPr="001B1E83" w:rsidRDefault="002265C7" w:rsidP="002265C7">
            <w:pPr>
              <w:pStyle w:val="TableFigText"/>
              <w:keepNext/>
              <w:rPr>
                <w:rFonts w:asciiTheme="minorHAnsi" w:hAnsiTheme="minorHAnsi" w:cstheme="minorHAnsi"/>
                <w:szCs w:val="22"/>
              </w:rPr>
            </w:pPr>
            <w:r w:rsidRPr="001B1E83">
              <w:rPr>
                <w:rFonts w:asciiTheme="minorHAnsi" w:hAnsiTheme="minorHAnsi" w:cstheme="minorHAnsi"/>
                <w:szCs w:val="22"/>
              </w:rPr>
              <w:t>Carer workers</w:t>
            </w:r>
            <w:r w:rsidRPr="001B1E83">
              <w:rPr>
                <w:rFonts w:asciiTheme="minorHAnsi" w:hAnsiTheme="minorHAnsi" w:cstheme="minorHAnsi"/>
                <w:szCs w:val="22"/>
                <w:vertAlign w:val="superscript"/>
              </w:rPr>
              <w:t>(d)</w:t>
            </w:r>
          </w:p>
        </w:tc>
        <w:tc>
          <w:tcPr>
            <w:tcW w:w="1157" w:type="dxa"/>
            <w:vAlign w:val="bottom"/>
          </w:tcPr>
          <w:p w:rsidR="002265C7" w:rsidRPr="001B1E83" w:rsidRDefault="002265C7" w:rsidP="00D27F8A">
            <w:pPr>
              <w:pStyle w:val="TableFigText"/>
              <w:jc w:val="right"/>
            </w:pPr>
            <w:r w:rsidRPr="001B1E83">
              <w:t>11.4</w:t>
            </w:r>
          </w:p>
        </w:tc>
        <w:tc>
          <w:tcPr>
            <w:tcW w:w="1354" w:type="dxa"/>
            <w:vAlign w:val="bottom"/>
          </w:tcPr>
          <w:p w:rsidR="002265C7" w:rsidRPr="001B1E83" w:rsidRDefault="002265C7" w:rsidP="00D27F8A">
            <w:pPr>
              <w:pStyle w:val="TableFigText"/>
              <w:jc w:val="right"/>
            </w:pPr>
            <w:r w:rsidRPr="001B1E83">
              <w:t>2.8</w:t>
            </w:r>
          </w:p>
        </w:tc>
        <w:tc>
          <w:tcPr>
            <w:tcW w:w="1223" w:type="dxa"/>
            <w:vAlign w:val="bottom"/>
          </w:tcPr>
          <w:p w:rsidR="002265C7" w:rsidRPr="001B1E83" w:rsidRDefault="002265C7" w:rsidP="00D27F8A">
            <w:pPr>
              <w:pStyle w:val="TableFigText"/>
              <w:jc w:val="right"/>
            </w:pPr>
            <w:r w:rsidRPr="001B1E83">
              <w:t>1.5</w:t>
            </w:r>
          </w:p>
        </w:tc>
        <w:tc>
          <w:tcPr>
            <w:tcW w:w="1022" w:type="dxa"/>
            <w:vAlign w:val="bottom"/>
          </w:tcPr>
          <w:p w:rsidR="002265C7" w:rsidRPr="001B1E83" w:rsidRDefault="002265C7" w:rsidP="00D27F8A">
            <w:pPr>
              <w:pStyle w:val="TableFigText"/>
              <w:jc w:val="right"/>
            </w:pPr>
            <w:r w:rsidRPr="001B1E83">
              <w:t>0.2</w:t>
            </w:r>
          </w:p>
        </w:tc>
        <w:tc>
          <w:tcPr>
            <w:tcW w:w="1069" w:type="dxa"/>
            <w:vAlign w:val="bottom"/>
          </w:tcPr>
          <w:p w:rsidR="002265C7" w:rsidRPr="001B1E83" w:rsidRDefault="002265C7" w:rsidP="00D27F8A">
            <w:pPr>
              <w:pStyle w:val="TableFigText"/>
              <w:jc w:val="right"/>
            </w:pPr>
            <w:r w:rsidRPr="001B1E83">
              <w:t>0.1</w:t>
            </w:r>
          </w:p>
        </w:tc>
        <w:tc>
          <w:tcPr>
            <w:tcW w:w="1062" w:type="dxa"/>
            <w:vAlign w:val="bottom"/>
          </w:tcPr>
          <w:p w:rsidR="002265C7" w:rsidRPr="001B1E83" w:rsidRDefault="002265C7" w:rsidP="00D27F8A">
            <w:pPr>
              <w:pStyle w:val="TableFigText"/>
              <w:jc w:val="right"/>
            </w:pPr>
            <w:r w:rsidRPr="001B1E83">
              <w:t>15.9</w:t>
            </w:r>
          </w:p>
        </w:tc>
      </w:tr>
      <w:tr w:rsidR="002265C7" w:rsidRPr="001B1E83" w:rsidTr="002265C7">
        <w:tc>
          <w:tcPr>
            <w:tcW w:w="2399" w:type="dxa"/>
          </w:tcPr>
          <w:p w:rsidR="002265C7" w:rsidRPr="001B1E83" w:rsidRDefault="002265C7" w:rsidP="002265C7">
            <w:pPr>
              <w:pStyle w:val="TableFigText"/>
              <w:keepNext/>
              <w:rPr>
                <w:rFonts w:asciiTheme="minorHAnsi" w:hAnsiTheme="minorHAnsi" w:cstheme="minorHAnsi"/>
                <w:szCs w:val="22"/>
              </w:rPr>
            </w:pPr>
            <w:r w:rsidRPr="001B1E83">
              <w:rPr>
                <w:rFonts w:asciiTheme="minorHAnsi" w:hAnsiTheme="minorHAnsi" w:cstheme="minorHAnsi"/>
                <w:szCs w:val="22"/>
              </w:rPr>
              <w:t>Consumer workers</w:t>
            </w:r>
            <w:r w:rsidRPr="001B1E83">
              <w:rPr>
                <w:rFonts w:asciiTheme="minorHAnsi" w:hAnsiTheme="minorHAnsi" w:cstheme="minorHAnsi"/>
                <w:szCs w:val="22"/>
                <w:vertAlign w:val="superscript"/>
              </w:rPr>
              <w:t>(d)</w:t>
            </w:r>
          </w:p>
        </w:tc>
        <w:tc>
          <w:tcPr>
            <w:tcW w:w="1157" w:type="dxa"/>
            <w:vAlign w:val="bottom"/>
          </w:tcPr>
          <w:p w:rsidR="002265C7" w:rsidRPr="001B1E83" w:rsidRDefault="002265C7" w:rsidP="00D27F8A">
            <w:pPr>
              <w:pStyle w:val="TableFigText"/>
              <w:jc w:val="right"/>
            </w:pPr>
            <w:r w:rsidRPr="001B1E83">
              <w:t>17.0</w:t>
            </w:r>
          </w:p>
        </w:tc>
        <w:tc>
          <w:tcPr>
            <w:tcW w:w="1354" w:type="dxa"/>
            <w:vAlign w:val="bottom"/>
          </w:tcPr>
          <w:p w:rsidR="002265C7" w:rsidRPr="001B1E83" w:rsidRDefault="002265C7" w:rsidP="00D27F8A">
            <w:pPr>
              <w:pStyle w:val="TableFigText"/>
              <w:jc w:val="right"/>
            </w:pPr>
            <w:r w:rsidRPr="001B1E83">
              <w:t>5.4</w:t>
            </w:r>
          </w:p>
        </w:tc>
        <w:tc>
          <w:tcPr>
            <w:tcW w:w="1223" w:type="dxa"/>
            <w:vAlign w:val="bottom"/>
          </w:tcPr>
          <w:p w:rsidR="002265C7" w:rsidRPr="001B1E83" w:rsidRDefault="002265C7" w:rsidP="00D27F8A">
            <w:pPr>
              <w:pStyle w:val="TableFigText"/>
              <w:jc w:val="right"/>
            </w:pPr>
            <w:r w:rsidRPr="001B1E83">
              <w:t>1.4</w:t>
            </w:r>
          </w:p>
        </w:tc>
        <w:tc>
          <w:tcPr>
            <w:tcW w:w="1022" w:type="dxa"/>
            <w:vAlign w:val="bottom"/>
          </w:tcPr>
          <w:p w:rsidR="002265C7" w:rsidRPr="001B1E83" w:rsidRDefault="002265C7" w:rsidP="00D27F8A">
            <w:pPr>
              <w:pStyle w:val="TableFigText"/>
              <w:jc w:val="right"/>
            </w:pPr>
            <w:r w:rsidRPr="001B1E83">
              <w:t>0.1</w:t>
            </w:r>
          </w:p>
        </w:tc>
        <w:tc>
          <w:tcPr>
            <w:tcW w:w="1069" w:type="dxa"/>
            <w:vAlign w:val="bottom"/>
          </w:tcPr>
          <w:p w:rsidR="002265C7" w:rsidRPr="001B1E83" w:rsidRDefault="002265C7" w:rsidP="00D27F8A">
            <w:pPr>
              <w:pStyle w:val="TableFigText"/>
              <w:jc w:val="right"/>
            </w:pPr>
            <w:r w:rsidRPr="001B1E83">
              <w:t>0.0</w:t>
            </w:r>
          </w:p>
        </w:tc>
        <w:tc>
          <w:tcPr>
            <w:tcW w:w="1062" w:type="dxa"/>
            <w:vAlign w:val="bottom"/>
          </w:tcPr>
          <w:p w:rsidR="002265C7" w:rsidRPr="001B1E83" w:rsidRDefault="002265C7" w:rsidP="00D27F8A">
            <w:pPr>
              <w:pStyle w:val="TableFigText"/>
              <w:jc w:val="right"/>
            </w:pPr>
            <w:r w:rsidRPr="001B1E83">
              <w:t>23.9</w:t>
            </w:r>
          </w:p>
        </w:tc>
      </w:tr>
      <w:tr w:rsidR="002265C7" w:rsidRPr="001B1E83" w:rsidTr="002265C7">
        <w:tc>
          <w:tcPr>
            <w:tcW w:w="2399" w:type="dxa"/>
          </w:tcPr>
          <w:p w:rsidR="002265C7" w:rsidRPr="001B1E83" w:rsidRDefault="002265C7" w:rsidP="002265C7">
            <w:pPr>
              <w:pStyle w:val="TableFigText"/>
              <w:keepNext/>
              <w:rPr>
                <w:rFonts w:asciiTheme="minorHAnsi" w:hAnsiTheme="minorHAnsi" w:cstheme="minorHAnsi"/>
                <w:szCs w:val="22"/>
              </w:rPr>
            </w:pPr>
            <w:r w:rsidRPr="001B1E83">
              <w:rPr>
                <w:rFonts w:asciiTheme="minorHAnsi" w:hAnsiTheme="minorHAnsi" w:cstheme="minorHAnsi"/>
                <w:szCs w:val="22"/>
              </w:rPr>
              <w:t>Other personal care</w:t>
            </w:r>
            <w:r w:rsidRPr="001B1E83">
              <w:rPr>
                <w:rFonts w:asciiTheme="minorHAnsi" w:hAnsiTheme="minorHAnsi" w:cstheme="minorHAnsi"/>
                <w:szCs w:val="22"/>
                <w:vertAlign w:val="superscript"/>
              </w:rPr>
              <w:t>(e)</w:t>
            </w:r>
          </w:p>
        </w:tc>
        <w:tc>
          <w:tcPr>
            <w:tcW w:w="1157" w:type="dxa"/>
            <w:vAlign w:val="bottom"/>
          </w:tcPr>
          <w:p w:rsidR="002265C7" w:rsidRPr="001B1E83" w:rsidRDefault="002265C7" w:rsidP="00D27F8A">
            <w:pPr>
              <w:pStyle w:val="TableFigText"/>
              <w:jc w:val="right"/>
            </w:pPr>
            <w:r w:rsidRPr="001B1E83">
              <w:t>18.2</w:t>
            </w:r>
          </w:p>
        </w:tc>
        <w:tc>
          <w:tcPr>
            <w:tcW w:w="1354" w:type="dxa"/>
            <w:vAlign w:val="bottom"/>
          </w:tcPr>
          <w:p w:rsidR="002265C7" w:rsidRPr="001B1E83" w:rsidRDefault="002265C7" w:rsidP="00D27F8A">
            <w:pPr>
              <w:pStyle w:val="TableFigText"/>
              <w:jc w:val="right"/>
            </w:pPr>
            <w:r w:rsidRPr="001B1E83">
              <w:t>35.1</w:t>
            </w:r>
          </w:p>
        </w:tc>
        <w:tc>
          <w:tcPr>
            <w:tcW w:w="1223" w:type="dxa"/>
            <w:vAlign w:val="bottom"/>
          </w:tcPr>
          <w:p w:rsidR="002265C7" w:rsidRPr="001B1E83" w:rsidRDefault="002265C7" w:rsidP="00D27F8A">
            <w:pPr>
              <w:pStyle w:val="TableFigText"/>
              <w:jc w:val="right"/>
            </w:pPr>
            <w:r w:rsidRPr="001B1E83">
              <w:t>4.7</w:t>
            </w:r>
          </w:p>
        </w:tc>
        <w:tc>
          <w:tcPr>
            <w:tcW w:w="1022" w:type="dxa"/>
            <w:vAlign w:val="bottom"/>
          </w:tcPr>
          <w:p w:rsidR="002265C7" w:rsidRPr="001B1E83" w:rsidRDefault="002265C7" w:rsidP="00D27F8A">
            <w:pPr>
              <w:pStyle w:val="TableFigText"/>
              <w:jc w:val="right"/>
            </w:pPr>
            <w:r w:rsidRPr="001B1E83">
              <w:t>0.1</w:t>
            </w:r>
          </w:p>
        </w:tc>
        <w:tc>
          <w:tcPr>
            <w:tcW w:w="1069" w:type="dxa"/>
            <w:vAlign w:val="bottom"/>
          </w:tcPr>
          <w:p w:rsidR="002265C7" w:rsidRPr="001B1E83" w:rsidRDefault="002265C7" w:rsidP="00D27F8A">
            <w:pPr>
              <w:pStyle w:val="TableFigText"/>
              <w:jc w:val="right"/>
            </w:pPr>
            <w:r w:rsidRPr="001B1E83">
              <w:t>0.0</w:t>
            </w:r>
          </w:p>
        </w:tc>
        <w:tc>
          <w:tcPr>
            <w:tcW w:w="1062" w:type="dxa"/>
            <w:vAlign w:val="bottom"/>
          </w:tcPr>
          <w:p w:rsidR="002265C7" w:rsidRPr="001B1E83" w:rsidRDefault="002265C7" w:rsidP="00D27F8A">
            <w:pPr>
              <w:pStyle w:val="TableFigText"/>
              <w:jc w:val="right"/>
            </w:pPr>
            <w:r w:rsidRPr="001B1E83">
              <w:t>58.1</w:t>
            </w:r>
          </w:p>
        </w:tc>
      </w:tr>
      <w:tr w:rsidR="002265C7" w:rsidRPr="001B1E83" w:rsidTr="002265C7">
        <w:tc>
          <w:tcPr>
            <w:tcW w:w="2399" w:type="dxa"/>
          </w:tcPr>
          <w:p w:rsidR="002265C7" w:rsidRPr="001B1E83" w:rsidRDefault="002265C7" w:rsidP="002265C7">
            <w:pPr>
              <w:pStyle w:val="TableFigText"/>
              <w:keepNext/>
              <w:rPr>
                <w:rFonts w:asciiTheme="minorHAnsi" w:hAnsiTheme="minorHAnsi" w:cstheme="minorHAnsi"/>
                <w:szCs w:val="22"/>
              </w:rPr>
            </w:pPr>
            <w:r w:rsidRPr="001B1E83">
              <w:rPr>
                <w:rFonts w:asciiTheme="minorHAnsi" w:hAnsiTheme="minorHAnsi" w:cstheme="minorHAnsi"/>
                <w:szCs w:val="22"/>
              </w:rPr>
              <w:t>Other staffing categories</w:t>
            </w:r>
            <w:r w:rsidRPr="001B1E83">
              <w:rPr>
                <w:rFonts w:asciiTheme="minorHAnsi" w:hAnsiTheme="minorHAnsi" w:cstheme="minorHAnsi"/>
                <w:szCs w:val="22"/>
                <w:vertAlign w:val="superscript"/>
              </w:rPr>
              <w:t>(f)</w:t>
            </w:r>
          </w:p>
        </w:tc>
        <w:tc>
          <w:tcPr>
            <w:tcW w:w="1157" w:type="dxa"/>
            <w:vAlign w:val="bottom"/>
          </w:tcPr>
          <w:p w:rsidR="002265C7" w:rsidRPr="001B1E83" w:rsidRDefault="002265C7" w:rsidP="00D27F8A">
            <w:pPr>
              <w:pStyle w:val="TableFigText"/>
              <w:jc w:val="right"/>
            </w:pPr>
            <w:r w:rsidRPr="001B1E83">
              <w:t>1,620.6</w:t>
            </w:r>
          </w:p>
        </w:tc>
        <w:tc>
          <w:tcPr>
            <w:tcW w:w="1354" w:type="dxa"/>
            <w:vAlign w:val="bottom"/>
          </w:tcPr>
          <w:p w:rsidR="002265C7" w:rsidRPr="001B1E83" w:rsidRDefault="002265C7" w:rsidP="00D27F8A">
            <w:pPr>
              <w:pStyle w:val="TableFigText"/>
              <w:jc w:val="right"/>
            </w:pPr>
            <w:r w:rsidRPr="001B1E83">
              <w:t>396.0</w:t>
            </w:r>
          </w:p>
        </w:tc>
        <w:tc>
          <w:tcPr>
            <w:tcW w:w="1223" w:type="dxa"/>
            <w:vAlign w:val="bottom"/>
          </w:tcPr>
          <w:p w:rsidR="002265C7" w:rsidRPr="001B1E83" w:rsidRDefault="002265C7" w:rsidP="00D27F8A">
            <w:pPr>
              <w:pStyle w:val="TableFigText"/>
              <w:jc w:val="right"/>
            </w:pPr>
            <w:r w:rsidRPr="001B1E83">
              <w:t>78.8</w:t>
            </w:r>
          </w:p>
        </w:tc>
        <w:tc>
          <w:tcPr>
            <w:tcW w:w="1022" w:type="dxa"/>
            <w:vAlign w:val="bottom"/>
          </w:tcPr>
          <w:p w:rsidR="002265C7" w:rsidRPr="001B1E83" w:rsidRDefault="002265C7" w:rsidP="00D27F8A">
            <w:pPr>
              <w:pStyle w:val="TableFigText"/>
              <w:jc w:val="right"/>
            </w:pPr>
            <w:r w:rsidRPr="001B1E83">
              <w:t>8.3</w:t>
            </w:r>
          </w:p>
        </w:tc>
        <w:tc>
          <w:tcPr>
            <w:tcW w:w="1069" w:type="dxa"/>
            <w:vAlign w:val="bottom"/>
          </w:tcPr>
          <w:p w:rsidR="002265C7" w:rsidRPr="001B1E83" w:rsidRDefault="002265C7" w:rsidP="00D27F8A">
            <w:pPr>
              <w:pStyle w:val="TableFigText"/>
              <w:jc w:val="right"/>
            </w:pPr>
            <w:r w:rsidRPr="001B1E83">
              <w:t>3.0</w:t>
            </w:r>
          </w:p>
        </w:tc>
        <w:tc>
          <w:tcPr>
            <w:tcW w:w="1062" w:type="dxa"/>
            <w:vAlign w:val="bottom"/>
          </w:tcPr>
          <w:p w:rsidR="002265C7" w:rsidRPr="001B1E83" w:rsidRDefault="002265C7" w:rsidP="00D27F8A">
            <w:pPr>
              <w:pStyle w:val="TableFigText"/>
              <w:jc w:val="right"/>
            </w:pPr>
            <w:r w:rsidRPr="001B1E83">
              <w:t>2,106.8</w:t>
            </w:r>
          </w:p>
        </w:tc>
      </w:tr>
      <w:tr w:rsidR="002265C7" w:rsidRPr="001B1E83" w:rsidTr="002265C7">
        <w:tc>
          <w:tcPr>
            <w:tcW w:w="2399" w:type="dxa"/>
          </w:tcPr>
          <w:p w:rsidR="002265C7" w:rsidRPr="001B1E83" w:rsidRDefault="002265C7" w:rsidP="002265C7">
            <w:pPr>
              <w:pStyle w:val="TableFigText"/>
              <w:keepNext/>
              <w:rPr>
                <w:rFonts w:asciiTheme="minorHAnsi" w:hAnsiTheme="minorHAnsi" w:cstheme="minorHAnsi"/>
                <w:b/>
                <w:szCs w:val="22"/>
              </w:rPr>
            </w:pPr>
            <w:r w:rsidRPr="001B1E83">
              <w:rPr>
                <w:rFonts w:asciiTheme="minorHAnsi" w:hAnsiTheme="minorHAnsi" w:cstheme="minorHAnsi"/>
                <w:b/>
                <w:szCs w:val="22"/>
              </w:rPr>
              <w:t>Total</w:t>
            </w:r>
            <w:r w:rsidRPr="001B1E83">
              <w:rPr>
                <w:rFonts w:asciiTheme="minorHAnsi" w:hAnsiTheme="minorHAnsi" w:cstheme="minorHAnsi"/>
                <w:b/>
                <w:szCs w:val="22"/>
                <w:vertAlign w:val="superscript"/>
              </w:rPr>
              <w:t>(a)</w:t>
            </w:r>
          </w:p>
        </w:tc>
        <w:tc>
          <w:tcPr>
            <w:tcW w:w="1157" w:type="dxa"/>
            <w:vAlign w:val="bottom"/>
          </w:tcPr>
          <w:p w:rsidR="002265C7" w:rsidRPr="00D27F8A" w:rsidRDefault="002265C7" w:rsidP="00D27F8A">
            <w:pPr>
              <w:pStyle w:val="TableFigText"/>
              <w:jc w:val="right"/>
              <w:rPr>
                <w:b/>
              </w:rPr>
            </w:pPr>
            <w:r w:rsidRPr="00D27F8A">
              <w:rPr>
                <w:b/>
              </w:rPr>
              <w:t>7,617.1</w:t>
            </w:r>
          </w:p>
        </w:tc>
        <w:tc>
          <w:tcPr>
            <w:tcW w:w="1354" w:type="dxa"/>
            <w:vAlign w:val="bottom"/>
          </w:tcPr>
          <w:p w:rsidR="002265C7" w:rsidRPr="00D27F8A" w:rsidRDefault="002265C7" w:rsidP="00D27F8A">
            <w:pPr>
              <w:pStyle w:val="TableFigText"/>
              <w:jc w:val="right"/>
              <w:rPr>
                <w:b/>
              </w:rPr>
            </w:pPr>
            <w:r w:rsidRPr="00D27F8A">
              <w:rPr>
                <w:b/>
              </w:rPr>
              <w:t>2,004.0</w:t>
            </w:r>
          </w:p>
        </w:tc>
        <w:tc>
          <w:tcPr>
            <w:tcW w:w="1223" w:type="dxa"/>
            <w:vAlign w:val="bottom"/>
          </w:tcPr>
          <w:p w:rsidR="002265C7" w:rsidRPr="00D27F8A" w:rsidRDefault="002265C7" w:rsidP="00D27F8A">
            <w:pPr>
              <w:pStyle w:val="TableFigText"/>
              <w:jc w:val="right"/>
              <w:rPr>
                <w:b/>
              </w:rPr>
            </w:pPr>
            <w:r w:rsidRPr="00D27F8A">
              <w:rPr>
                <w:b/>
              </w:rPr>
              <w:t>373.3</w:t>
            </w:r>
          </w:p>
        </w:tc>
        <w:tc>
          <w:tcPr>
            <w:tcW w:w="1022" w:type="dxa"/>
            <w:vAlign w:val="bottom"/>
          </w:tcPr>
          <w:p w:rsidR="002265C7" w:rsidRPr="00D27F8A" w:rsidRDefault="002265C7" w:rsidP="00D27F8A">
            <w:pPr>
              <w:pStyle w:val="TableFigText"/>
              <w:jc w:val="right"/>
              <w:rPr>
                <w:b/>
              </w:rPr>
            </w:pPr>
            <w:r w:rsidRPr="00D27F8A">
              <w:rPr>
                <w:b/>
              </w:rPr>
              <w:t>37.8</w:t>
            </w:r>
          </w:p>
        </w:tc>
        <w:tc>
          <w:tcPr>
            <w:tcW w:w="1069" w:type="dxa"/>
            <w:vAlign w:val="bottom"/>
          </w:tcPr>
          <w:p w:rsidR="002265C7" w:rsidRPr="00D27F8A" w:rsidRDefault="002265C7" w:rsidP="00D27F8A">
            <w:pPr>
              <w:pStyle w:val="TableFigText"/>
              <w:jc w:val="right"/>
              <w:rPr>
                <w:b/>
              </w:rPr>
            </w:pPr>
            <w:r w:rsidRPr="00D27F8A">
              <w:rPr>
                <w:b/>
              </w:rPr>
              <w:t>14.5</w:t>
            </w:r>
          </w:p>
        </w:tc>
        <w:tc>
          <w:tcPr>
            <w:tcW w:w="1062" w:type="dxa"/>
            <w:vAlign w:val="bottom"/>
          </w:tcPr>
          <w:p w:rsidR="002265C7" w:rsidRPr="00D27F8A" w:rsidRDefault="002265C7" w:rsidP="00D27F8A">
            <w:pPr>
              <w:pStyle w:val="TableFigText"/>
              <w:jc w:val="right"/>
              <w:rPr>
                <w:b/>
              </w:rPr>
            </w:pPr>
            <w:r w:rsidRPr="00D27F8A">
              <w:rPr>
                <w:b/>
              </w:rPr>
              <w:t>10,046.7</w:t>
            </w:r>
          </w:p>
        </w:tc>
      </w:tr>
    </w:tbl>
    <w:p w:rsidR="002265C7" w:rsidRPr="00B27FBD" w:rsidRDefault="002265C7" w:rsidP="00540186">
      <w:pPr>
        <w:pStyle w:val="TableFigNotesnumbered"/>
        <w:numPr>
          <w:ilvl w:val="0"/>
          <w:numId w:val="59"/>
        </w:numPr>
        <w:rPr>
          <w:rStyle w:val="table-note"/>
        </w:rPr>
      </w:pPr>
      <w:r w:rsidRPr="00B27FBD">
        <w:rPr>
          <w:rStyle w:val="table-note"/>
        </w:rPr>
        <w:t>Totals may not add due to rounding.</w:t>
      </w:r>
    </w:p>
    <w:p w:rsidR="002265C7" w:rsidRPr="00B27FBD" w:rsidRDefault="002265C7" w:rsidP="00540186">
      <w:pPr>
        <w:pStyle w:val="TableFigNotesnumbered"/>
        <w:numPr>
          <w:ilvl w:val="0"/>
          <w:numId w:val="59"/>
        </w:numPr>
        <w:rPr>
          <w:rStyle w:val="table-note"/>
        </w:rPr>
      </w:pPr>
      <w:r w:rsidRPr="00B27FBD">
        <w:rPr>
          <w:rStyle w:val="table-note"/>
        </w:rPr>
        <w:t>Diagnostic and health professionals includes qualified staff (other than qualified medical or nursing staff) engaged in duties of a diagnostic, professional or technical nature and covers all allied health professionals and laboratory technicians, including Social Workers, Occupational Therapists and others  (</w:t>
      </w:r>
      <w:proofErr w:type="spellStart"/>
      <w:r w:rsidRPr="00B27FBD">
        <w:rPr>
          <w:rStyle w:val="table-note"/>
        </w:rPr>
        <w:t>METeOR</w:t>
      </w:r>
      <w:proofErr w:type="spellEnd"/>
      <w:r w:rsidRPr="00B27FBD">
        <w:rPr>
          <w:rStyle w:val="table-note"/>
        </w:rPr>
        <w:t xml:space="preserve"> identifier 287611).</w:t>
      </w:r>
    </w:p>
    <w:p w:rsidR="002265C7" w:rsidRPr="00B27FBD" w:rsidRDefault="002265C7" w:rsidP="00540186">
      <w:pPr>
        <w:pStyle w:val="TableFigNotesnumbered"/>
        <w:numPr>
          <w:ilvl w:val="0"/>
          <w:numId w:val="59"/>
        </w:numPr>
        <w:rPr>
          <w:rStyle w:val="table-note"/>
        </w:rPr>
      </w:pPr>
      <w:r w:rsidRPr="00B27FBD">
        <w:rPr>
          <w:rStyle w:val="table-note"/>
        </w:rPr>
        <w:t>Includes registered and enrolled nurses.</w:t>
      </w:r>
    </w:p>
    <w:p w:rsidR="002265C7" w:rsidRPr="00B27FBD" w:rsidRDefault="002265C7" w:rsidP="00540186">
      <w:pPr>
        <w:pStyle w:val="TableFigNotesnumbered"/>
        <w:numPr>
          <w:ilvl w:val="0"/>
          <w:numId w:val="59"/>
        </w:numPr>
        <w:rPr>
          <w:rStyle w:val="table-note"/>
        </w:rPr>
      </w:pPr>
      <w:r w:rsidRPr="00B27FBD">
        <w:rPr>
          <w:rStyle w:val="table-note"/>
        </w:rPr>
        <w:t xml:space="preserve">The definition of these categories was modified from 'consultants' to 'mental health workers' for the 2010–11 collection, in order to capture a variety of contemporary roles. </w:t>
      </w:r>
    </w:p>
    <w:p w:rsidR="002265C7" w:rsidRPr="00B27FBD" w:rsidRDefault="002265C7" w:rsidP="00540186">
      <w:pPr>
        <w:pStyle w:val="TableFigNotesnumbered"/>
        <w:numPr>
          <w:ilvl w:val="0"/>
          <w:numId w:val="59"/>
        </w:numPr>
        <w:rPr>
          <w:rStyle w:val="table-note"/>
        </w:rPr>
      </w:pPr>
      <w:r w:rsidRPr="00B27FBD">
        <w:rPr>
          <w:rStyle w:val="table-note"/>
        </w:rPr>
        <w:t>Other personal care staff includes staff engaged primarily in the provision of personal care to patients or residents, not formally qualified, for example attendants, assistants of home assistance, home companions, family aides, ward helpers, warders, orderlies, ward assistants and nursing assistants (</w:t>
      </w:r>
      <w:proofErr w:type="spellStart"/>
      <w:r w:rsidRPr="00B27FBD">
        <w:rPr>
          <w:rStyle w:val="table-note"/>
        </w:rPr>
        <w:t>METeOR</w:t>
      </w:r>
      <w:proofErr w:type="spellEnd"/>
      <w:r w:rsidRPr="00B27FBD">
        <w:rPr>
          <w:rStyle w:val="table-note"/>
        </w:rPr>
        <w:t xml:space="preserve"> 270171).</w:t>
      </w:r>
    </w:p>
    <w:p w:rsidR="002265C7" w:rsidRPr="00B27FBD" w:rsidRDefault="002265C7" w:rsidP="00540186">
      <w:pPr>
        <w:pStyle w:val="TableFigNotesnumbered"/>
        <w:numPr>
          <w:ilvl w:val="0"/>
          <w:numId w:val="59"/>
        </w:numPr>
        <w:rPr>
          <w:rStyle w:val="table-note"/>
        </w:rPr>
      </w:pPr>
      <w:r w:rsidRPr="00B27FBD">
        <w:rPr>
          <w:rStyle w:val="table-note"/>
        </w:rPr>
        <w:t xml:space="preserve">Other </w:t>
      </w:r>
      <w:proofErr w:type="gramStart"/>
      <w:r w:rsidRPr="00B27FBD">
        <w:rPr>
          <w:rStyle w:val="table-note"/>
        </w:rPr>
        <w:t>staff</w:t>
      </w:r>
      <w:proofErr w:type="gramEnd"/>
      <w:r w:rsidRPr="00B27FBD">
        <w:rPr>
          <w:rStyle w:val="table-note"/>
        </w:rPr>
        <w:t xml:space="preserve"> includes administrative and clerical and domestic and other staff categories. </w:t>
      </w:r>
    </w:p>
    <w:p w:rsidR="002265C7" w:rsidRPr="001B1E83" w:rsidRDefault="002265C7" w:rsidP="002265C7">
      <w:pPr>
        <w:spacing w:before="0" w:after="0" w:line="240" w:lineRule="auto"/>
        <w:rPr>
          <w:rFonts w:asciiTheme="minorHAnsi" w:hAnsiTheme="minorHAnsi" w:cstheme="minorHAnsi"/>
        </w:rPr>
      </w:pPr>
    </w:p>
    <w:p w:rsidR="002265C7" w:rsidRPr="00B27FBD" w:rsidRDefault="002265C7" w:rsidP="002265C7">
      <w:pPr>
        <w:spacing w:before="0" w:after="0" w:line="240" w:lineRule="auto"/>
        <w:rPr>
          <w:rStyle w:val="table-note"/>
          <w:rFonts w:ascii="Arial" w:hAnsi="Arial"/>
          <w:sz w:val="14"/>
          <w:szCs w:val="20"/>
          <w:lang w:eastAsia="en-US"/>
        </w:rPr>
      </w:pPr>
      <w:r w:rsidRPr="00B27FBD">
        <w:rPr>
          <w:rStyle w:val="table-note"/>
          <w:rFonts w:ascii="Arial" w:hAnsi="Arial"/>
          <w:sz w:val="14"/>
          <w:szCs w:val="20"/>
          <w:lang w:eastAsia="en-US"/>
        </w:rPr>
        <w:t>Notes:</w:t>
      </w:r>
      <w:r w:rsidRPr="00B27FBD">
        <w:rPr>
          <w:rStyle w:val="table-note"/>
          <w:rFonts w:ascii="Arial" w:hAnsi="Arial"/>
          <w:sz w:val="14"/>
          <w:szCs w:val="20"/>
          <w:lang w:eastAsia="en-US"/>
        </w:rPr>
        <w:tab/>
      </w:r>
    </w:p>
    <w:p w:rsidR="002265C7" w:rsidRPr="00B27FBD" w:rsidRDefault="002265C7" w:rsidP="00540186">
      <w:pPr>
        <w:pStyle w:val="ListParagraph"/>
        <w:numPr>
          <w:ilvl w:val="0"/>
          <w:numId w:val="60"/>
        </w:numPr>
        <w:spacing w:after="0" w:line="240" w:lineRule="auto"/>
        <w:rPr>
          <w:rStyle w:val="table-note"/>
          <w:rFonts w:ascii="Arial" w:eastAsia="Times New Roman" w:hAnsi="Arial" w:cs="Times New Roman"/>
          <w:sz w:val="14"/>
          <w:szCs w:val="20"/>
          <w:lang w:eastAsia="en-US"/>
        </w:rPr>
      </w:pPr>
      <w:r w:rsidRPr="00B27FBD">
        <w:rPr>
          <w:rStyle w:val="table-note"/>
          <w:rFonts w:ascii="Arial" w:eastAsia="Times New Roman" w:hAnsi="Arial" w:cs="Times New Roman"/>
          <w:sz w:val="14"/>
          <w:szCs w:val="20"/>
          <w:lang w:eastAsia="en-US"/>
        </w:rPr>
        <w:t xml:space="preserve">Includes consumer and carer workers and staff employed at a higher organisational level. Excludes staff employed at regional or state level in mental health policy units of the associated relevant health department or equivalent. </w:t>
      </w:r>
    </w:p>
    <w:p w:rsidR="002265C7" w:rsidRPr="001B1E83" w:rsidRDefault="002265C7" w:rsidP="002265C7">
      <w:pPr>
        <w:rPr>
          <w:rFonts w:asciiTheme="minorHAnsi" w:hAnsiTheme="minorHAnsi"/>
        </w:rPr>
      </w:pPr>
    </w:p>
    <w:p w:rsidR="002265C7" w:rsidRPr="0096114C" w:rsidRDefault="0096114C" w:rsidP="002265C7">
      <w:pPr>
        <w:pStyle w:val="TableCaption"/>
        <w:rPr>
          <w:rStyle w:val="table-note"/>
        </w:rPr>
      </w:pPr>
      <w:r w:rsidRPr="0096114C">
        <w:rPr>
          <w:rStyle w:val="table-note"/>
        </w:rPr>
        <w:lastRenderedPageBreak/>
        <w:t xml:space="preserve">Table 10: </w:t>
      </w:r>
      <w:r w:rsidR="002265C7" w:rsidRPr="0096114C">
        <w:rPr>
          <w:rStyle w:val="table-note"/>
        </w:rPr>
        <w:t xml:space="preserve">NSW: State and territory specialised mental health service activity, by service type, </w:t>
      </w:r>
      <w:r w:rsidR="00B27FBD">
        <w:rPr>
          <w:rStyle w:val="table-note"/>
        </w:rPr>
        <w:br/>
      </w:r>
      <w:r w:rsidR="002265C7" w:rsidRPr="0096114C">
        <w:rPr>
          <w:rStyle w:val="table-note"/>
        </w:rPr>
        <w:t xml:space="preserve">2007–08 </w:t>
      </w:r>
    </w:p>
    <w:tbl>
      <w:tblPr>
        <w:tblStyle w:val="TableGrid"/>
        <w:tblW w:w="0" w:type="auto"/>
        <w:tblLook w:val="04A0" w:firstRow="1" w:lastRow="0" w:firstColumn="1" w:lastColumn="0" w:noHBand="0" w:noVBand="1"/>
        <w:tblCaption w:val="NSW: State and territory specialised mental health service activity, by service type, 2007–08 "/>
        <w:tblDescription w:val="Table showing that, in 2007-08, community mental health care contacts was the highest specialised mental health service activity type recorded across all region types in NSW at 2,242,735, followed by hospital days at 780,737 and residential mental health care days at 74, 166. "/>
      </w:tblPr>
      <w:tblGrid>
        <w:gridCol w:w="2030"/>
        <w:gridCol w:w="1350"/>
        <w:gridCol w:w="1331"/>
        <w:gridCol w:w="1199"/>
        <w:gridCol w:w="1010"/>
        <w:gridCol w:w="1016"/>
        <w:gridCol w:w="1350"/>
      </w:tblGrid>
      <w:tr w:rsidR="002265C7" w:rsidRPr="001B1E83" w:rsidTr="000C3DEA">
        <w:trPr>
          <w:tblHeader/>
        </w:trPr>
        <w:tc>
          <w:tcPr>
            <w:tcW w:w="2119" w:type="dxa"/>
          </w:tcPr>
          <w:p w:rsidR="002265C7" w:rsidRPr="001B1E83" w:rsidRDefault="002265C7" w:rsidP="002265C7">
            <w:pPr>
              <w:pStyle w:val="TableFigText"/>
              <w:keepNext/>
              <w:rPr>
                <w:rFonts w:asciiTheme="minorHAnsi" w:hAnsiTheme="minorHAnsi" w:cstheme="minorHAnsi"/>
                <w:szCs w:val="22"/>
              </w:rPr>
            </w:pPr>
          </w:p>
        </w:tc>
        <w:tc>
          <w:tcPr>
            <w:tcW w:w="1385" w:type="dxa"/>
          </w:tcPr>
          <w:p w:rsidR="002265C7" w:rsidRPr="001B1E83" w:rsidRDefault="002265C7" w:rsidP="002265C7">
            <w:pPr>
              <w:pStyle w:val="TableFigText"/>
              <w:keepNext/>
              <w:jc w:val="right"/>
              <w:rPr>
                <w:rFonts w:asciiTheme="minorHAnsi" w:hAnsiTheme="minorHAnsi" w:cstheme="minorHAnsi"/>
                <w:b/>
                <w:szCs w:val="22"/>
              </w:rPr>
            </w:pPr>
            <w:r w:rsidRPr="001B1E83">
              <w:rPr>
                <w:rFonts w:asciiTheme="minorHAnsi" w:hAnsiTheme="minorHAnsi" w:cstheme="minorHAnsi"/>
                <w:b/>
                <w:szCs w:val="22"/>
              </w:rPr>
              <w:t>Major cities</w:t>
            </w:r>
          </w:p>
        </w:tc>
        <w:tc>
          <w:tcPr>
            <w:tcW w:w="1376" w:type="dxa"/>
          </w:tcPr>
          <w:p w:rsidR="002265C7" w:rsidRPr="001B1E83" w:rsidRDefault="002265C7" w:rsidP="002265C7">
            <w:pPr>
              <w:pStyle w:val="TableFigText"/>
              <w:keepNext/>
              <w:jc w:val="right"/>
              <w:rPr>
                <w:rFonts w:asciiTheme="minorHAnsi" w:hAnsiTheme="minorHAnsi" w:cstheme="minorHAnsi"/>
                <w:b/>
                <w:szCs w:val="22"/>
              </w:rPr>
            </w:pPr>
            <w:r w:rsidRPr="001B1E83">
              <w:rPr>
                <w:rFonts w:asciiTheme="minorHAnsi" w:hAnsiTheme="minorHAnsi" w:cstheme="minorHAnsi"/>
                <w:b/>
                <w:szCs w:val="22"/>
              </w:rPr>
              <w:t>Inner regional</w:t>
            </w:r>
          </w:p>
        </w:tc>
        <w:tc>
          <w:tcPr>
            <w:tcW w:w="1236" w:type="dxa"/>
          </w:tcPr>
          <w:p w:rsidR="002265C7" w:rsidRPr="001B1E83" w:rsidRDefault="002265C7" w:rsidP="002265C7">
            <w:pPr>
              <w:pStyle w:val="TableFigText"/>
              <w:keepNext/>
              <w:jc w:val="right"/>
              <w:rPr>
                <w:rFonts w:asciiTheme="minorHAnsi" w:hAnsiTheme="minorHAnsi" w:cstheme="minorHAnsi"/>
                <w:b/>
                <w:szCs w:val="22"/>
              </w:rPr>
            </w:pPr>
            <w:r w:rsidRPr="001B1E83">
              <w:rPr>
                <w:rFonts w:asciiTheme="minorHAnsi" w:hAnsiTheme="minorHAnsi" w:cstheme="minorHAnsi"/>
                <w:b/>
                <w:szCs w:val="22"/>
              </w:rPr>
              <w:t>Outer regional</w:t>
            </w:r>
          </w:p>
        </w:tc>
        <w:tc>
          <w:tcPr>
            <w:tcW w:w="1033" w:type="dxa"/>
          </w:tcPr>
          <w:p w:rsidR="002265C7" w:rsidRPr="001B1E83" w:rsidRDefault="002265C7" w:rsidP="002265C7">
            <w:pPr>
              <w:pStyle w:val="TableFigText"/>
              <w:keepNext/>
              <w:jc w:val="right"/>
              <w:rPr>
                <w:rFonts w:asciiTheme="minorHAnsi" w:hAnsiTheme="minorHAnsi" w:cstheme="minorHAnsi"/>
                <w:b/>
                <w:szCs w:val="22"/>
              </w:rPr>
            </w:pPr>
            <w:r w:rsidRPr="001B1E83">
              <w:rPr>
                <w:rFonts w:asciiTheme="minorHAnsi" w:hAnsiTheme="minorHAnsi" w:cstheme="minorHAnsi"/>
                <w:b/>
                <w:szCs w:val="22"/>
              </w:rPr>
              <w:t>Remote</w:t>
            </w:r>
          </w:p>
        </w:tc>
        <w:tc>
          <w:tcPr>
            <w:tcW w:w="1042" w:type="dxa"/>
          </w:tcPr>
          <w:p w:rsidR="002265C7" w:rsidRPr="001B1E83" w:rsidRDefault="002265C7" w:rsidP="002265C7">
            <w:pPr>
              <w:pStyle w:val="TableFigText"/>
              <w:keepNext/>
              <w:jc w:val="right"/>
              <w:rPr>
                <w:rFonts w:asciiTheme="minorHAnsi" w:hAnsiTheme="minorHAnsi" w:cstheme="minorHAnsi"/>
                <w:b/>
                <w:szCs w:val="22"/>
              </w:rPr>
            </w:pPr>
            <w:r w:rsidRPr="001B1E83">
              <w:rPr>
                <w:rFonts w:asciiTheme="minorHAnsi" w:hAnsiTheme="minorHAnsi" w:cstheme="minorHAnsi"/>
                <w:b/>
                <w:szCs w:val="22"/>
              </w:rPr>
              <w:t>Very remote</w:t>
            </w:r>
          </w:p>
        </w:tc>
        <w:tc>
          <w:tcPr>
            <w:tcW w:w="1385" w:type="dxa"/>
          </w:tcPr>
          <w:p w:rsidR="002265C7" w:rsidRPr="001B1E83" w:rsidRDefault="002265C7" w:rsidP="002265C7">
            <w:pPr>
              <w:pStyle w:val="TableFigText"/>
              <w:keepNext/>
              <w:jc w:val="right"/>
              <w:rPr>
                <w:rFonts w:asciiTheme="minorHAnsi" w:hAnsiTheme="minorHAnsi" w:cstheme="minorHAnsi"/>
                <w:b/>
                <w:szCs w:val="22"/>
              </w:rPr>
            </w:pPr>
            <w:r w:rsidRPr="001B1E83">
              <w:rPr>
                <w:rFonts w:asciiTheme="minorHAnsi" w:hAnsiTheme="minorHAnsi" w:cstheme="minorHAnsi"/>
                <w:b/>
                <w:szCs w:val="22"/>
              </w:rPr>
              <w:t>Total</w:t>
            </w:r>
          </w:p>
        </w:tc>
      </w:tr>
      <w:tr w:rsidR="002265C7" w:rsidRPr="001B1E83" w:rsidTr="002265C7">
        <w:tc>
          <w:tcPr>
            <w:tcW w:w="2119" w:type="dxa"/>
          </w:tcPr>
          <w:p w:rsidR="002265C7" w:rsidRPr="001B1E83" w:rsidRDefault="002265C7" w:rsidP="002265C7">
            <w:pPr>
              <w:pStyle w:val="TableFigText"/>
              <w:keepNext/>
              <w:rPr>
                <w:rFonts w:asciiTheme="minorHAnsi" w:hAnsiTheme="minorHAnsi" w:cstheme="minorHAnsi"/>
                <w:szCs w:val="22"/>
              </w:rPr>
            </w:pPr>
            <w:r w:rsidRPr="001B1E83">
              <w:rPr>
                <w:rFonts w:asciiTheme="minorHAnsi" w:hAnsiTheme="minorHAnsi" w:cstheme="minorHAnsi"/>
                <w:szCs w:val="22"/>
              </w:rPr>
              <w:t>Hospital days</w:t>
            </w:r>
            <w:r w:rsidRPr="001B1E83">
              <w:rPr>
                <w:rFonts w:asciiTheme="minorHAnsi" w:hAnsiTheme="minorHAnsi" w:cstheme="minorHAnsi"/>
                <w:szCs w:val="22"/>
                <w:vertAlign w:val="superscript"/>
              </w:rPr>
              <w:t>(a)</w:t>
            </w:r>
          </w:p>
        </w:tc>
        <w:tc>
          <w:tcPr>
            <w:tcW w:w="1385" w:type="dxa"/>
          </w:tcPr>
          <w:p w:rsidR="002265C7" w:rsidRPr="001B1E83" w:rsidRDefault="002265C7" w:rsidP="00D27F8A">
            <w:pPr>
              <w:pStyle w:val="TableFigText"/>
              <w:jc w:val="right"/>
            </w:pPr>
            <w:r w:rsidRPr="001B1E83">
              <w:t>629,882</w:t>
            </w:r>
          </w:p>
        </w:tc>
        <w:tc>
          <w:tcPr>
            <w:tcW w:w="1376" w:type="dxa"/>
          </w:tcPr>
          <w:p w:rsidR="002265C7" w:rsidRPr="001B1E83" w:rsidRDefault="002265C7" w:rsidP="00D27F8A">
            <w:pPr>
              <w:pStyle w:val="TableFigText"/>
              <w:jc w:val="right"/>
            </w:pPr>
            <w:r w:rsidRPr="001B1E83">
              <w:t>146,880</w:t>
            </w:r>
          </w:p>
        </w:tc>
        <w:tc>
          <w:tcPr>
            <w:tcW w:w="1236" w:type="dxa"/>
          </w:tcPr>
          <w:p w:rsidR="002265C7" w:rsidRPr="001B1E83" w:rsidRDefault="002265C7" w:rsidP="00D27F8A">
            <w:pPr>
              <w:pStyle w:val="TableFigText"/>
              <w:jc w:val="right"/>
            </w:pPr>
            <w:r w:rsidRPr="001B1E83">
              <w:t>3,975</w:t>
            </w:r>
          </w:p>
        </w:tc>
        <w:tc>
          <w:tcPr>
            <w:tcW w:w="1033" w:type="dxa"/>
          </w:tcPr>
          <w:p w:rsidR="002265C7" w:rsidRPr="001B1E83" w:rsidRDefault="002265C7" w:rsidP="00D27F8A">
            <w:pPr>
              <w:pStyle w:val="TableFigText"/>
              <w:jc w:val="right"/>
            </w:pPr>
            <w:r w:rsidRPr="001B1E83">
              <w:t>0</w:t>
            </w:r>
          </w:p>
        </w:tc>
        <w:tc>
          <w:tcPr>
            <w:tcW w:w="1042" w:type="dxa"/>
          </w:tcPr>
          <w:p w:rsidR="002265C7" w:rsidRPr="001B1E83" w:rsidRDefault="002265C7" w:rsidP="00D27F8A">
            <w:pPr>
              <w:pStyle w:val="TableFigText"/>
              <w:jc w:val="right"/>
            </w:pPr>
            <w:r w:rsidRPr="001B1E83">
              <w:t>0</w:t>
            </w:r>
          </w:p>
        </w:tc>
        <w:tc>
          <w:tcPr>
            <w:tcW w:w="1385" w:type="dxa"/>
          </w:tcPr>
          <w:p w:rsidR="002265C7" w:rsidRPr="001B1E83" w:rsidRDefault="002265C7" w:rsidP="00D27F8A">
            <w:pPr>
              <w:pStyle w:val="TableFigText"/>
              <w:jc w:val="right"/>
            </w:pPr>
            <w:r w:rsidRPr="001B1E83">
              <w:t>780,737</w:t>
            </w:r>
          </w:p>
        </w:tc>
      </w:tr>
      <w:tr w:rsidR="002265C7" w:rsidRPr="001B1E83" w:rsidTr="002265C7">
        <w:tc>
          <w:tcPr>
            <w:tcW w:w="2119" w:type="dxa"/>
          </w:tcPr>
          <w:p w:rsidR="002265C7" w:rsidRPr="001B1E83" w:rsidRDefault="002265C7" w:rsidP="002265C7">
            <w:pPr>
              <w:pStyle w:val="TableFigText"/>
              <w:keepNext/>
              <w:rPr>
                <w:rFonts w:asciiTheme="minorHAnsi" w:hAnsiTheme="minorHAnsi" w:cstheme="minorHAnsi"/>
                <w:szCs w:val="22"/>
              </w:rPr>
            </w:pPr>
            <w:r w:rsidRPr="001B1E83">
              <w:rPr>
                <w:rFonts w:asciiTheme="minorHAnsi" w:hAnsiTheme="minorHAnsi" w:cstheme="minorHAnsi"/>
                <w:szCs w:val="22"/>
              </w:rPr>
              <w:t>Community mental health care contacts</w:t>
            </w:r>
            <w:r w:rsidRPr="001B1E83">
              <w:rPr>
                <w:rFonts w:asciiTheme="minorHAnsi" w:hAnsiTheme="minorHAnsi" w:cstheme="minorHAnsi"/>
                <w:szCs w:val="22"/>
                <w:vertAlign w:val="superscript"/>
              </w:rPr>
              <w:t>(b)</w:t>
            </w:r>
            <w:r w:rsidRPr="001B1E83">
              <w:rPr>
                <w:rFonts w:asciiTheme="minorHAnsi" w:hAnsiTheme="minorHAnsi" w:cstheme="minorHAnsi"/>
                <w:szCs w:val="22"/>
              </w:rPr>
              <w:t xml:space="preserve"> </w:t>
            </w:r>
          </w:p>
        </w:tc>
        <w:tc>
          <w:tcPr>
            <w:tcW w:w="1385" w:type="dxa"/>
          </w:tcPr>
          <w:p w:rsidR="002265C7" w:rsidRPr="001B1E83" w:rsidRDefault="002265C7" w:rsidP="00D27F8A">
            <w:pPr>
              <w:pStyle w:val="TableFigText"/>
              <w:jc w:val="right"/>
            </w:pPr>
            <w:r w:rsidRPr="001B1E83">
              <w:t>1,954,524</w:t>
            </w:r>
          </w:p>
        </w:tc>
        <w:tc>
          <w:tcPr>
            <w:tcW w:w="1376" w:type="dxa"/>
          </w:tcPr>
          <w:p w:rsidR="002265C7" w:rsidRPr="001B1E83" w:rsidRDefault="002265C7" w:rsidP="00D27F8A">
            <w:pPr>
              <w:pStyle w:val="TableFigText"/>
              <w:jc w:val="right"/>
            </w:pPr>
            <w:r w:rsidRPr="001B1E83">
              <w:t>242,223</w:t>
            </w:r>
          </w:p>
        </w:tc>
        <w:tc>
          <w:tcPr>
            <w:tcW w:w="1236" w:type="dxa"/>
          </w:tcPr>
          <w:p w:rsidR="002265C7" w:rsidRPr="001B1E83" w:rsidRDefault="002265C7" w:rsidP="00D27F8A">
            <w:pPr>
              <w:pStyle w:val="TableFigText"/>
              <w:jc w:val="right"/>
            </w:pPr>
            <w:r w:rsidRPr="001B1E83">
              <w:t>43,763</w:t>
            </w:r>
          </w:p>
        </w:tc>
        <w:tc>
          <w:tcPr>
            <w:tcW w:w="1033" w:type="dxa"/>
          </w:tcPr>
          <w:p w:rsidR="002265C7" w:rsidRPr="001B1E83" w:rsidRDefault="002265C7" w:rsidP="00D27F8A">
            <w:pPr>
              <w:pStyle w:val="TableFigText"/>
              <w:jc w:val="right"/>
            </w:pPr>
            <w:r w:rsidRPr="001B1E83">
              <w:t>1,470</w:t>
            </w:r>
          </w:p>
        </w:tc>
        <w:tc>
          <w:tcPr>
            <w:tcW w:w="1042" w:type="dxa"/>
          </w:tcPr>
          <w:p w:rsidR="002265C7" w:rsidRPr="001B1E83" w:rsidRDefault="002265C7" w:rsidP="00D27F8A">
            <w:pPr>
              <w:pStyle w:val="TableFigText"/>
              <w:jc w:val="right"/>
            </w:pPr>
            <w:r w:rsidRPr="001B1E83">
              <w:t>755</w:t>
            </w:r>
          </w:p>
        </w:tc>
        <w:tc>
          <w:tcPr>
            <w:tcW w:w="1385" w:type="dxa"/>
          </w:tcPr>
          <w:p w:rsidR="002265C7" w:rsidRPr="001B1E83" w:rsidRDefault="002265C7" w:rsidP="00D27F8A">
            <w:pPr>
              <w:pStyle w:val="TableFigText"/>
              <w:jc w:val="right"/>
            </w:pPr>
            <w:r w:rsidRPr="001B1E83">
              <w:t>2,242,735</w:t>
            </w:r>
          </w:p>
        </w:tc>
      </w:tr>
      <w:tr w:rsidR="002265C7" w:rsidRPr="001B1E83" w:rsidTr="002265C7">
        <w:tc>
          <w:tcPr>
            <w:tcW w:w="2119" w:type="dxa"/>
          </w:tcPr>
          <w:p w:rsidR="002265C7" w:rsidRPr="001B1E83" w:rsidRDefault="002265C7" w:rsidP="002265C7">
            <w:pPr>
              <w:pStyle w:val="TableFigText"/>
              <w:keepNext/>
              <w:rPr>
                <w:rFonts w:asciiTheme="minorHAnsi" w:hAnsiTheme="minorHAnsi" w:cstheme="minorHAnsi"/>
                <w:szCs w:val="22"/>
              </w:rPr>
            </w:pPr>
            <w:r w:rsidRPr="001B1E83">
              <w:rPr>
                <w:rFonts w:asciiTheme="minorHAnsi" w:hAnsiTheme="minorHAnsi" w:cstheme="minorHAnsi"/>
                <w:szCs w:val="22"/>
              </w:rPr>
              <w:t>Residential mental health care days</w:t>
            </w:r>
            <w:r w:rsidRPr="001B1E83">
              <w:rPr>
                <w:rFonts w:asciiTheme="minorHAnsi" w:hAnsiTheme="minorHAnsi" w:cstheme="minorHAnsi"/>
                <w:szCs w:val="22"/>
                <w:vertAlign w:val="superscript"/>
              </w:rPr>
              <w:t>(c)</w:t>
            </w:r>
          </w:p>
        </w:tc>
        <w:tc>
          <w:tcPr>
            <w:tcW w:w="1385" w:type="dxa"/>
          </w:tcPr>
          <w:p w:rsidR="002265C7" w:rsidRPr="001B1E83" w:rsidRDefault="002265C7" w:rsidP="00D27F8A">
            <w:pPr>
              <w:pStyle w:val="TableFigText"/>
              <w:jc w:val="right"/>
            </w:pPr>
            <w:r w:rsidRPr="001B1E83">
              <w:t>49,753</w:t>
            </w:r>
          </w:p>
        </w:tc>
        <w:tc>
          <w:tcPr>
            <w:tcW w:w="1376" w:type="dxa"/>
          </w:tcPr>
          <w:p w:rsidR="002265C7" w:rsidRPr="001B1E83" w:rsidRDefault="002265C7" w:rsidP="00D27F8A">
            <w:pPr>
              <w:pStyle w:val="TableFigText"/>
              <w:jc w:val="right"/>
            </w:pPr>
            <w:r w:rsidRPr="001B1E83">
              <w:t>23,976</w:t>
            </w:r>
          </w:p>
        </w:tc>
        <w:tc>
          <w:tcPr>
            <w:tcW w:w="1236" w:type="dxa"/>
          </w:tcPr>
          <w:p w:rsidR="002265C7" w:rsidRPr="001B1E83" w:rsidRDefault="002265C7" w:rsidP="00D27F8A">
            <w:pPr>
              <w:pStyle w:val="TableFigText"/>
              <w:jc w:val="right"/>
            </w:pPr>
            <w:r w:rsidRPr="001B1E83">
              <w:t>437</w:t>
            </w:r>
          </w:p>
        </w:tc>
        <w:tc>
          <w:tcPr>
            <w:tcW w:w="1033" w:type="dxa"/>
          </w:tcPr>
          <w:p w:rsidR="002265C7" w:rsidRPr="001B1E83" w:rsidRDefault="002265C7" w:rsidP="00D27F8A">
            <w:pPr>
              <w:pStyle w:val="TableFigText"/>
              <w:jc w:val="right"/>
            </w:pPr>
            <w:r w:rsidRPr="001B1E83">
              <w:t>0</w:t>
            </w:r>
          </w:p>
        </w:tc>
        <w:tc>
          <w:tcPr>
            <w:tcW w:w="1042" w:type="dxa"/>
          </w:tcPr>
          <w:p w:rsidR="002265C7" w:rsidRPr="001B1E83" w:rsidRDefault="002265C7" w:rsidP="00D27F8A">
            <w:pPr>
              <w:pStyle w:val="TableFigText"/>
              <w:jc w:val="right"/>
            </w:pPr>
            <w:r w:rsidRPr="001B1E83">
              <w:t>0</w:t>
            </w:r>
          </w:p>
        </w:tc>
        <w:tc>
          <w:tcPr>
            <w:tcW w:w="1385" w:type="dxa"/>
            <w:vAlign w:val="center"/>
          </w:tcPr>
          <w:p w:rsidR="002265C7" w:rsidRPr="001B1E83" w:rsidRDefault="002265C7" w:rsidP="00D27F8A">
            <w:pPr>
              <w:pStyle w:val="TableFigText"/>
              <w:jc w:val="right"/>
            </w:pPr>
            <w:r w:rsidRPr="001B1E83">
              <w:t>74,166</w:t>
            </w:r>
          </w:p>
        </w:tc>
      </w:tr>
    </w:tbl>
    <w:p w:rsidR="002265C7" w:rsidRPr="00541ED8" w:rsidRDefault="002265C7" w:rsidP="00540186">
      <w:pPr>
        <w:pStyle w:val="TableFigNotesnumbered"/>
        <w:numPr>
          <w:ilvl w:val="0"/>
          <w:numId w:val="61"/>
        </w:numPr>
        <w:rPr>
          <w:rStyle w:val="table-note"/>
        </w:rPr>
      </w:pPr>
      <w:r w:rsidRPr="00541ED8">
        <w:rPr>
          <w:rStyle w:val="table-note"/>
        </w:rPr>
        <w:t xml:space="preserve">Hospital days, also known as accrued mental health care days for public hospital services, will not equal figures reported from the National hospital morbidity database due to scope differences between the two collections.  </w:t>
      </w:r>
    </w:p>
    <w:p w:rsidR="002265C7" w:rsidRPr="00541ED8" w:rsidRDefault="002265C7" w:rsidP="00540186">
      <w:pPr>
        <w:pStyle w:val="TableFigNotesnumbered"/>
        <w:numPr>
          <w:ilvl w:val="0"/>
          <w:numId w:val="61"/>
        </w:numPr>
        <w:rPr>
          <w:rStyle w:val="table-note"/>
        </w:rPr>
      </w:pPr>
      <w:r w:rsidRPr="00541ED8">
        <w:rPr>
          <w:rStyle w:val="table-note"/>
        </w:rPr>
        <w:t xml:space="preserve">Community mental health care contacts will not equate to those reported from the Community mental health care database due to differing scope. </w:t>
      </w:r>
    </w:p>
    <w:p w:rsidR="002265C7" w:rsidRPr="00541ED8" w:rsidRDefault="002265C7" w:rsidP="00540186">
      <w:pPr>
        <w:pStyle w:val="TableFigNotesnumbered"/>
        <w:numPr>
          <w:ilvl w:val="0"/>
          <w:numId w:val="61"/>
        </w:numPr>
        <w:rPr>
          <w:rStyle w:val="table-note"/>
        </w:rPr>
      </w:pPr>
      <w:proofErr w:type="gramStart"/>
      <w:r w:rsidRPr="00541ED8">
        <w:rPr>
          <w:rStyle w:val="table-note"/>
        </w:rPr>
        <w:t>Residential mental health care days comprises</w:t>
      </w:r>
      <w:proofErr w:type="gramEnd"/>
      <w:r w:rsidRPr="00541ED8">
        <w:rPr>
          <w:rStyle w:val="table-note"/>
        </w:rPr>
        <w:t xml:space="preserve"> the number of care days provided by all services, including government and non-government operated services, and 24-hour and non-24-hour staffed services. Figures will not equate to those reported from the Residential mental health care database due to differing collection scopes.</w:t>
      </w:r>
    </w:p>
    <w:p w:rsidR="002265C7" w:rsidRPr="0096114C" w:rsidRDefault="0096114C" w:rsidP="002265C7">
      <w:pPr>
        <w:pStyle w:val="TableCaption"/>
        <w:rPr>
          <w:rStyle w:val="table-note"/>
        </w:rPr>
      </w:pPr>
      <w:r w:rsidRPr="0096114C">
        <w:rPr>
          <w:rStyle w:val="table-note"/>
        </w:rPr>
        <w:t xml:space="preserve">Table 11: </w:t>
      </w:r>
      <w:r w:rsidR="002265C7" w:rsidRPr="0096114C">
        <w:rPr>
          <w:rStyle w:val="table-note"/>
        </w:rPr>
        <w:t xml:space="preserve">NSW: State and territory specialised mental health service activity, by service type, </w:t>
      </w:r>
      <w:r w:rsidR="00541ED8">
        <w:rPr>
          <w:rStyle w:val="table-note"/>
        </w:rPr>
        <w:br/>
      </w:r>
      <w:r w:rsidR="002265C7" w:rsidRPr="0096114C">
        <w:rPr>
          <w:rStyle w:val="table-note"/>
        </w:rPr>
        <w:t>2011–12</w:t>
      </w:r>
    </w:p>
    <w:tbl>
      <w:tblPr>
        <w:tblStyle w:val="TableGrid"/>
        <w:tblW w:w="0" w:type="auto"/>
        <w:tblLook w:val="04A0" w:firstRow="1" w:lastRow="0" w:firstColumn="1" w:lastColumn="0" w:noHBand="0" w:noVBand="1"/>
        <w:tblCaption w:val="NSW: State and territory specialised mental health service activity, by service type, 2011–12"/>
        <w:tblDescription w:val="Table showing that, in 2011-12, community mental health care contacts was the highest specialised mental health service activity type recorded across all region types in NSW at 2,371,462, followed by hospital days at 827,770 and residential mental health care days at 54,583. "/>
      </w:tblPr>
      <w:tblGrid>
        <w:gridCol w:w="2372"/>
        <w:gridCol w:w="1067"/>
        <w:gridCol w:w="1378"/>
        <w:gridCol w:w="1250"/>
        <w:gridCol w:w="1045"/>
        <w:gridCol w:w="1090"/>
        <w:gridCol w:w="1084"/>
      </w:tblGrid>
      <w:tr w:rsidR="002265C7" w:rsidRPr="001B1E83" w:rsidTr="000C3DEA">
        <w:trPr>
          <w:tblHeader/>
        </w:trPr>
        <w:tc>
          <w:tcPr>
            <w:tcW w:w="2490" w:type="dxa"/>
          </w:tcPr>
          <w:p w:rsidR="002265C7" w:rsidRPr="001B1E83" w:rsidRDefault="002265C7" w:rsidP="002265C7">
            <w:pPr>
              <w:pStyle w:val="TableFigText"/>
              <w:rPr>
                <w:rFonts w:asciiTheme="minorHAnsi" w:hAnsiTheme="minorHAnsi" w:cstheme="minorHAnsi"/>
                <w:szCs w:val="22"/>
              </w:rPr>
            </w:pPr>
          </w:p>
        </w:tc>
        <w:tc>
          <w:tcPr>
            <w:tcW w:w="1079" w:type="dxa"/>
          </w:tcPr>
          <w:p w:rsidR="002265C7" w:rsidRPr="001B1E83" w:rsidRDefault="002265C7" w:rsidP="002265C7">
            <w:pPr>
              <w:pStyle w:val="TableFigText"/>
              <w:jc w:val="right"/>
              <w:rPr>
                <w:rFonts w:asciiTheme="minorHAnsi" w:hAnsiTheme="minorHAnsi" w:cstheme="minorHAnsi"/>
                <w:b/>
                <w:szCs w:val="22"/>
              </w:rPr>
            </w:pPr>
            <w:r w:rsidRPr="001B1E83">
              <w:rPr>
                <w:rFonts w:asciiTheme="minorHAnsi" w:hAnsiTheme="minorHAnsi" w:cstheme="minorHAnsi"/>
                <w:b/>
                <w:szCs w:val="22"/>
              </w:rPr>
              <w:t>Major cities</w:t>
            </w:r>
          </w:p>
        </w:tc>
        <w:tc>
          <w:tcPr>
            <w:tcW w:w="1427" w:type="dxa"/>
          </w:tcPr>
          <w:p w:rsidR="002265C7" w:rsidRPr="001B1E83" w:rsidRDefault="002265C7" w:rsidP="002265C7">
            <w:pPr>
              <w:pStyle w:val="TableFigText"/>
              <w:jc w:val="right"/>
              <w:rPr>
                <w:rFonts w:asciiTheme="minorHAnsi" w:hAnsiTheme="minorHAnsi" w:cstheme="minorHAnsi"/>
                <w:b/>
                <w:szCs w:val="22"/>
              </w:rPr>
            </w:pPr>
            <w:r w:rsidRPr="001B1E83">
              <w:rPr>
                <w:rFonts w:asciiTheme="minorHAnsi" w:hAnsiTheme="minorHAnsi" w:cstheme="minorHAnsi"/>
                <w:b/>
                <w:szCs w:val="22"/>
              </w:rPr>
              <w:t>Inner regional</w:t>
            </w:r>
          </w:p>
        </w:tc>
        <w:tc>
          <w:tcPr>
            <w:tcW w:w="1289" w:type="dxa"/>
          </w:tcPr>
          <w:p w:rsidR="002265C7" w:rsidRPr="001B1E83" w:rsidRDefault="002265C7" w:rsidP="002265C7">
            <w:pPr>
              <w:pStyle w:val="TableFigText"/>
              <w:jc w:val="right"/>
              <w:rPr>
                <w:rFonts w:asciiTheme="minorHAnsi" w:hAnsiTheme="minorHAnsi" w:cstheme="minorHAnsi"/>
                <w:b/>
                <w:szCs w:val="22"/>
              </w:rPr>
            </w:pPr>
            <w:r w:rsidRPr="001B1E83">
              <w:rPr>
                <w:rFonts w:asciiTheme="minorHAnsi" w:hAnsiTheme="minorHAnsi" w:cstheme="minorHAnsi"/>
                <w:b/>
                <w:szCs w:val="22"/>
              </w:rPr>
              <w:t>Outer regional</w:t>
            </w:r>
          </w:p>
        </w:tc>
        <w:tc>
          <w:tcPr>
            <w:tcW w:w="1071" w:type="dxa"/>
          </w:tcPr>
          <w:p w:rsidR="002265C7" w:rsidRPr="001B1E83" w:rsidRDefault="002265C7" w:rsidP="002265C7">
            <w:pPr>
              <w:pStyle w:val="TableFigText"/>
              <w:jc w:val="right"/>
              <w:rPr>
                <w:rFonts w:asciiTheme="minorHAnsi" w:hAnsiTheme="minorHAnsi" w:cstheme="minorHAnsi"/>
                <w:b/>
                <w:szCs w:val="22"/>
              </w:rPr>
            </w:pPr>
            <w:r w:rsidRPr="001B1E83">
              <w:rPr>
                <w:rFonts w:asciiTheme="minorHAnsi" w:hAnsiTheme="minorHAnsi" w:cstheme="minorHAnsi"/>
                <w:b/>
                <w:szCs w:val="22"/>
              </w:rPr>
              <w:t>Remote</w:t>
            </w:r>
          </w:p>
        </w:tc>
        <w:tc>
          <w:tcPr>
            <w:tcW w:w="1123" w:type="dxa"/>
          </w:tcPr>
          <w:p w:rsidR="002265C7" w:rsidRPr="001B1E83" w:rsidRDefault="002265C7" w:rsidP="002265C7">
            <w:pPr>
              <w:pStyle w:val="TableFigText"/>
              <w:jc w:val="right"/>
              <w:rPr>
                <w:rFonts w:asciiTheme="minorHAnsi" w:hAnsiTheme="minorHAnsi" w:cstheme="minorHAnsi"/>
                <w:b/>
                <w:szCs w:val="22"/>
              </w:rPr>
            </w:pPr>
            <w:r w:rsidRPr="001B1E83">
              <w:rPr>
                <w:rFonts w:asciiTheme="minorHAnsi" w:hAnsiTheme="minorHAnsi" w:cstheme="minorHAnsi"/>
                <w:b/>
                <w:szCs w:val="22"/>
              </w:rPr>
              <w:t>Very remote</w:t>
            </w:r>
          </w:p>
        </w:tc>
        <w:tc>
          <w:tcPr>
            <w:tcW w:w="1097" w:type="dxa"/>
          </w:tcPr>
          <w:p w:rsidR="002265C7" w:rsidRPr="001B1E83" w:rsidRDefault="002265C7" w:rsidP="002265C7">
            <w:pPr>
              <w:pStyle w:val="TableFigText"/>
              <w:jc w:val="right"/>
              <w:rPr>
                <w:rFonts w:asciiTheme="minorHAnsi" w:hAnsiTheme="minorHAnsi" w:cstheme="minorHAnsi"/>
                <w:b/>
                <w:szCs w:val="22"/>
              </w:rPr>
            </w:pPr>
            <w:r w:rsidRPr="001B1E83">
              <w:rPr>
                <w:rFonts w:asciiTheme="minorHAnsi" w:hAnsiTheme="minorHAnsi" w:cstheme="minorHAnsi"/>
                <w:b/>
                <w:szCs w:val="22"/>
              </w:rPr>
              <w:t>Total</w:t>
            </w:r>
          </w:p>
        </w:tc>
      </w:tr>
      <w:tr w:rsidR="002265C7" w:rsidRPr="001B1E83" w:rsidTr="002265C7">
        <w:tc>
          <w:tcPr>
            <w:tcW w:w="2490" w:type="dxa"/>
          </w:tcPr>
          <w:p w:rsidR="002265C7" w:rsidRPr="001B1E83" w:rsidRDefault="002265C7" w:rsidP="002265C7">
            <w:pPr>
              <w:pStyle w:val="TableFigText"/>
              <w:rPr>
                <w:rFonts w:asciiTheme="minorHAnsi" w:hAnsiTheme="minorHAnsi" w:cstheme="minorHAnsi"/>
                <w:szCs w:val="22"/>
              </w:rPr>
            </w:pPr>
            <w:r w:rsidRPr="001B1E83">
              <w:rPr>
                <w:rFonts w:asciiTheme="minorHAnsi" w:hAnsiTheme="minorHAnsi" w:cstheme="minorHAnsi"/>
                <w:szCs w:val="22"/>
              </w:rPr>
              <w:t>Hospital days</w:t>
            </w:r>
            <w:r w:rsidRPr="001B1E83">
              <w:rPr>
                <w:rFonts w:asciiTheme="minorHAnsi" w:hAnsiTheme="minorHAnsi" w:cstheme="minorHAnsi"/>
                <w:szCs w:val="22"/>
                <w:vertAlign w:val="superscript"/>
              </w:rPr>
              <w:t>(a)</w:t>
            </w:r>
          </w:p>
        </w:tc>
        <w:tc>
          <w:tcPr>
            <w:tcW w:w="1079" w:type="dxa"/>
            <w:vAlign w:val="bottom"/>
          </w:tcPr>
          <w:p w:rsidR="002265C7" w:rsidRPr="001B1E83" w:rsidRDefault="002265C7" w:rsidP="00D27F8A">
            <w:pPr>
              <w:pStyle w:val="TableFigText"/>
              <w:jc w:val="right"/>
            </w:pPr>
            <w:r w:rsidRPr="001B1E83">
              <w:t>672,321</w:t>
            </w:r>
          </w:p>
        </w:tc>
        <w:tc>
          <w:tcPr>
            <w:tcW w:w="1427" w:type="dxa"/>
            <w:vAlign w:val="bottom"/>
          </w:tcPr>
          <w:p w:rsidR="002265C7" w:rsidRPr="001B1E83" w:rsidRDefault="002265C7" w:rsidP="00D27F8A">
            <w:pPr>
              <w:pStyle w:val="TableFigText"/>
              <w:jc w:val="right"/>
            </w:pPr>
            <w:r w:rsidRPr="001B1E83">
              <w:t>149,906</w:t>
            </w:r>
          </w:p>
        </w:tc>
        <w:tc>
          <w:tcPr>
            <w:tcW w:w="1289" w:type="dxa"/>
            <w:vAlign w:val="bottom"/>
          </w:tcPr>
          <w:p w:rsidR="002265C7" w:rsidRPr="001B1E83" w:rsidRDefault="002265C7" w:rsidP="00D27F8A">
            <w:pPr>
              <w:pStyle w:val="TableFigText"/>
              <w:jc w:val="right"/>
            </w:pPr>
            <w:r w:rsidRPr="001B1E83">
              <w:t>5,542</w:t>
            </w:r>
          </w:p>
        </w:tc>
        <w:tc>
          <w:tcPr>
            <w:tcW w:w="1071" w:type="dxa"/>
            <w:vAlign w:val="bottom"/>
          </w:tcPr>
          <w:p w:rsidR="002265C7" w:rsidRPr="001B1E83" w:rsidRDefault="002265C7" w:rsidP="00D27F8A">
            <w:pPr>
              <w:pStyle w:val="TableFigText"/>
              <w:jc w:val="right"/>
            </w:pPr>
            <w:r w:rsidRPr="001B1E83">
              <w:t>0</w:t>
            </w:r>
          </w:p>
        </w:tc>
        <w:tc>
          <w:tcPr>
            <w:tcW w:w="1123" w:type="dxa"/>
            <w:vAlign w:val="bottom"/>
          </w:tcPr>
          <w:p w:rsidR="002265C7" w:rsidRPr="001B1E83" w:rsidRDefault="002265C7" w:rsidP="00D27F8A">
            <w:pPr>
              <w:pStyle w:val="TableFigText"/>
              <w:jc w:val="right"/>
            </w:pPr>
            <w:r w:rsidRPr="001B1E83">
              <w:t>0</w:t>
            </w:r>
          </w:p>
        </w:tc>
        <w:tc>
          <w:tcPr>
            <w:tcW w:w="1097" w:type="dxa"/>
            <w:vAlign w:val="bottom"/>
          </w:tcPr>
          <w:p w:rsidR="002265C7" w:rsidRPr="001B1E83" w:rsidRDefault="002265C7" w:rsidP="00D27F8A">
            <w:pPr>
              <w:pStyle w:val="TableFigText"/>
              <w:jc w:val="right"/>
            </w:pPr>
            <w:r w:rsidRPr="001B1E83">
              <w:t>827,770</w:t>
            </w:r>
          </w:p>
        </w:tc>
      </w:tr>
      <w:tr w:rsidR="002265C7" w:rsidRPr="001B1E83" w:rsidTr="002265C7">
        <w:tc>
          <w:tcPr>
            <w:tcW w:w="2490" w:type="dxa"/>
          </w:tcPr>
          <w:p w:rsidR="002265C7" w:rsidRPr="001B1E83" w:rsidRDefault="002265C7" w:rsidP="002265C7">
            <w:pPr>
              <w:pStyle w:val="TableFigText"/>
              <w:rPr>
                <w:rFonts w:asciiTheme="minorHAnsi" w:hAnsiTheme="minorHAnsi" w:cstheme="minorHAnsi"/>
                <w:szCs w:val="22"/>
              </w:rPr>
            </w:pPr>
            <w:r w:rsidRPr="001B1E83">
              <w:rPr>
                <w:rFonts w:asciiTheme="minorHAnsi" w:hAnsiTheme="minorHAnsi" w:cstheme="minorHAnsi"/>
                <w:szCs w:val="22"/>
              </w:rPr>
              <w:t>Community mental health care contacts</w:t>
            </w:r>
            <w:r w:rsidRPr="001B1E83">
              <w:rPr>
                <w:rFonts w:asciiTheme="minorHAnsi" w:hAnsiTheme="minorHAnsi" w:cstheme="minorHAnsi"/>
                <w:szCs w:val="22"/>
                <w:vertAlign w:val="superscript"/>
              </w:rPr>
              <w:t>(b)</w:t>
            </w:r>
            <w:r w:rsidRPr="001B1E83">
              <w:rPr>
                <w:rFonts w:asciiTheme="minorHAnsi" w:hAnsiTheme="minorHAnsi" w:cstheme="minorHAnsi"/>
                <w:szCs w:val="22"/>
              </w:rPr>
              <w:t xml:space="preserve"> </w:t>
            </w:r>
          </w:p>
        </w:tc>
        <w:tc>
          <w:tcPr>
            <w:tcW w:w="1079" w:type="dxa"/>
            <w:vAlign w:val="bottom"/>
          </w:tcPr>
          <w:p w:rsidR="002265C7" w:rsidRPr="001B1E83" w:rsidRDefault="002265C7" w:rsidP="00D27F8A">
            <w:pPr>
              <w:pStyle w:val="TableFigText"/>
              <w:jc w:val="right"/>
            </w:pPr>
            <w:r w:rsidRPr="001B1E83">
              <w:t>1,771,581</w:t>
            </w:r>
          </w:p>
        </w:tc>
        <w:tc>
          <w:tcPr>
            <w:tcW w:w="1427" w:type="dxa"/>
            <w:vAlign w:val="bottom"/>
          </w:tcPr>
          <w:p w:rsidR="002265C7" w:rsidRPr="001B1E83" w:rsidRDefault="002265C7" w:rsidP="00D27F8A">
            <w:pPr>
              <w:pStyle w:val="TableFigText"/>
              <w:jc w:val="right"/>
            </w:pPr>
            <w:r w:rsidRPr="001B1E83">
              <w:t>484,012</w:t>
            </w:r>
          </w:p>
        </w:tc>
        <w:tc>
          <w:tcPr>
            <w:tcW w:w="1289" w:type="dxa"/>
            <w:vAlign w:val="bottom"/>
          </w:tcPr>
          <w:p w:rsidR="002265C7" w:rsidRPr="001B1E83" w:rsidRDefault="002265C7" w:rsidP="00D27F8A">
            <w:pPr>
              <w:pStyle w:val="TableFigText"/>
              <w:jc w:val="right"/>
            </w:pPr>
            <w:r w:rsidRPr="001B1E83">
              <w:t>107,487</w:t>
            </w:r>
          </w:p>
        </w:tc>
        <w:tc>
          <w:tcPr>
            <w:tcW w:w="1071" w:type="dxa"/>
            <w:vAlign w:val="bottom"/>
          </w:tcPr>
          <w:p w:rsidR="002265C7" w:rsidRPr="001B1E83" w:rsidRDefault="002265C7" w:rsidP="00D27F8A">
            <w:pPr>
              <w:pStyle w:val="TableFigText"/>
              <w:jc w:val="right"/>
            </w:pPr>
            <w:r w:rsidRPr="001B1E83">
              <w:t>6,637</w:t>
            </w:r>
          </w:p>
        </w:tc>
        <w:tc>
          <w:tcPr>
            <w:tcW w:w="1123" w:type="dxa"/>
            <w:vAlign w:val="bottom"/>
          </w:tcPr>
          <w:p w:rsidR="002265C7" w:rsidRPr="001B1E83" w:rsidRDefault="002265C7" w:rsidP="00D27F8A">
            <w:pPr>
              <w:pStyle w:val="TableFigText"/>
              <w:jc w:val="right"/>
            </w:pPr>
            <w:r w:rsidRPr="001B1E83">
              <w:t>1,746</w:t>
            </w:r>
          </w:p>
        </w:tc>
        <w:tc>
          <w:tcPr>
            <w:tcW w:w="1097" w:type="dxa"/>
            <w:vAlign w:val="bottom"/>
          </w:tcPr>
          <w:p w:rsidR="002265C7" w:rsidRPr="001B1E83" w:rsidRDefault="002265C7" w:rsidP="00D27F8A">
            <w:pPr>
              <w:pStyle w:val="TableFigText"/>
              <w:jc w:val="right"/>
            </w:pPr>
            <w:r w:rsidRPr="001B1E83">
              <w:t>2,371,462</w:t>
            </w:r>
          </w:p>
        </w:tc>
      </w:tr>
      <w:tr w:rsidR="002265C7" w:rsidRPr="001B1E83" w:rsidTr="002265C7">
        <w:tc>
          <w:tcPr>
            <w:tcW w:w="2490" w:type="dxa"/>
          </w:tcPr>
          <w:p w:rsidR="002265C7" w:rsidRPr="001B1E83" w:rsidRDefault="002265C7" w:rsidP="002265C7">
            <w:pPr>
              <w:pStyle w:val="TableFigText"/>
              <w:rPr>
                <w:rFonts w:asciiTheme="minorHAnsi" w:hAnsiTheme="minorHAnsi" w:cstheme="minorHAnsi"/>
                <w:szCs w:val="22"/>
              </w:rPr>
            </w:pPr>
            <w:r w:rsidRPr="001B1E83">
              <w:rPr>
                <w:rFonts w:asciiTheme="minorHAnsi" w:hAnsiTheme="minorHAnsi" w:cstheme="minorHAnsi"/>
                <w:szCs w:val="22"/>
              </w:rPr>
              <w:t>Residential mental health care days</w:t>
            </w:r>
            <w:r w:rsidRPr="001B1E83">
              <w:rPr>
                <w:rFonts w:asciiTheme="minorHAnsi" w:hAnsiTheme="minorHAnsi" w:cstheme="minorHAnsi"/>
                <w:szCs w:val="22"/>
                <w:vertAlign w:val="superscript"/>
              </w:rPr>
              <w:t>(c)</w:t>
            </w:r>
          </w:p>
        </w:tc>
        <w:tc>
          <w:tcPr>
            <w:tcW w:w="1079" w:type="dxa"/>
            <w:vAlign w:val="bottom"/>
          </w:tcPr>
          <w:p w:rsidR="002265C7" w:rsidRPr="001B1E83" w:rsidRDefault="002265C7" w:rsidP="00D27F8A">
            <w:pPr>
              <w:pStyle w:val="TableFigText"/>
              <w:jc w:val="right"/>
            </w:pPr>
            <w:r w:rsidRPr="001B1E83">
              <w:t>34,584</w:t>
            </w:r>
          </w:p>
        </w:tc>
        <w:tc>
          <w:tcPr>
            <w:tcW w:w="1427" w:type="dxa"/>
            <w:vAlign w:val="bottom"/>
          </w:tcPr>
          <w:p w:rsidR="002265C7" w:rsidRPr="001B1E83" w:rsidRDefault="002265C7" w:rsidP="00D27F8A">
            <w:pPr>
              <w:pStyle w:val="TableFigText"/>
              <w:jc w:val="right"/>
            </w:pPr>
            <w:r w:rsidRPr="001B1E83">
              <w:t>19,441</w:t>
            </w:r>
          </w:p>
        </w:tc>
        <w:tc>
          <w:tcPr>
            <w:tcW w:w="1289" w:type="dxa"/>
            <w:vAlign w:val="bottom"/>
          </w:tcPr>
          <w:p w:rsidR="002265C7" w:rsidRPr="001B1E83" w:rsidRDefault="002265C7" w:rsidP="00D27F8A">
            <w:pPr>
              <w:pStyle w:val="TableFigText"/>
              <w:jc w:val="right"/>
            </w:pPr>
            <w:r w:rsidRPr="001B1E83">
              <w:t>559</w:t>
            </w:r>
          </w:p>
        </w:tc>
        <w:tc>
          <w:tcPr>
            <w:tcW w:w="1071" w:type="dxa"/>
            <w:vAlign w:val="bottom"/>
          </w:tcPr>
          <w:p w:rsidR="002265C7" w:rsidRPr="001B1E83" w:rsidRDefault="002265C7" w:rsidP="00D27F8A">
            <w:pPr>
              <w:pStyle w:val="TableFigText"/>
              <w:jc w:val="right"/>
            </w:pPr>
            <w:r w:rsidRPr="001B1E83">
              <w:t>0</w:t>
            </w:r>
          </w:p>
        </w:tc>
        <w:tc>
          <w:tcPr>
            <w:tcW w:w="1123" w:type="dxa"/>
            <w:vAlign w:val="bottom"/>
          </w:tcPr>
          <w:p w:rsidR="002265C7" w:rsidRPr="001B1E83" w:rsidRDefault="002265C7" w:rsidP="00D27F8A">
            <w:pPr>
              <w:pStyle w:val="TableFigText"/>
              <w:jc w:val="right"/>
            </w:pPr>
            <w:r w:rsidRPr="001B1E83">
              <w:t>0</w:t>
            </w:r>
          </w:p>
        </w:tc>
        <w:tc>
          <w:tcPr>
            <w:tcW w:w="1097" w:type="dxa"/>
            <w:vAlign w:val="bottom"/>
          </w:tcPr>
          <w:p w:rsidR="002265C7" w:rsidRPr="001B1E83" w:rsidRDefault="002265C7" w:rsidP="00D27F8A">
            <w:pPr>
              <w:pStyle w:val="TableFigText"/>
              <w:jc w:val="right"/>
            </w:pPr>
            <w:r w:rsidRPr="001B1E83">
              <w:t>54,583</w:t>
            </w:r>
          </w:p>
        </w:tc>
      </w:tr>
    </w:tbl>
    <w:p w:rsidR="002265C7" w:rsidRPr="00541ED8" w:rsidRDefault="002265C7" w:rsidP="00540186">
      <w:pPr>
        <w:pStyle w:val="TableFigNotesnumbered"/>
        <w:numPr>
          <w:ilvl w:val="0"/>
          <w:numId w:val="62"/>
        </w:numPr>
        <w:rPr>
          <w:rStyle w:val="table-note"/>
        </w:rPr>
      </w:pPr>
      <w:r w:rsidRPr="00541ED8">
        <w:rPr>
          <w:rStyle w:val="table-note"/>
        </w:rPr>
        <w:t xml:space="preserve">Hospital days, also known as accrued mental health care days for public hospital services, will not equal figures reported from the National hospital morbidity database due to scope differences between the two collections.  </w:t>
      </w:r>
    </w:p>
    <w:p w:rsidR="002265C7" w:rsidRPr="00541ED8" w:rsidRDefault="002265C7" w:rsidP="00540186">
      <w:pPr>
        <w:pStyle w:val="TableFigNotesnumbered"/>
        <w:numPr>
          <w:ilvl w:val="0"/>
          <w:numId w:val="62"/>
        </w:numPr>
        <w:rPr>
          <w:rStyle w:val="table-note"/>
        </w:rPr>
      </w:pPr>
      <w:r w:rsidRPr="00541ED8">
        <w:rPr>
          <w:rStyle w:val="table-note"/>
        </w:rPr>
        <w:t xml:space="preserve">Community mental health care contacts will not equate to those reported from the Community mental health care database due to differing scope. </w:t>
      </w:r>
    </w:p>
    <w:p w:rsidR="002265C7" w:rsidRPr="00541ED8" w:rsidRDefault="002265C7" w:rsidP="00540186">
      <w:pPr>
        <w:pStyle w:val="TableFigNotesnumbered"/>
        <w:numPr>
          <w:ilvl w:val="0"/>
          <w:numId w:val="62"/>
        </w:numPr>
        <w:rPr>
          <w:rStyle w:val="table-note"/>
        </w:rPr>
      </w:pPr>
      <w:proofErr w:type="gramStart"/>
      <w:r w:rsidRPr="00541ED8">
        <w:rPr>
          <w:rStyle w:val="table-note"/>
        </w:rPr>
        <w:t>Residential mental health care days comprises</w:t>
      </w:r>
      <w:proofErr w:type="gramEnd"/>
      <w:r w:rsidRPr="00541ED8">
        <w:rPr>
          <w:rStyle w:val="table-note"/>
        </w:rPr>
        <w:t xml:space="preserve"> the number of care days provided by all services, including government and non-government operated services, and 24-hour and non-24-hour staffed services. Figures will not equate to those reported from the Residential mental health care database due to differing collection scopes.</w:t>
      </w:r>
    </w:p>
    <w:p w:rsidR="002265C7" w:rsidRPr="00541ED8" w:rsidRDefault="002265C7" w:rsidP="00540186">
      <w:pPr>
        <w:pStyle w:val="ListParagraph"/>
        <w:numPr>
          <w:ilvl w:val="0"/>
          <w:numId w:val="63"/>
        </w:numPr>
        <w:spacing w:after="0" w:line="240" w:lineRule="auto"/>
        <w:rPr>
          <w:rStyle w:val="table-note"/>
          <w:rFonts w:ascii="Arial" w:eastAsia="Times New Roman" w:hAnsi="Arial" w:cs="Times New Roman"/>
          <w:sz w:val="14"/>
          <w:szCs w:val="20"/>
          <w:lang w:eastAsia="en-US"/>
        </w:rPr>
      </w:pPr>
      <w:r w:rsidRPr="00541ED8">
        <w:rPr>
          <w:rStyle w:val="table-note"/>
          <w:rFonts w:ascii="Arial" w:eastAsia="Times New Roman" w:hAnsi="Arial" w:cs="Times New Roman"/>
          <w:sz w:val="14"/>
          <w:szCs w:val="20"/>
          <w:lang w:eastAsia="en-US"/>
        </w:rPr>
        <w:t>&lt;IMPORTANT note for NSW – AIHW is investigating the increase in Outer regional community mental health care contacts (approx. increase of 63,000 contacts) and the associated change in expenditure (</w:t>
      </w:r>
      <w:r w:rsidR="0095684B" w:rsidRPr="00541ED8">
        <w:rPr>
          <w:rStyle w:val="table-note"/>
          <w:rFonts w:ascii="Arial" w:eastAsia="Times New Roman" w:hAnsi="Arial" w:cs="Times New Roman"/>
          <w:sz w:val="14"/>
          <w:szCs w:val="20"/>
          <w:lang w:eastAsia="en-US"/>
        </w:rPr>
        <w:t>approx.</w:t>
      </w:r>
      <w:r w:rsidRPr="00541ED8">
        <w:rPr>
          <w:rStyle w:val="table-note"/>
          <w:rFonts w:ascii="Arial" w:eastAsia="Times New Roman" w:hAnsi="Arial" w:cs="Times New Roman"/>
          <w:sz w:val="14"/>
          <w:szCs w:val="20"/>
          <w:lang w:eastAsia="en-US"/>
        </w:rPr>
        <w:t xml:space="preserve"> $1.5 million). Based on the data presented in this paper, this means that the average cost per contact for Outer regional services has changed from around $508 in 2007–08 to around $221 in 2011–12. This compares with the state-wide average of $187 and $210 respectively. The AIHW will contact NSW Health with a view to undertaking additional analysis regarding these </w:t>
      </w:r>
      <w:proofErr w:type="gramStart"/>
      <w:r w:rsidRPr="00541ED8">
        <w:rPr>
          <w:rStyle w:val="table-note"/>
          <w:rFonts w:ascii="Arial" w:eastAsia="Times New Roman" w:hAnsi="Arial" w:cs="Times New Roman"/>
          <w:sz w:val="14"/>
          <w:szCs w:val="20"/>
          <w:lang w:eastAsia="en-US"/>
        </w:rPr>
        <w:t>data,</w:t>
      </w:r>
      <w:proofErr w:type="gramEnd"/>
      <w:r w:rsidRPr="00541ED8">
        <w:rPr>
          <w:rStyle w:val="table-note"/>
          <w:rFonts w:ascii="Arial" w:eastAsia="Times New Roman" w:hAnsi="Arial" w:cs="Times New Roman"/>
          <w:sz w:val="14"/>
          <w:szCs w:val="20"/>
          <w:lang w:eastAsia="en-US"/>
        </w:rPr>
        <w:t xml:space="preserve"> however, further review of the data by NSW is indicated in order to understand whether some data should be supressed due to data quality issues. &gt;</w:t>
      </w:r>
    </w:p>
    <w:p w:rsidR="002265C7" w:rsidRDefault="002265C7" w:rsidP="002265C7">
      <w:pPr>
        <w:pStyle w:val="AIHWbodytext"/>
      </w:pPr>
      <w:r>
        <w:br w:type="page"/>
      </w:r>
    </w:p>
    <w:p w:rsidR="002265C7" w:rsidRPr="008B7E34" w:rsidRDefault="002265C7" w:rsidP="002265C7">
      <w:pPr>
        <w:pStyle w:val="Heading3"/>
      </w:pPr>
      <w:bookmarkStart w:id="12" w:name="_Toc403057863"/>
      <w:r>
        <w:lastRenderedPageBreak/>
        <w:t>Victoria</w:t>
      </w:r>
      <w:bookmarkEnd w:id="12"/>
    </w:p>
    <w:p w:rsidR="002265C7" w:rsidRPr="0096114C" w:rsidRDefault="0096114C" w:rsidP="002265C7">
      <w:pPr>
        <w:pStyle w:val="TableCaption"/>
        <w:rPr>
          <w:rStyle w:val="table-note"/>
        </w:rPr>
      </w:pPr>
      <w:r w:rsidRPr="0096114C">
        <w:rPr>
          <w:rStyle w:val="table-note"/>
        </w:rPr>
        <w:t xml:space="preserve">Table 12: </w:t>
      </w:r>
      <w:r w:rsidR="002265C7" w:rsidRPr="0096114C">
        <w:rPr>
          <w:rStyle w:val="table-note"/>
        </w:rPr>
        <w:t xml:space="preserve">VIC: Recurrent </w:t>
      </w:r>
      <w:proofErr w:type="gramStart"/>
      <w:r w:rsidR="002265C7" w:rsidRPr="0096114C">
        <w:rPr>
          <w:rStyle w:val="table-note"/>
        </w:rPr>
        <w:t>expenditure</w:t>
      </w:r>
      <w:r w:rsidR="002265C7" w:rsidRPr="0096114C">
        <w:rPr>
          <w:rStyle w:val="table-note"/>
          <w:vertAlign w:val="superscript"/>
        </w:rPr>
        <w:t>(</w:t>
      </w:r>
      <w:proofErr w:type="gramEnd"/>
      <w:r w:rsidR="002265C7" w:rsidRPr="0096114C">
        <w:rPr>
          <w:rStyle w:val="table-note"/>
          <w:vertAlign w:val="superscript"/>
        </w:rPr>
        <w:t>a)(b)</w:t>
      </w:r>
      <w:r w:rsidR="002265C7" w:rsidRPr="0096114C">
        <w:rPr>
          <w:rStyle w:val="table-note"/>
        </w:rPr>
        <w:t xml:space="preserve"> ($’000) on state and territory specialised mental health services, by service type, 2007–08 (constant prices)</w:t>
      </w:r>
      <w:r w:rsidR="002265C7" w:rsidRPr="0096114C">
        <w:rPr>
          <w:rStyle w:val="table-note"/>
          <w:vertAlign w:val="superscript"/>
        </w:rPr>
        <w:t>(c)</w:t>
      </w:r>
    </w:p>
    <w:tbl>
      <w:tblPr>
        <w:tblStyle w:val="TableGrid"/>
        <w:tblW w:w="0" w:type="auto"/>
        <w:tblLook w:val="04A0" w:firstRow="1" w:lastRow="0" w:firstColumn="1" w:lastColumn="0" w:noHBand="0" w:noVBand="1"/>
        <w:tblCaption w:val="VIC: Recurrent expenditure(a)(b) ($’000) on state and territory specialised mental health services, by service type, 2007–08 (constant prices)(c)"/>
        <w:tblDescription w:val="Table showing that, in 2007-2008, major cities in VIC have the highest recurrent expenditure for all specialised mental health services at $604,642,000. Recurrent expenditure decreased as regions became more remote. Community mental health services also have the highest amount of recurrent expenditure across all region types at $345,004,000."/>
      </w:tblPr>
      <w:tblGrid>
        <w:gridCol w:w="2381"/>
        <w:gridCol w:w="1054"/>
        <w:gridCol w:w="1375"/>
        <w:gridCol w:w="1245"/>
        <w:gridCol w:w="1043"/>
        <w:gridCol w:w="1088"/>
        <w:gridCol w:w="1100"/>
      </w:tblGrid>
      <w:tr w:rsidR="002265C7" w:rsidRPr="001B1E83" w:rsidTr="000C3DEA">
        <w:trPr>
          <w:tblHeader/>
        </w:trPr>
        <w:tc>
          <w:tcPr>
            <w:tcW w:w="2490" w:type="dxa"/>
          </w:tcPr>
          <w:p w:rsidR="002265C7" w:rsidRPr="001B1E83" w:rsidRDefault="002265C7" w:rsidP="002265C7">
            <w:pPr>
              <w:pStyle w:val="TableFigText"/>
              <w:rPr>
                <w:rFonts w:asciiTheme="minorHAnsi" w:hAnsiTheme="minorHAnsi" w:cstheme="minorHAnsi"/>
                <w:szCs w:val="22"/>
              </w:rPr>
            </w:pPr>
          </w:p>
        </w:tc>
        <w:tc>
          <w:tcPr>
            <w:tcW w:w="1074" w:type="dxa"/>
          </w:tcPr>
          <w:p w:rsidR="002265C7" w:rsidRPr="001B1E83" w:rsidRDefault="002265C7" w:rsidP="002265C7">
            <w:pPr>
              <w:pStyle w:val="TableFigText"/>
              <w:jc w:val="right"/>
              <w:rPr>
                <w:rFonts w:asciiTheme="minorHAnsi" w:hAnsiTheme="minorHAnsi" w:cstheme="minorHAnsi"/>
                <w:b/>
                <w:szCs w:val="22"/>
              </w:rPr>
            </w:pPr>
            <w:r w:rsidRPr="001B1E83">
              <w:rPr>
                <w:rFonts w:asciiTheme="minorHAnsi" w:hAnsiTheme="minorHAnsi" w:cstheme="minorHAnsi"/>
                <w:b/>
                <w:szCs w:val="22"/>
              </w:rPr>
              <w:t>Major cities</w:t>
            </w:r>
          </w:p>
        </w:tc>
        <w:tc>
          <w:tcPr>
            <w:tcW w:w="1420" w:type="dxa"/>
          </w:tcPr>
          <w:p w:rsidR="002265C7" w:rsidRPr="001B1E83" w:rsidRDefault="002265C7" w:rsidP="002265C7">
            <w:pPr>
              <w:pStyle w:val="TableFigText"/>
              <w:jc w:val="right"/>
              <w:rPr>
                <w:rFonts w:asciiTheme="minorHAnsi" w:hAnsiTheme="minorHAnsi" w:cstheme="minorHAnsi"/>
                <w:b/>
                <w:szCs w:val="22"/>
              </w:rPr>
            </w:pPr>
            <w:r w:rsidRPr="001B1E83">
              <w:rPr>
                <w:rFonts w:asciiTheme="minorHAnsi" w:hAnsiTheme="minorHAnsi" w:cstheme="minorHAnsi"/>
                <w:b/>
                <w:szCs w:val="22"/>
              </w:rPr>
              <w:t>Inner regional</w:t>
            </w:r>
          </w:p>
        </w:tc>
        <w:tc>
          <w:tcPr>
            <w:tcW w:w="1283" w:type="dxa"/>
          </w:tcPr>
          <w:p w:rsidR="002265C7" w:rsidRPr="001B1E83" w:rsidRDefault="002265C7" w:rsidP="002265C7">
            <w:pPr>
              <w:pStyle w:val="TableFigText"/>
              <w:jc w:val="right"/>
              <w:rPr>
                <w:rFonts w:asciiTheme="minorHAnsi" w:hAnsiTheme="minorHAnsi" w:cstheme="minorHAnsi"/>
                <w:b/>
                <w:szCs w:val="22"/>
              </w:rPr>
            </w:pPr>
            <w:r w:rsidRPr="001B1E83">
              <w:rPr>
                <w:rFonts w:asciiTheme="minorHAnsi" w:hAnsiTheme="minorHAnsi" w:cstheme="minorHAnsi"/>
                <w:b/>
                <w:szCs w:val="22"/>
              </w:rPr>
              <w:t>Outer regional</w:t>
            </w:r>
          </w:p>
        </w:tc>
        <w:tc>
          <w:tcPr>
            <w:tcW w:w="1067" w:type="dxa"/>
          </w:tcPr>
          <w:p w:rsidR="002265C7" w:rsidRPr="001B1E83" w:rsidRDefault="002265C7" w:rsidP="002265C7">
            <w:pPr>
              <w:pStyle w:val="TableFigText"/>
              <w:jc w:val="right"/>
              <w:rPr>
                <w:rFonts w:asciiTheme="minorHAnsi" w:hAnsiTheme="minorHAnsi" w:cstheme="minorHAnsi"/>
                <w:b/>
                <w:szCs w:val="22"/>
              </w:rPr>
            </w:pPr>
            <w:r w:rsidRPr="001B1E83">
              <w:rPr>
                <w:rFonts w:asciiTheme="minorHAnsi" w:hAnsiTheme="minorHAnsi" w:cstheme="minorHAnsi"/>
                <w:b/>
                <w:szCs w:val="22"/>
              </w:rPr>
              <w:t>Remote</w:t>
            </w:r>
          </w:p>
        </w:tc>
        <w:tc>
          <w:tcPr>
            <w:tcW w:w="1118" w:type="dxa"/>
          </w:tcPr>
          <w:p w:rsidR="002265C7" w:rsidRPr="001B1E83" w:rsidRDefault="002265C7" w:rsidP="002265C7">
            <w:pPr>
              <w:pStyle w:val="TableFigText"/>
              <w:jc w:val="right"/>
              <w:rPr>
                <w:rFonts w:asciiTheme="minorHAnsi" w:hAnsiTheme="minorHAnsi" w:cstheme="minorHAnsi"/>
                <w:b/>
                <w:szCs w:val="22"/>
              </w:rPr>
            </w:pPr>
            <w:r w:rsidRPr="001B1E83">
              <w:rPr>
                <w:rFonts w:asciiTheme="minorHAnsi" w:hAnsiTheme="minorHAnsi" w:cstheme="minorHAnsi"/>
                <w:b/>
                <w:szCs w:val="22"/>
              </w:rPr>
              <w:t>Very remote</w:t>
            </w:r>
          </w:p>
        </w:tc>
        <w:tc>
          <w:tcPr>
            <w:tcW w:w="1124" w:type="dxa"/>
          </w:tcPr>
          <w:p w:rsidR="002265C7" w:rsidRPr="001B1E83" w:rsidRDefault="002265C7" w:rsidP="002265C7">
            <w:pPr>
              <w:pStyle w:val="TableFigText"/>
              <w:jc w:val="right"/>
              <w:rPr>
                <w:rFonts w:asciiTheme="minorHAnsi" w:hAnsiTheme="minorHAnsi" w:cstheme="minorHAnsi"/>
                <w:b/>
                <w:szCs w:val="22"/>
              </w:rPr>
            </w:pPr>
            <w:r w:rsidRPr="001B1E83">
              <w:rPr>
                <w:rFonts w:asciiTheme="minorHAnsi" w:hAnsiTheme="minorHAnsi" w:cstheme="minorHAnsi"/>
                <w:b/>
                <w:szCs w:val="22"/>
              </w:rPr>
              <w:t>Total</w:t>
            </w:r>
            <w:r w:rsidRPr="001B1E83">
              <w:rPr>
                <w:rFonts w:asciiTheme="minorHAnsi" w:hAnsiTheme="minorHAnsi" w:cstheme="minorHAnsi"/>
                <w:szCs w:val="22"/>
                <w:vertAlign w:val="superscript"/>
              </w:rPr>
              <w:t>(d)</w:t>
            </w:r>
          </w:p>
        </w:tc>
      </w:tr>
      <w:tr w:rsidR="002265C7" w:rsidRPr="001B1E83" w:rsidTr="002265C7">
        <w:tc>
          <w:tcPr>
            <w:tcW w:w="2490" w:type="dxa"/>
          </w:tcPr>
          <w:p w:rsidR="002265C7" w:rsidRPr="001B1E83" w:rsidRDefault="002265C7" w:rsidP="002265C7">
            <w:pPr>
              <w:pStyle w:val="TableFigText"/>
              <w:rPr>
                <w:rFonts w:asciiTheme="minorHAnsi" w:hAnsiTheme="minorHAnsi" w:cstheme="minorHAnsi"/>
                <w:szCs w:val="22"/>
              </w:rPr>
            </w:pPr>
            <w:r w:rsidRPr="001B1E83">
              <w:rPr>
                <w:rFonts w:asciiTheme="minorHAnsi" w:hAnsiTheme="minorHAnsi" w:cstheme="minorHAnsi"/>
                <w:szCs w:val="22"/>
              </w:rPr>
              <w:t>Public hospital services</w:t>
            </w:r>
            <w:r w:rsidRPr="001B1E83">
              <w:rPr>
                <w:rFonts w:asciiTheme="minorHAnsi" w:hAnsiTheme="minorHAnsi" w:cstheme="minorHAnsi"/>
                <w:szCs w:val="22"/>
                <w:vertAlign w:val="superscript"/>
              </w:rPr>
              <w:t>(e)(f)</w:t>
            </w:r>
          </w:p>
        </w:tc>
        <w:tc>
          <w:tcPr>
            <w:tcW w:w="1074" w:type="dxa"/>
          </w:tcPr>
          <w:p w:rsidR="002265C7" w:rsidRPr="001B1E83" w:rsidRDefault="002265C7" w:rsidP="00D27F8A">
            <w:pPr>
              <w:pStyle w:val="TableFigText"/>
              <w:jc w:val="right"/>
              <w:rPr>
                <w:rFonts w:cstheme="minorHAnsi"/>
              </w:rPr>
            </w:pPr>
            <w:r w:rsidRPr="001B1E83">
              <w:t>235,941</w:t>
            </w:r>
          </w:p>
        </w:tc>
        <w:tc>
          <w:tcPr>
            <w:tcW w:w="1420" w:type="dxa"/>
          </w:tcPr>
          <w:p w:rsidR="002265C7" w:rsidRPr="001B1E83" w:rsidRDefault="002265C7" w:rsidP="00D27F8A">
            <w:pPr>
              <w:pStyle w:val="TableFigText"/>
              <w:jc w:val="right"/>
              <w:rPr>
                <w:rFonts w:cstheme="minorHAnsi"/>
              </w:rPr>
            </w:pPr>
            <w:r w:rsidRPr="001B1E83">
              <w:t>46,084</w:t>
            </w:r>
          </w:p>
        </w:tc>
        <w:tc>
          <w:tcPr>
            <w:tcW w:w="1283" w:type="dxa"/>
          </w:tcPr>
          <w:p w:rsidR="002265C7" w:rsidRPr="001B1E83" w:rsidRDefault="002265C7" w:rsidP="00D27F8A">
            <w:pPr>
              <w:pStyle w:val="TableFigText"/>
              <w:jc w:val="right"/>
              <w:rPr>
                <w:rFonts w:cstheme="minorHAnsi"/>
              </w:rPr>
            </w:pPr>
            <w:r w:rsidRPr="001B1E83">
              <w:t>4,737</w:t>
            </w:r>
          </w:p>
        </w:tc>
        <w:tc>
          <w:tcPr>
            <w:tcW w:w="1067" w:type="dxa"/>
          </w:tcPr>
          <w:p w:rsidR="002265C7" w:rsidRPr="001B1E83" w:rsidRDefault="002265C7" w:rsidP="00D27F8A">
            <w:pPr>
              <w:pStyle w:val="TableFigText"/>
              <w:jc w:val="right"/>
              <w:rPr>
                <w:rFonts w:cstheme="minorHAnsi"/>
              </w:rPr>
            </w:pPr>
            <w:r w:rsidRPr="001B1E83">
              <w:t>0</w:t>
            </w:r>
          </w:p>
        </w:tc>
        <w:tc>
          <w:tcPr>
            <w:tcW w:w="1118" w:type="dxa"/>
          </w:tcPr>
          <w:p w:rsidR="002265C7" w:rsidRPr="001B1E83" w:rsidRDefault="002265C7" w:rsidP="00D27F8A">
            <w:pPr>
              <w:pStyle w:val="TableFigText"/>
              <w:jc w:val="right"/>
              <w:rPr>
                <w:rFonts w:cstheme="minorHAnsi"/>
              </w:rPr>
            </w:pPr>
            <w:r w:rsidRPr="001B1E83">
              <w:t>n/a</w:t>
            </w:r>
          </w:p>
        </w:tc>
        <w:tc>
          <w:tcPr>
            <w:tcW w:w="1124" w:type="dxa"/>
          </w:tcPr>
          <w:p w:rsidR="002265C7" w:rsidRPr="001B1E83" w:rsidRDefault="002265C7" w:rsidP="00D27F8A">
            <w:pPr>
              <w:pStyle w:val="TableFigText"/>
              <w:jc w:val="right"/>
              <w:rPr>
                <w:rFonts w:cstheme="minorHAnsi"/>
              </w:rPr>
            </w:pPr>
            <w:r w:rsidRPr="001B1E83">
              <w:t>286,762</w:t>
            </w:r>
          </w:p>
        </w:tc>
      </w:tr>
      <w:tr w:rsidR="002265C7" w:rsidRPr="001B1E83" w:rsidTr="002265C7">
        <w:tc>
          <w:tcPr>
            <w:tcW w:w="2490" w:type="dxa"/>
          </w:tcPr>
          <w:p w:rsidR="002265C7" w:rsidRPr="001B1E83" w:rsidRDefault="002265C7" w:rsidP="002265C7">
            <w:pPr>
              <w:pStyle w:val="TableFigText"/>
              <w:rPr>
                <w:rFonts w:asciiTheme="minorHAnsi" w:hAnsiTheme="minorHAnsi" w:cstheme="minorHAnsi"/>
                <w:szCs w:val="22"/>
              </w:rPr>
            </w:pPr>
            <w:r w:rsidRPr="001B1E83">
              <w:rPr>
                <w:rFonts w:asciiTheme="minorHAnsi" w:hAnsiTheme="minorHAnsi" w:cstheme="minorHAnsi"/>
                <w:szCs w:val="22"/>
              </w:rPr>
              <w:t>Community mental health services</w:t>
            </w:r>
          </w:p>
        </w:tc>
        <w:tc>
          <w:tcPr>
            <w:tcW w:w="1074" w:type="dxa"/>
          </w:tcPr>
          <w:p w:rsidR="002265C7" w:rsidRPr="001B1E83" w:rsidRDefault="002265C7" w:rsidP="00D27F8A">
            <w:pPr>
              <w:pStyle w:val="TableFigText"/>
              <w:jc w:val="right"/>
              <w:rPr>
                <w:rFonts w:cstheme="minorHAnsi"/>
              </w:rPr>
            </w:pPr>
            <w:r w:rsidRPr="001B1E83">
              <w:t>253,824</w:t>
            </w:r>
          </w:p>
        </w:tc>
        <w:tc>
          <w:tcPr>
            <w:tcW w:w="1420" w:type="dxa"/>
          </w:tcPr>
          <w:p w:rsidR="002265C7" w:rsidRPr="001B1E83" w:rsidRDefault="002265C7" w:rsidP="00D27F8A">
            <w:pPr>
              <w:pStyle w:val="TableFigText"/>
              <w:jc w:val="right"/>
              <w:rPr>
                <w:rFonts w:cstheme="minorHAnsi"/>
              </w:rPr>
            </w:pPr>
            <w:r w:rsidRPr="001B1E83">
              <w:t>81,035</w:t>
            </w:r>
          </w:p>
        </w:tc>
        <w:tc>
          <w:tcPr>
            <w:tcW w:w="1283" w:type="dxa"/>
          </w:tcPr>
          <w:p w:rsidR="002265C7" w:rsidRPr="001B1E83" w:rsidRDefault="002265C7" w:rsidP="00D27F8A">
            <w:pPr>
              <w:pStyle w:val="TableFigText"/>
              <w:jc w:val="right"/>
              <w:rPr>
                <w:rFonts w:cstheme="minorHAnsi"/>
              </w:rPr>
            </w:pPr>
            <w:r w:rsidRPr="001B1E83">
              <w:t>9,953</w:t>
            </w:r>
          </w:p>
        </w:tc>
        <w:tc>
          <w:tcPr>
            <w:tcW w:w="1067" w:type="dxa"/>
          </w:tcPr>
          <w:p w:rsidR="002265C7" w:rsidRPr="001B1E83" w:rsidRDefault="002265C7" w:rsidP="00D27F8A">
            <w:pPr>
              <w:pStyle w:val="TableFigText"/>
              <w:jc w:val="right"/>
              <w:rPr>
                <w:rFonts w:cstheme="minorHAnsi"/>
              </w:rPr>
            </w:pPr>
            <w:r w:rsidRPr="001B1E83">
              <w:t>192</w:t>
            </w:r>
          </w:p>
        </w:tc>
        <w:tc>
          <w:tcPr>
            <w:tcW w:w="1118" w:type="dxa"/>
          </w:tcPr>
          <w:p w:rsidR="002265C7" w:rsidRPr="001B1E83" w:rsidRDefault="002265C7" w:rsidP="00D27F8A">
            <w:pPr>
              <w:pStyle w:val="TableFigText"/>
              <w:jc w:val="right"/>
              <w:rPr>
                <w:rFonts w:cstheme="minorHAnsi"/>
              </w:rPr>
            </w:pPr>
            <w:r w:rsidRPr="001B1E83">
              <w:t>n/a</w:t>
            </w:r>
          </w:p>
        </w:tc>
        <w:tc>
          <w:tcPr>
            <w:tcW w:w="1124" w:type="dxa"/>
          </w:tcPr>
          <w:p w:rsidR="002265C7" w:rsidRPr="001B1E83" w:rsidRDefault="002265C7" w:rsidP="00D27F8A">
            <w:pPr>
              <w:pStyle w:val="TableFigText"/>
              <w:jc w:val="right"/>
              <w:rPr>
                <w:rFonts w:cstheme="minorHAnsi"/>
              </w:rPr>
            </w:pPr>
            <w:r w:rsidRPr="001B1E83">
              <w:t>345,004</w:t>
            </w:r>
          </w:p>
        </w:tc>
      </w:tr>
      <w:tr w:rsidR="002265C7" w:rsidRPr="001B1E83" w:rsidTr="002265C7">
        <w:tc>
          <w:tcPr>
            <w:tcW w:w="2490" w:type="dxa"/>
          </w:tcPr>
          <w:p w:rsidR="002265C7" w:rsidRPr="001B1E83" w:rsidRDefault="002265C7" w:rsidP="002265C7">
            <w:pPr>
              <w:pStyle w:val="TableFigText"/>
              <w:rPr>
                <w:rFonts w:asciiTheme="minorHAnsi" w:hAnsiTheme="minorHAnsi" w:cstheme="minorHAnsi"/>
                <w:szCs w:val="22"/>
              </w:rPr>
            </w:pPr>
            <w:r w:rsidRPr="001B1E83">
              <w:rPr>
                <w:rFonts w:asciiTheme="minorHAnsi" w:hAnsiTheme="minorHAnsi" w:cstheme="minorHAnsi"/>
                <w:szCs w:val="22"/>
              </w:rPr>
              <w:t>Residential mental health services</w:t>
            </w:r>
            <w:r w:rsidRPr="001B1E83">
              <w:rPr>
                <w:rFonts w:asciiTheme="minorHAnsi" w:hAnsiTheme="minorHAnsi" w:cstheme="minorHAnsi"/>
                <w:szCs w:val="22"/>
                <w:vertAlign w:val="superscript"/>
              </w:rPr>
              <w:t>(g)</w:t>
            </w:r>
          </w:p>
        </w:tc>
        <w:tc>
          <w:tcPr>
            <w:tcW w:w="1074" w:type="dxa"/>
          </w:tcPr>
          <w:p w:rsidR="002265C7" w:rsidRPr="001B1E83" w:rsidRDefault="002265C7" w:rsidP="00D27F8A">
            <w:pPr>
              <w:pStyle w:val="TableFigText"/>
              <w:jc w:val="right"/>
            </w:pPr>
            <w:r w:rsidRPr="001B1E83">
              <w:t>114,877</w:t>
            </w:r>
          </w:p>
        </w:tc>
        <w:tc>
          <w:tcPr>
            <w:tcW w:w="1420" w:type="dxa"/>
          </w:tcPr>
          <w:p w:rsidR="002265C7" w:rsidRPr="001B1E83" w:rsidRDefault="002265C7" w:rsidP="00D27F8A">
            <w:pPr>
              <w:pStyle w:val="TableFigText"/>
              <w:jc w:val="right"/>
            </w:pPr>
            <w:r w:rsidRPr="001B1E83">
              <w:t>33,508</w:t>
            </w:r>
          </w:p>
        </w:tc>
        <w:tc>
          <w:tcPr>
            <w:tcW w:w="1283" w:type="dxa"/>
          </w:tcPr>
          <w:p w:rsidR="002265C7" w:rsidRPr="001B1E83" w:rsidRDefault="002265C7" w:rsidP="00D27F8A">
            <w:pPr>
              <w:pStyle w:val="TableFigText"/>
              <w:jc w:val="right"/>
            </w:pPr>
            <w:r w:rsidRPr="001B1E83">
              <w:t>823</w:t>
            </w:r>
          </w:p>
        </w:tc>
        <w:tc>
          <w:tcPr>
            <w:tcW w:w="1067" w:type="dxa"/>
          </w:tcPr>
          <w:p w:rsidR="002265C7" w:rsidRPr="001B1E83" w:rsidRDefault="002265C7" w:rsidP="00D27F8A">
            <w:pPr>
              <w:pStyle w:val="TableFigText"/>
              <w:jc w:val="right"/>
            </w:pPr>
            <w:r w:rsidRPr="001B1E83">
              <w:t>92</w:t>
            </w:r>
          </w:p>
        </w:tc>
        <w:tc>
          <w:tcPr>
            <w:tcW w:w="1118" w:type="dxa"/>
          </w:tcPr>
          <w:p w:rsidR="002265C7" w:rsidRPr="001B1E83" w:rsidRDefault="002265C7" w:rsidP="00D27F8A">
            <w:pPr>
              <w:pStyle w:val="TableFigText"/>
              <w:jc w:val="right"/>
            </w:pPr>
            <w:r w:rsidRPr="001B1E83">
              <w:t>n/a</w:t>
            </w:r>
          </w:p>
        </w:tc>
        <w:tc>
          <w:tcPr>
            <w:tcW w:w="1124" w:type="dxa"/>
          </w:tcPr>
          <w:p w:rsidR="002265C7" w:rsidRPr="001B1E83" w:rsidRDefault="002265C7" w:rsidP="00D27F8A">
            <w:pPr>
              <w:pStyle w:val="TableFigText"/>
              <w:jc w:val="right"/>
            </w:pPr>
            <w:r w:rsidRPr="001B1E83">
              <w:t>149,300</w:t>
            </w:r>
          </w:p>
        </w:tc>
      </w:tr>
      <w:tr w:rsidR="002265C7" w:rsidRPr="001B1E83" w:rsidTr="002265C7">
        <w:tc>
          <w:tcPr>
            <w:tcW w:w="2490" w:type="dxa"/>
          </w:tcPr>
          <w:p w:rsidR="002265C7" w:rsidRPr="00D27F8A" w:rsidRDefault="002265C7" w:rsidP="002265C7">
            <w:pPr>
              <w:pStyle w:val="TableFigText"/>
              <w:rPr>
                <w:rFonts w:asciiTheme="minorHAnsi" w:hAnsiTheme="minorHAnsi" w:cstheme="minorHAnsi"/>
                <w:b/>
                <w:szCs w:val="22"/>
              </w:rPr>
            </w:pPr>
            <w:r w:rsidRPr="00D27F8A">
              <w:rPr>
                <w:rFonts w:asciiTheme="minorHAnsi" w:hAnsiTheme="minorHAnsi" w:cstheme="minorHAnsi"/>
                <w:b/>
                <w:szCs w:val="22"/>
              </w:rPr>
              <w:t>All mental health service types</w:t>
            </w:r>
            <w:r w:rsidRPr="00D27F8A">
              <w:rPr>
                <w:rFonts w:asciiTheme="minorHAnsi" w:hAnsiTheme="minorHAnsi" w:cstheme="minorHAnsi"/>
                <w:b/>
                <w:szCs w:val="22"/>
                <w:vertAlign w:val="superscript"/>
              </w:rPr>
              <w:t>(d)</w:t>
            </w:r>
          </w:p>
        </w:tc>
        <w:tc>
          <w:tcPr>
            <w:tcW w:w="1074" w:type="dxa"/>
          </w:tcPr>
          <w:p w:rsidR="002265C7" w:rsidRPr="00D27F8A" w:rsidRDefault="002265C7" w:rsidP="00D27F8A">
            <w:pPr>
              <w:pStyle w:val="TableFigText"/>
              <w:jc w:val="right"/>
              <w:rPr>
                <w:b/>
              </w:rPr>
            </w:pPr>
            <w:r w:rsidRPr="00D27F8A">
              <w:rPr>
                <w:b/>
              </w:rPr>
              <w:t>604,642</w:t>
            </w:r>
          </w:p>
        </w:tc>
        <w:tc>
          <w:tcPr>
            <w:tcW w:w="1420" w:type="dxa"/>
          </w:tcPr>
          <w:p w:rsidR="002265C7" w:rsidRPr="00D27F8A" w:rsidRDefault="002265C7" w:rsidP="00D27F8A">
            <w:pPr>
              <w:pStyle w:val="TableFigText"/>
              <w:jc w:val="right"/>
              <w:rPr>
                <w:b/>
              </w:rPr>
            </w:pPr>
            <w:r w:rsidRPr="00D27F8A">
              <w:rPr>
                <w:b/>
              </w:rPr>
              <w:t>160,627</w:t>
            </w:r>
          </w:p>
        </w:tc>
        <w:tc>
          <w:tcPr>
            <w:tcW w:w="1283" w:type="dxa"/>
          </w:tcPr>
          <w:p w:rsidR="002265C7" w:rsidRPr="00D27F8A" w:rsidRDefault="002265C7" w:rsidP="00D27F8A">
            <w:pPr>
              <w:pStyle w:val="TableFigText"/>
              <w:jc w:val="right"/>
              <w:rPr>
                <w:b/>
              </w:rPr>
            </w:pPr>
            <w:r w:rsidRPr="00D27F8A">
              <w:rPr>
                <w:b/>
              </w:rPr>
              <w:t>15,513</w:t>
            </w:r>
          </w:p>
        </w:tc>
        <w:tc>
          <w:tcPr>
            <w:tcW w:w="1067" w:type="dxa"/>
          </w:tcPr>
          <w:p w:rsidR="002265C7" w:rsidRPr="00D27F8A" w:rsidRDefault="002265C7" w:rsidP="00D27F8A">
            <w:pPr>
              <w:pStyle w:val="TableFigText"/>
              <w:jc w:val="right"/>
              <w:rPr>
                <w:b/>
              </w:rPr>
            </w:pPr>
            <w:r w:rsidRPr="00D27F8A">
              <w:rPr>
                <w:b/>
              </w:rPr>
              <w:t>284</w:t>
            </w:r>
          </w:p>
        </w:tc>
        <w:tc>
          <w:tcPr>
            <w:tcW w:w="1118" w:type="dxa"/>
          </w:tcPr>
          <w:p w:rsidR="002265C7" w:rsidRPr="00D27F8A" w:rsidRDefault="002265C7" w:rsidP="00D27F8A">
            <w:pPr>
              <w:pStyle w:val="TableFigText"/>
              <w:jc w:val="right"/>
              <w:rPr>
                <w:b/>
              </w:rPr>
            </w:pPr>
            <w:r w:rsidRPr="00D27F8A">
              <w:rPr>
                <w:b/>
              </w:rPr>
              <w:t>n/a</w:t>
            </w:r>
          </w:p>
        </w:tc>
        <w:tc>
          <w:tcPr>
            <w:tcW w:w="1124" w:type="dxa"/>
          </w:tcPr>
          <w:p w:rsidR="002265C7" w:rsidRPr="00D27F8A" w:rsidRDefault="002265C7" w:rsidP="00D27F8A">
            <w:pPr>
              <w:pStyle w:val="TableFigText"/>
              <w:jc w:val="right"/>
              <w:rPr>
                <w:b/>
              </w:rPr>
            </w:pPr>
            <w:r w:rsidRPr="00D27F8A">
              <w:rPr>
                <w:b/>
              </w:rPr>
              <w:t>781,065</w:t>
            </w:r>
          </w:p>
        </w:tc>
      </w:tr>
    </w:tbl>
    <w:p w:rsidR="002265C7" w:rsidRPr="00541ED8" w:rsidRDefault="002265C7" w:rsidP="006B2ED0">
      <w:pPr>
        <w:pStyle w:val="TableFigNotesnumbered"/>
        <w:ind w:left="294" w:hanging="294"/>
        <w:rPr>
          <w:rStyle w:val="table-note"/>
        </w:rPr>
      </w:pPr>
      <w:proofErr w:type="gramStart"/>
      <w:r w:rsidRPr="00541ED8">
        <w:rPr>
          <w:rStyle w:val="table-note"/>
        </w:rPr>
        <w:t>n/a</w:t>
      </w:r>
      <w:proofErr w:type="gramEnd"/>
      <w:r w:rsidRPr="00541ED8">
        <w:rPr>
          <w:rStyle w:val="table-note"/>
        </w:rPr>
        <w:tab/>
        <w:t>Not applicable.</w:t>
      </w:r>
    </w:p>
    <w:p w:rsidR="002265C7" w:rsidRPr="00541ED8" w:rsidRDefault="002265C7" w:rsidP="00540186">
      <w:pPr>
        <w:pStyle w:val="TableFigNotesnumbered"/>
        <w:numPr>
          <w:ilvl w:val="0"/>
          <w:numId w:val="64"/>
        </w:numPr>
        <w:rPr>
          <w:rStyle w:val="table-note"/>
        </w:rPr>
      </w:pPr>
      <w:r w:rsidRPr="00541ED8">
        <w:rPr>
          <w:rStyle w:val="table-note"/>
        </w:rPr>
        <w:t>Expenditure excludes depreciation.</w:t>
      </w:r>
    </w:p>
    <w:p w:rsidR="002265C7" w:rsidRPr="00541ED8" w:rsidRDefault="002265C7" w:rsidP="00540186">
      <w:pPr>
        <w:pStyle w:val="TableFigNotesnumbered"/>
        <w:numPr>
          <w:ilvl w:val="0"/>
          <w:numId w:val="64"/>
        </w:numPr>
        <w:rPr>
          <w:rStyle w:val="table-note"/>
        </w:rPr>
      </w:pPr>
      <w:r w:rsidRPr="00541ED8">
        <w:rPr>
          <w:rStyle w:val="table-note"/>
        </w:rPr>
        <w:t>Expenditure excludes grants to non-government organisations and indirect expenditure at the state/territory, region and organisation levels not apportioned to service units.</w:t>
      </w:r>
    </w:p>
    <w:p w:rsidR="002265C7" w:rsidRPr="00541ED8" w:rsidRDefault="002265C7" w:rsidP="00540186">
      <w:pPr>
        <w:pStyle w:val="TableFigNotesnumbered"/>
        <w:numPr>
          <w:ilvl w:val="0"/>
          <w:numId w:val="64"/>
        </w:numPr>
        <w:rPr>
          <w:rStyle w:val="table-note"/>
        </w:rPr>
      </w:pPr>
      <w:r w:rsidRPr="00541ED8">
        <w:rPr>
          <w:rStyle w:val="table-note"/>
        </w:rPr>
        <w:t>Constant prices are referenced to 2011–12 and are adjusted for inflation.</w:t>
      </w:r>
    </w:p>
    <w:p w:rsidR="002265C7" w:rsidRPr="00541ED8" w:rsidRDefault="002265C7" w:rsidP="00540186">
      <w:pPr>
        <w:pStyle w:val="TableFigNotesnumbered"/>
        <w:numPr>
          <w:ilvl w:val="0"/>
          <w:numId w:val="64"/>
        </w:numPr>
        <w:rPr>
          <w:rStyle w:val="table-note"/>
        </w:rPr>
      </w:pPr>
      <w:r w:rsidRPr="00541ED8">
        <w:rPr>
          <w:rStyle w:val="table-note"/>
        </w:rPr>
        <w:t>Totals may not add due to rounding to the nearest $'000.</w:t>
      </w:r>
    </w:p>
    <w:p w:rsidR="002265C7" w:rsidRPr="00541ED8" w:rsidRDefault="002265C7" w:rsidP="00540186">
      <w:pPr>
        <w:pStyle w:val="TableFigNotesnumbered"/>
        <w:numPr>
          <w:ilvl w:val="0"/>
          <w:numId w:val="64"/>
        </w:numPr>
        <w:rPr>
          <w:rStyle w:val="table-note"/>
        </w:rPr>
      </w:pPr>
      <w:r w:rsidRPr="00541ED8">
        <w:rPr>
          <w:rStyle w:val="table-note"/>
        </w:rPr>
        <w:t>Includes public hospital services managed and operated by private and non-government entities.</w:t>
      </w:r>
    </w:p>
    <w:p w:rsidR="002265C7" w:rsidRPr="00541ED8" w:rsidRDefault="002265C7" w:rsidP="00540186">
      <w:pPr>
        <w:pStyle w:val="TableFigNotesnumbered"/>
        <w:numPr>
          <w:ilvl w:val="0"/>
          <w:numId w:val="64"/>
        </w:numPr>
        <w:rPr>
          <w:rStyle w:val="table-note"/>
        </w:rPr>
      </w:pPr>
      <w:r w:rsidRPr="00541ED8">
        <w:rPr>
          <w:rStyle w:val="table-note"/>
        </w:rPr>
        <w:t>Public psychiatric hospitals and specialised psychiatric units or wards in public acute hospitals include expenditure on admitted patient services only. Public hospitals outpatient departments are included in communit</w:t>
      </w:r>
      <w:r w:rsidR="001F0D51" w:rsidRPr="00541ED8">
        <w:rPr>
          <w:rStyle w:val="table-note"/>
        </w:rPr>
        <w:t>y mental health care services.</w:t>
      </w:r>
    </w:p>
    <w:p w:rsidR="002265C7" w:rsidRPr="00541ED8" w:rsidRDefault="002265C7" w:rsidP="00540186">
      <w:pPr>
        <w:pStyle w:val="TableFigNotesnumbered"/>
        <w:numPr>
          <w:ilvl w:val="0"/>
          <w:numId w:val="64"/>
        </w:numPr>
        <w:rPr>
          <w:rStyle w:val="table-note"/>
        </w:rPr>
      </w:pPr>
      <w:r w:rsidRPr="00541ED8">
        <w:rPr>
          <w:rStyle w:val="table-note"/>
        </w:rPr>
        <w:t>Residential mental health services include the total operating costs for partially or wholly government funded non-government-operated resid</w:t>
      </w:r>
      <w:r w:rsidR="001F0D51" w:rsidRPr="00541ED8">
        <w:rPr>
          <w:rStyle w:val="table-note"/>
        </w:rPr>
        <w:t>ential mental health services.</w:t>
      </w:r>
    </w:p>
    <w:p w:rsidR="00614CCC" w:rsidRPr="0096114C" w:rsidRDefault="0096114C" w:rsidP="00614CCC">
      <w:pPr>
        <w:pStyle w:val="TableCaption"/>
        <w:spacing w:line="240" w:lineRule="auto"/>
        <w:rPr>
          <w:rStyle w:val="table-note"/>
        </w:rPr>
      </w:pPr>
      <w:r w:rsidRPr="0096114C">
        <w:rPr>
          <w:rStyle w:val="table-note"/>
        </w:rPr>
        <w:t xml:space="preserve">Table 13: </w:t>
      </w:r>
      <w:r w:rsidR="00614CCC" w:rsidRPr="0096114C">
        <w:rPr>
          <w:rStyle w:val="table-note"/>
        </w:rPr>
        <w:t xml:space="preserve">VIC: Recurrent </w:t>
      </w:r>
      <w:proofErr w:type="gramStart"/>
      <w:r w:rsidR="00614CCC" w:rsidRPr="0096114C">
        <w:rPr>
          <w:rStyle w:val="table-note"/>
        </w:rPr>
        <w:t>expenditure</w:t>
      </w:r>
      <w:r w:rsidR="00614CCC" w:rsidRPr="0096114C">
        <w:rPr>
          <w:rStyle w:val="table-note"/>
          <w:vertAlign w:val="superscript"/>
        </w:rPr>
        <w:t>(</w:t>
      </w:r>
      <w:proofErr w:type="gramEnd"/>
      <w:r w:rsidR="00614CCC" w:rsidRPr="0096114C">
        <w:rPr>
          <w:rStyle w:val="table-note"/>
          <w:vertAlign w:val="superscript"/>
        </w:rPr>
        <w:t>a)(b)</w:t>
      </w:r>
      <w:r w:rsidR="00614CCC" w:rsidRPr="0096114C">
        <w:rPr>
          <w:rStyle w:val="table-note"/>
        </w:rPr>
        <w:t xml:space="preserve"> ($) per capita</w:t>
      </w:r>
      <w:r w:rsidR="00614CCC" w:rsidRPr="0096114C">
        <w:rPr>
          <w:rStyle w:val="table-note"/>
          <w:vertAlign w:val="superscript"/>
        </w:rPr>
        <w:t>(c)</w:t>
      </w:r>
      <w:r w:rsidR="00614CCC" w:rsidRPr="0096114C">
        <w:rPr>
          <w:rStyle w:val="table-note"/>
        </w:rPr>
        <w:t xml:space="preserve"> on state and territory specialised mental health services, by service type, 2007–08 (constant prices)</w:t>
      </w:r>
      <w:r w:rsidR="00614CCC" w:rsidRPr="0096114C">
        <w:rPr>
          <w:rStyle w:val="table-note"/>
          <w:vertAlign w:val="superscript"/>
        </w:rPr>
        <w:t>(d)</w:t>
      </w:r>
    </w:p>
    <w:tbl>
      <w:tblPr>
        <w:tblStyle w:val="TableGrid"/>
        <w:tblW w:w="0" w:type="auto"/>
        <w:tblLook w:val="04A0" w:firstRow="1" w:lastRow="0" w:firstColumn="1" w:lastColumn="0" w:noHBand="0" w:noVBand="1"/>
        <w:tblCaption w:val="VIC: Recurrent expenditure(a)(b) ($) per capita(c) on state and territory specialised mental health services, by service type, 2007–08 (constant prices)(d)"/>
        <w:tblDescription w:val="Table showing that, in 2007-2008, inner regional areas in VIC had the highest recurrent expenditure per capita overall, for mental health services, at $157.82. This was followed by major cities at $155.58. Community mental health services had the highest recurrent expenditure overall, across region types, at $66.95. "/>
      </w:tblPr>
      <w:tblGrid>
        <w:gridCol w:w="2388"/>
        <w:gridCol w:w="1044"/>
        <w:gridCol w:w="1376"/>
        <w:gridCol w:w="1248"/>
        <w:gridCol w:w="1045"/>
        <w:gridCol w:w="1091"/>
        <w:gridCol w:w="1094"/>
      </w:tblGrid>
      <w:tr w:rsidR="00614CCC" w:rsidRPr="001B1E83" w:rsidTr="000C3DEA">
        <w:trPr>
          <w:tblHeader/>
        </w:trPr>
        <w:tc>
          <w:tcPr>
            <w:tcW w:w="2388" w:type="dxa"/>
          </w:tcPr>
          <w:p w:rsidR="00614CCC" w:rsidRPr="001B1E83" w:rsidRDefault="00614CCC" w:rsidP="00614CCC">
            <w:pPr>
              <w:pStyle w:val="TableFigText"/>
              <w:rPr>
                <w:rFonts w:asciiTheme="minorHAnsi" w:hAnsiTheme="minorHAnsi" w:cstheme="minorHAnsi"/>
                <w:szCs w:val="22"/>
              </w:rPr>
            </w:pPr>
          </w:p>
        </w:tc>
        <w:tc>
          <w:tcPr>
            <w:tcW w:w="1044" w:type="dxa"/>
          </w:tcPr>
          <w:p w:rsidR="00614CCC" w:rsidRPr="001B1E83" w:rsidRDefault="00614CCC" w:rsidP="00614CCC">
            <w:pPr>
              <w:pStyle w:val="TableFigText"/>
              <w:jc w:val="right"/>
              <w:rPr>
                <w:rFonts w:asciiTheme="minorHAnsi" w:hAnsiTheme="minorHAnsi" w:cstheme="minorHAnsi"/>
                <w:b/>
                <w:szCs w:val="22"/>
              </w:rPr>
            </w:pPr>
            <w:r w:rsidRPr="001B1E83">
              <w:rPr>
                <w:rFonts w:asciiTheme="minorHAnsi" w:hAnsiTheme="minorHAnsi" w:cstheme="minorHAnsi"/>
                <w:b/>
                <w:szCs w:val="22"/>
              </w:rPr>
              <w:t>Major cities</w:t>
            </w:r>
          </w:p>
        </w:tc>
        <w:tc>
          <w:tcPr>
            <w:tcW w:w="1376" w:type="dxa"/>
          </w:tcPr>
          <w:p w:rsidR="00614CCC" w:rsidRPr="001B1E83" w:rsidRDefault="00614CCC" w:rsidP="00614CCC">
            <w:pPr>
              <w:pStyle w:val="TableFigText"/>
              <w:jc w:val="right"/>
              <w:rPr>
                <w:rFonts w:asciiTheme="minorHAnsi" w:hAnsiTheme="minorHAnsi" w:cstheme="minorHAnsi"/>
                <w:b/>
                <w:szCs w:val="22"/>
              </w:rPr>
            </w:pPr>
            <w:r w:rsidRPr="001B1E83">
              <w:rPr>
                <w:rFonts w:asciiTheme="minorHAnsi" w:hAnsiTheme="minorHAnsi" w:cstheme="minorHAnsi"/>
                <w:b/>
                <w:szCs w:val="22"/>
              </w:rPr>
              <w:t>Inner regional</w:t>
            </w:r>
          </w:p>
        </w:tc>
        <w:tc>
          <w:tcPr>
            <w:tcW w:w="1248" w:type="dxa"/>
          </w:tcPr>
          <w:p w:rsidR="00614CCC" w:rsidRPr="001B1E83" w:rsidRDefault="00614CCC" w:rsidP="00614CCC">
            <w:pPr>
              <w:pStyle w:val="TableFigText"/>
              <w:jc w:val="right"/>
              <w:rPr>
                <w:rFonts w:asciiTheme="minorHAnsi" w:hAnsiTheme="minorHAnsi" w:cstheme="minorHAnsi"/>
                <w:b/>
                <w:szCs w:val="22"/>
              </w:rPr>
            </w:pPr>
            <w:r w:rsidRPr="001B1E83">
              <w:rPr>
                <w:rFonts w:asciiTheme="minorHAnsi" w:hAnsiTheme="minorHAnsi" w:cstheme="minorHAnsi"/>
                <w:b/>
                <w:szCs w:val="22"/>
              </w:rPr>
              <w:t>Outer regional</w:t>
            </w:r>
          </w:p>
        </w:tc>
        <w:tc>
          <w:tcPr>
            <w:tcW w:w="1045" w:type="dxa"/>
          </w:tcPr>
          <w:p w:rsidR="00614CCC" w:rsidRPr="001B1E83" w:rsidRDefault="00614CCC" w:rsidP="00614CCC">
            <w:pPr>
              <w:pStyle w:val="TableFigText"/>
              <w:jc w:val="right"/>
              <w:rPr>
                <w:rFonts w:asciiTheme="minorHAnsi" w:hAnsiTheme="minorHAnsi" w:cstheme="minorHAnsi"/>
                <w:b/>
                <w:szCs w:val="22"/>
              </w:rPr>
            </w:pPr>
            <w:r w:rsidRPr="001B1E83">
              <w:rPr>
                <w:rFonts w:asciiTheme="minorHAnsi" w:hAnsiTheme="minorHAnsi" w:cstheme="minorHAnsi"/>
                <w:b/>
                <w:szCs w:val="22"/>
              </w:rPr>
              <w:t>Remote</w:t>
            </w:r>
          </w:p>
        </w:tc>
        <w:tc>
          <w:tcPr>
            <w:tcW w:w="1091" w:type="dxa"/>
          </w:tcPr>
          <w:p w:rsidR="00614CCC" w:rsidRPr="001B1E83" w:rsidRDefault="00614CCC" w:rsidP="00614CCC">
            <w:pPr>
              <w:pStyle w:val="TableFigText"/>
              <w:jc w:val="right"/>
              <w:rPr>
                <w:rFonts w:asciiTheme="minorHAnsi" w:hAnsiTheme="minorHAnsi" w:cstheme="minorHAnsi"/>
                <w:b/>
                <w:szCs w:val="22"/>
              </w:rPr>
            </w:pPr>
            <w:r w:rsidRPr="001B1E83">
              <w:rPr>
                <w:rFonts w:asciiTheme="minorHAnsi" w:hAnsiTheme="minorHAnsi" w:cstheme="minorHAnsi"/>
                <w:b/>
                <w:szCs w:val="22"/>
              </w:rPr>
              <w:t>Very remote</w:t>
            </w:r>
          </w:p>
        </w:tc>
        <w:tc>
          <w:tcPr>
            <w:tcW w:w="1094" w:type="dxa"/>
          </w:tcPr>
          <w:p w:rsidR="00614CCC" w:rsidRPr="001B1E83" w:rsidRDefault="00614CCC" w:rsidP="001B1E83">
            <w:pPr>
              <w:pStyle w:val="TableFigText"/>
              <w:jc w:val="right"/>
              <w:rPr>
                <w:rFonts w:asciiTheme="minorHAnsi" w:hAnsiTheme="minorHAnsi" w:cstheme="minorHAnsi"/>
                <w:b/>
                <w:szCs w:val="22"/>
              </w:rPr>
            </w:pPr>
            <w:r w:rsidRPr="001B1E83">
              <w:rPr>
                <w:rFonts w:asciiTheme="minorHAnsi" w:hAnsiTheme="minorHAnsi" w:cstheme="minorHAnsi"/>
                <w:b/>
                <w:szCs w:val="22"/>
              </w:rPr>
              <w:t>Total</w:t>
            </w:r>
          </w:p>
        </w:tc>
      </w:tr>
      <w:tr w:rsidR="00614CCC" w:rsidRPr="001B1E83" w:rsidTr="00614CCC">
        <w:tc>
          <w:tcPr>
            <w:tcW w:w="2388" w:type="dxa"/>
          </w:tcPr>
          <w:p w:rsidR="00614CCC" w:rsidRPr="001B1E83" w:rsidRDefault="00614CCC" w:rsidP="001B1E83">
            <w:pPr>
              <w:pStyle w:val="TableFigText"/>
              <w:rPr>
                <w:rFonts w:asciiTheme="minorHAnsi" w:hAnsiTheme="minorHAnsi" w:cstheme="minorHAnsi"/>
                <w:szCs w:val="22"/>
              </w:rPr>
            </w:pPr>
            <w:r w:rsidRPr="001B1E83">
              <w:rPr>
                <w:rFonts w:asciiTheme="minorHAnsi" w:hAnsiTheme="minorHAnsi" w:cstheme="minorHAnsi"/>
                <w:szCs w:val="22"/>
              </w:rPr>
              <w:t>Public hospital services</w:t>
            </w:r>
            <w:r w:rsidRPr="001B1E83">
              <w:rPr>
                <w:rFonts w:asciiTheme="minorHAnsi" w:hAnsiTheme="minorHAnsi" w:cstheme="minorHAnsi"/>
                <w:szCs w:val="22"/>
                <w:vertAlign w:val="superscript"/>
              </w:rPr>
              <w:t>(</w:t>
            </w:r>
            <w:r w:rsidR="001B1E83">
              <w:rPr>
                <w:rFonts w:asciiTheme="minorHAnsi" w:hAnsiTheme="minorHAnsi" w:cstheme="minorHAnsi"/>
                <w:szCs w:val="22"/>
                <w:vertAlign w:val="superscript"/>
              </w:rPr>
              <w:t>e</w:t>
            </w:r>
            <w:r w:rsidRPr="001B1E83">
              <w:rPr>
                <w:rFonts w:asciiTheme="minorHAnsi" w:hAnsiTheme="minorHAnsi" w:cstheme="minorHAnsi"/>
                <w:szCs w:val="22"/>
                <w:vertAlign w:val="superscript"/>
              </w:rPr>
              <w:t>)(</w:t>
            </w:r>
            <w:r w:rsidR="001B1E83">
              <w:rPr>
                <w:rFonts w:asciiTheme="minorHAnsi" w:hAnsiTheme="minorHAnsi" w:cstheme="minorHAnsi"/>
                <w:szCs w:val="22"/>
                <w:vertAlign w:val="superscript"/>
              </w:rPr>
              <w:t>f</w:t>
            </w:r>
            <w:r w:rsidRPr="001B1E83">
              <w:rPr>
                <w:rFonts w:asciiTheme="minorHAnsi" w:hAnsiTheme="minorHAnsi" w:cstheme="minorHAnsi"/>
                <w:szCs w:val="22"/>
                <w:vertAlign w:val="superscript"/>
              </w:rPr>
              <w:t>)</w:t>
            </w:r>
          </w:p>
        </w:tc>
        <w:tc>
          <w:tcPr>
            <w:tcW w:w="1044" w:type="dxa"/>
          </w:tcPr>
          <w:p w:rsidR="00614CCC" w:rsidRPr="001B1E83" w:rsidRDefault="00614CCC" w:rsidP="00D27F8A">
            <w:pPr>
              <w:pStyle w:val="TableFigText"/>
              <w:jc w:val="right"/>
            </w:pPr>
            <w:r w:rsidRPr="001B1E83">
              <w:t>60.71</w:t>
            </w:r>
          </w:p>
        </w:tc>
        <w:tc>
          <w:tcPr>
            <w:tcW w:w="1376" w:type="dxa"/>
          </w:tcPr>
          <w:p w:rsidR="00614CCC" w:rsidRPr="001B1E83" w:rsidRDefault="00614CCC" w:rsidP="00D27F8A">
            <w:pPr>
              <w:pStyle w:val="TableFigText"/>
              <w:jc w:val="right"/>
            </w:pPr>
            <w:r w:rsidRPr="001B1E83">
              <w:t>45.28</w:t>
            </w:r>
          </w:p>
        </w:tc>
        <w:tc>
          <w:tcPr>
            <w:tcW w:w="1248" w:type="dxa"/>
          </w:tcPr>
          <w:p w:rsidR="00614CCC" w:rsidRPr="001B1E83" w:rsidRDefault="00614CCC" w:rsidP="00D27F8A">
            <w:pPr>
              <w:pStyle w:val="TableFigText"/>
              <w:jc w:val="right"/>
            </w:pPr>
            <w:r w:rsidRPr="001B1E83">
              <w:t>19.38</w:t>
            </w:r>
          </w:p>
        </w:tc>
        <w:tc>
          <w:tcPr>
            <w:tcW w:w="1045" w:type="dxa"/>
          </w:tcPr>
          <w:p w:rsidR="00614CCC" w:rsidRPr="001B1E83" w:rsidRDefault="001B1E83" w:rsidP="00D27F8A">
            <w:pPr>
              <w:pStyle w:val="TableFigText"/>
              <w:jc w:val="right"/>
            </w:pPr>
            <w:r>
              <w:t>0</w:t>
            </w:r>
          </w:p>
        </w:tc>
        <w:tc>
          <w:tcPr>
            <w:tcW w:w="1091" w:type="dxa"/>
          </w:tcPr>
          <w:p w:rsidR="00614CCC" w:rsidRPr="001B1E83" w:rsidRDefault="00614CCC" w:rsidP="00D27F8A">
            <w:pPr>
              <w:pStyle w:val="TableFigText"/>
              <w:jc w:val="right"/>
              <w:rPr>
                <w:rFonts w:cstheme="minorHAnsi"/>
                <w:szCs w:val="22"/>
              </w:rPr>
            </w:pPr>
            <w:r w:rsidRPr="001B1E83">
              <w:rPr>
                <w:szCs w:val="22"/>
              </w:rPr>
              <w:t>n/a</w:t>
            </w:r>
          </w:p>
        </w:tc>
        <w:tc>
          <w:tcPr>
            <w:tcW w:w="1094" w:type="dxa"/>
          </w:tcPr>
          <w:p w:rsidR="00614CCC" w:rsidRPr="001B1E83" w:rsidRDefault="00614CCC" w:rsidP="00D27F8A">
            <w:pPr>
              <w:pStyle w:val="TableFigText"/>
              <w:jc w:val="right"/>
            </w:pPr>
            <w:r w:rsidRPr="001B1E83">
              <w:t>55.64</w:t>
            </w:r>
          </w:p>
        </w:tc>
      </w:tr>
      <w:tr w:rsidR="00614CCC" w:rsidRPr="001B1E83" w:rsidTr="00614CCC">
        <w:tc>
          <w:tcPr>
            <w:tcW w:w="2388" w:type="dxa"/>
          </w:tcPr>
          <w:p w:rsidR="00614CCC" w:rsidRPr="001B1E83" w:rsidRDefault="00614CCC" w:rsidP="00614CCC">
            <w:pPr>
              <w:pStyle w:val="TableFigText"/>
              <w:rPr>
                <w:rFonts w:asciiTheme="minorHAnsi" w:hAnsiTheme="minorHAnsi" w:cstheme="minorHAnsi"/>
                <w:szCs w:val="22"/>
              </w:rPr>
            </w:pPr>
            <w:r w:rsidRPr="001B1E83">
              <w:rPr>
                <w:rFonts w:asciiTheme="minorHAnsi" w:hAnsiTheme="minorHAnsi" w:cstheme="minorHAnsi"/>
                <w:szCs w:val="22"/>
              </w:rPr>
              <w:t>Community mental health services</w:t>
            </w:r>
          </w:p>
        </w:tc>
        <w:tc>
          <w:tcPr>
            <w:tcW w:w="1044" w:type="dxa"/>
          </w:tcPr>
          <w:p w:rsidR="00614CCC" w:rsidRPr="001B1E83" w:rsidRDefault="00614CCC" w:rsidP="00D27F8A">
            <w:pPr>
              <w:pStyle w:val="TableFigText"/>
              <w:jc w:val="right"/>
            </w:pPr>
            <w:r w:rsidRPr="001B1E83">
              <w:t>65.31</w:t>
            </w:r>
          </w:p>
        </w:tc>
        <w:tc>
          <w:tcPr>
            <w:tcW w:w="1376" w:type="dxa"/>
          </w:tcPr>
          <w:p w:rsidR="00614CCC" w:rsidRPr="001B1E83" w:rsidRDefault="00614CCC" w:rsidP="00D27F8A">
            <w:pPr>
              <w:pStyle w:val="TableFigText"/>
              <w:jc w:val="right"/>
            </w:pPr>
            <w:r w:rsidRPr="001B1E83">
              <w:t>79.62</w:t>
            </w:r>
          </w:p>
        </w:tc>
        <w:tc>
          <w:tcPr>
            <w:tcW w:w="1248" w:type="dxa"/>
          </w:tcPr>
          <w:p w:rsidR="00614CCC" w:rsidRPr="001B1E83" w:rsidRDefault="00614CCC" w:rsidP="00D27F8A">
            <w:pPr>
              <w:pStyle w:val="TableFigText"/>
              <w:jc w:val="right"/>
            </w:pPr>
            <w:r w:rsidRPr="001B1E83">
              <w:t>40.72</w:t>
            </w:r>
          </w:p>
        </w:tc>
        <w:tc>
          <w:tcPr>
            <w:tcW w:w="1045" w:type="dxa"/>
          </w:tcPr>
          <w:p w:rsidR="00614CCC" w:rsidRPr="001B1E83" w:rsidRDefault="00614CCC" w:rsidP="00D27F8A">
            <w:pPr>
              <w:pStyle w:val="TableFigText"/>
              <w:jc w:val="right"/>
            </w:pPr>
            <w:r w:rsidRPr="001B1E83">
              <w:t>38.90</w:t>
            </w:r>
          </w:p>
        </w:tc>
        <w:tc>
          <w:tcPr>
            <w:tcW w:w="1091" w:type="dxa"/>
          </w:tcPr>
          <w:p w:rsidR="00614CCC" w:rsidRPr="001B1E83" w:rsidRDefault="00614CCC" w:rsidP="00D27F8A">
            <w:pPr>
              <w:pStyle w:val="TableFigText"/>
              <w:jc w:val="right"/>
              <w:rPr>
                <w:rFonts w:cstheme="minorHAnsi"/>
                <w:szCs w:val="22"/>
              </w:rPr>
            </w:pPr>
            <w:r w:rsidRPr="001B1E83">
              <w:rPr>
                <w:szCs w:val="22"/>
              </w:rPr>
              <w:t>n/a</w:t>
            </w:r>
          </w:p>
        </w:tc>
        <w:tc>
          <w:tcPr>
            <w:tcW w:w="1094" w:type="dxa"/>
          </w:tcPr>
          <w:p w:rsidR="00614CCC" w:rsidRPr="001B1E83" w:rsidRDefault="00614CCC" w:rsidP="00D27F8A">
            <w:pPr>
              <w:pStyle w:val="TableFigText"/>
              <w:jc w:val="right"/>
            </w:pPr>
            <w:r w:rsidRPr="001B1E83">
              <w:t>66.95</w:t>
            </w:r>
          </w:p>
        </w:tc>
      </w:tr>
      <w:tr w:rsidR="00614CCC" w:rsidRPr="001B1E83" w:rsidTr="00614CCC">
        <w:tc>
          <w:tcPr>
            <w:tcW w:w="2388" w:type="dxa"/>
          </w:tcPr>
          <w:p w:rsidR="00614CCC" w:rsidRPr="001B1E83" w:rsidRDefault="00614CCC" w:rsidP="00614CCC">
            <w:pPr>
              <w:pStyle w:val="TableFigText"/>
              <w:rPr>
                <w:rFonts w:asciiTheme="minorHAnsi" w:hAnsiTheme="minorHAnsi" w:cstheme="minorHAnsi"/>
                <w:szCs w:val="22"/>
              </w:rPr>
            </w:pPr>
            <w:r w:rsidRPr="001B1E83">
              <w:rPr>
                <w:rFonts w:asciiTheme="minorHAnsi" w:hAnsiTheme="minorHAnsi" w:cstheme="minorHAnsi"/>
                <w:szCs w:val="22"/>
              </w:rPr>
              <w:t>Residential mental health services</w:t>
            </w:r>
            <w:r w:rsidRPr="001B1E83">
              <w:rPr>
                <w:rFonts w:asciiTheme="minorHAnsi" w:hAnsiTheme="minorHAnsi" w:cstheme="minorHAnsi"/>
                <w:szCs w:val="22"/>
                <w:vertAlign w:val="superscript"/>
              </w:rPr>
              <w:t>(</w:t>
            </w:r>
            <w:r w:rsidR="001B1E83">
              <w:rPr>
                <w:rFonts w:asciiTheme="minorHAnsi" w:hAnsiTheme="minorHAnsi" w:cstheme="minorHAnsi"/>
                <w:szCs w:val="22"/>
                <w:vertAlign w:val="superscript"/>
              </w:rPr>
              <w:t>g</w:t>
            </w:r>
            <w:r w:rsidRPr="001B1E83">
              <w:rPr>
                <w:rFonts w:asciiTheme="minorHAnsi" w:hAnsiTheme="minorHAnsi" w:cstheme="minorHAnsi"/>
                <w:szCs w:val="22"/>
                <w:vertAlign w:val="superscript"/>
              </w:rPr>
              <w:t>)</w:t>
            </w:r>
          </w:p>
        </w:tc>
        <w:tc>
          <w:tcPr>
            <w:tcW w:w="1044" w:type="dxa"/>
          </w:tcPr>
          <w:p w:rsidR="00614CCC" w:rsidRPr="001B1E83" w:rsidRDefault="00614CCC" w:rsidP="00D27F8A">
            <w:pPr>
              <w:pStyle w:val="TableFigText"/>
              <w:jc w:val="right"/>
            </w:pPr>
            <w:r w:rsidRPr="001B1E83">
              <w:t>29.56</w:t>
            </w:r>
          </w:p>
        </w:tc>
        <w:tc>
          <w:tcPr>
            <w:tcW w:w="1376" w:type="dxa"/>
          </w:tcPr>
          <w:p w:rsidR="00614CCC" w:rsidRPr="001B1E83" w:rsidRDefault="00614CCC" w:rsidP="00D27F8A">
            <w:pPr>
              <w:pStyle w:val="TableFigText"/>
              <w:jc w:val="right"/>
            </w:pPr>
            <w:r w:rsidRPr="001B1E83">
              <w:t>32.92</w:t>
            </w:r>
          </w:p>
        </w:tc>
        <w:tc>
          <w:tcPr>
            <w:tcW w:w="1248" w:type="dxa"/>
          </w:tcPr>
          <w:p w:rsidR="00614CCC" w:rsidRPr="001B1E83" w:rsidRDefault="00614CCC" w:rsidP="00D27F8A">
            <w:pPr>
              <w:pStyle w:val="TableFigText"/>
              <w:jc w:val="right"/>
            </w:pPr>
            <w:r w:rsidRPr="001B1E83">
              <w:t>3.37</w:t>
            </w:r>
          </w:p>
        </w:tc>
        <w:tc>
          <w:tcPr>
            <w:tcW w:w="1045" w:type="dxa"/>
          </w:tcPr>
          <w:p w:rsidR="00614CCC" w:rsidRPr="001B1E83" w:rsidRDefault="00614CCC" w:rsidP="00D27F8A">
            <w:pPr>
              <w:pStyle w:val="TableFigText"/>
              <w:jc w:val="right"/>
            </w:pPr>
            <w:r w:rsidRPr="001B1E83">
              <w:t>18.50</w:t>
            </w:r>
          </w:p>
        </w:tc>
        <w:tc>
          <w:tcPr>
            <w:tcW w:w="1091" w:type="dxa"/>
          </w:tcPr>
          <w:p w:rsidR="00614CCC" w:rsidRPr="001B1E83" w:rsidRDefault="00614CCC" w:rsidP="00D27F8A">
            <w:pPr>
              <w:pStyle w:val="TableFigText"/>
              <w:jc w:val="right"/>
              <w:rPr>
                <w:szCs w:val="22"/>
              </w:rPr>
            </w:pPr>
            <w:r w:rsidRPr="001B1E83">
              <w:rPr>
                <w:szCs w:val="22"/>
              </w:rPr>
              <w:t>n/a</w:t>
            </w:r>
          </w:p>
        </w:tc>
        <w:tc>
          <w:tcPr>
            <w:tcW w:w="1094" w:type="dxa"/>
          </w:tcPr>
          <w:p w:rsidR="00614CCC" w:rsidRPr="001B1E83" w:rsidRDefault="00614CCC" w:rsidP="00D27F8A">
            <w:pPr>
              <w:pStyle w:val="TableFigText"/>
              <w:jc w:val="right"/>
            </w:pPr>
            <w:r w:rsidRPr="001B1E83">
              <w:t>28.97</w:t>
            </w:r>
          </w:p>
        </w:tc>
      </w:tr>
      <w:tr w:rsidR="00614CCC" w:rsidRPr="001B1E83" w:rsidTr="00614CCC">
        <w:tc>
          <w:tcPr>
            <w:tcW w:w="2388" w:type="dxa"/>
          </w:tcPr>
          <w:p w:rsidR="00614CCC" w:rsidRPr="00D27F8A" w:rsidRDefault="00614CCC" w:rsidP="001B1E83">
            <w:pPr>
              <w:pStyle w:val="TableFigText"/>
              <w:rPr>
                <w:rFonts w:asciiTheme="minorHAnsi" w:hAnsiTheme="minorHAnsi" w:cstheme="minorHAnsi"/>
                <w:b/>
                <w:szCs w:val="22"/>
              </w:rPr>
            </w:pPr>
            <w:r w:rsidRPr="00D27F8A">
              <w:rPr>
                <w:rFonts w:asciiTheme="minorHAnsi" w:hAnsiTheme="minorHAnsi" w:cstheme="minorHAnsi"/>
                <w:b/>
                <w:szCs w:val="22"/>
              </w:rPr>
              <w:t>All mental health service types</w:t>
            </w:r>
            <w:r w:rsidRPr="00D27F8A">
              <w:rPr>
                <w:rFonts w:asciiTheme="minorHAnsi" w:hAnsiTheme="minorHAnsi" w:cstheme="minorHAnsi"/>
                <w:b/>
                <w:szCs w:val="22"/>
                <w:vertAlign w:val="superscript"/>
              </w:rPr>
              <w:t>(</w:t>
            </w:r>
            <w:r w:rsidR="001B1E83" w:rsidRPr="00D27F8A">
              <w:rPr>
                <w:rFonts w:asciiTheme="minorHAnsi" w:hAnsiTheme="minorHAnsi" w:cstheme="minorHAnsi"/>
                <w:b/>
                <w:szCs w:val="22"/>
                <w:vertAlign w:val="superscript"/>
              </w:rPr>
              <w:t>h</w:t>
            </w:r>
            <w:r w:rsidRPr="00D27F8A">
              <w:rPr>
                <w:rFonts w:asciiTheme="minorHAnsi" w:hAnsiTheme="minorHAnsi" w:cstheme="minorHAnsi"/>
                <w:b/>
                <w:szCs w:val="22"/>
                <w:vertAlign w:val="superscript"/>
              </w:rPr>
              <w:t>)</w:t>
            </w:r>
          </w:p>
        </w:tc>
        <w:tc>
          <w:tcPr>
            <w:tcW w:w="1044" w:type="dxa"/>
          </w:tcPr>
          <w:p w:rsidR="00614CCC" w:rsidRPr="00D27F8A" w:rsidRDefault="00614CCC" w:rsidP="00D27F8A">
            <w:pPr>
              <w:pStyle w:val="TableFigText"/>
              <w:jc w:val="right"/>
              <w:rPr>
                <w:b/>
              </w:rPr>
            </w:pPr>
            <w:r w:rsidRPr="00D27F8A">
              <w:rPr>
                <w:b/>
              </w:rPr>
              <w:t>155.58</w:t>
            </w:r>
          </w:p>
        </w:tc>
        <w:tc>
          <w:tcPr>
            <w:tcW w:w="1376" w:type="dxa"/>
          </w:tcPr>
          <w:p w:rsidR="00614CCC" w:rsidRPr="00D27F8A" w:rsidRDefault="00614CCC" w:rsidP="00D27F8A">
            <w:pPr>
              <w:pStyle w:val="TableFigText"/>
              <w:jc w:val="right"/>
              <w:rPr>
                <w:b/>
              </w:rPr>
            </w:pPr>
            <w:r w:rsidRPr="00D27F8A">
              <w:rPr>
                <w:b/>
              </w:rPr>
              <w:t>157.82</w:t>
            </w:r>
          </w:p>
        </w:tc>
        <w:tc>
          <w:tcPr>
            <w:tcW w:w="1248" w:type="dxa"/>
          </w:tcPr>
          <w:p w:rsidR="00614CCC" w:rsidRPr="00D27F8A" w:rsidRDefault="00614CCC" w:rsidP="00D27F8A">
            <w:pPr>
              <w:pStyle w:val="TableFigText"/>
              <w:jc w:val="right"/>
              <w:rPr>
                <w:b/>
              </w:rPr>
            </w:pPr>
            <w:r w:rsidRPr="00D27F8A">
              <w:rPr>
                <w:b/>
              </w:rPr>
              <w:t>63.47</w:t>
            </w:r>
          </w:p>
        </w:tc>
        <w:tc>
          <w:tcPr>
            <w:tcW w:w="1045" w:type="dxa"/>
          </w:tcPr>
          <w:p w:rsidR="00614CCC" w:rsidRPr="00D27F8A" w:rsidRDefault="00614CCC" w:rsidP="00D27F8A">
            <w:pPr>
              <w:pStyle w:val="TableFigText"/>
              <w:jc w:val="right"/>
              <w:rPr>
                <w:b/>
              </w:rPr>
            </w:pPr>
            <w:r w:rsidRPr="00D27F8A">
              <w:rPr>
                <w:b/>
              </w:rPr>
              <w:t>57.41</w:t>
            </w:r>
          </w:p>
        </w:tc>
        <w:tc>
          <w:tcPr>
            <w:tcW w:w="1091" w:type="dxa"/>
          </w:tcPr>
          <w:p w:rsidR="00614CCC" w:rsidRPr="00D27F8A" w:rsidRDefault="00614CCC" w:rsidP="00D27F8A">
            <w:pPr>
              <w:pStyle w:val="TableFigText"/>
              <w:jc w:val="right"/>
              <w:rPr>
                <w:b/>
                <w:szCs w:val="22"/>
              </w:rPr>
            </w:pPr>
            <w:r w:rsidRPr="00D27F8A">
              <w:rPr>
                <w:b/>
                <w:szCs w:val="22"/>
              </w:rPr>
              <w:t>n/a</w:t>
            </w:r>
          </w:p>
        </w:tc>
        <w:tc>
          <w:tcPr>
            <w:tcW w:w="1094" w:type="dxa"/>
          </w:tcPr>
          <w:p w:rsidR="00614CCC" w:rsidRPr="00D27F8A" w:rsidRDefault="00614CCC" w:rsidP="00D27F8A">
            <w:pPr>
              <w:pStyle w:val="TableFigText"/>
              <w:jc w:val="right"/>
              <w:rPr>
                <w:b/>
              </w:rPr>
            </w:pPr>
            <w:r w:rsidRPr="00D27F8A">
              <w:rPr>
                <w:b/>
              </w:rPr>
              <w:t>151.56</w:t>
            </w:r>
          </w:p>
        </w:tc>
      </w:tr>
    </w:tbl>
    <w:p w:rsidR="00614CCC" w:rsidRPr="00541ED8" w:rsidRDefault="00614CCC" w:rsidP="00540186">
      <w:pPr>
        <w:pStyle w:val="TableFigNotesnumbered"/>
        <w:numPr>
          <w:ilvl w:val="0"/>
          <w:numId w:val="36"/>
        </w:numPr>
        <w:rPr>
          <w:rStyle w:val="table-note"/>
        </w:rPr>
      </w:pPr>
      <w:r w:rsidRPr="00541ED8">
        <w:rPr>
          <w:rStyle w:val="table-note"/>
        </w:rPr>
        <w:t>Expenditure excludes depreciation.</w:t>
      </w:r>
    </w:p>
    <w:p w:rsidR="00614CCC" w:rsidRPr="00541ED8" w:rsidRDefault="00614CCC" w:rsidP="00540186">
      <w:pPr>
        <w:pStyle w:val="TableFigNotesnumbered"/>
        <w:numPr>
          <w:ilvl w:val="0"/>
          <w:numId w:val="36"/>
        </w:numPr>
        <w:rPr>
          <w:rStyle w:val="table-note"/>
        </w:rPr>
      </w:pPr>
      <w:r w:rsidRPr="00541ED8">
        <w:rPr>
          <w:rStyle w:val="table-note"/>
        </w:rPr>
        <w:t xml:space="preserve">Expenditure excludes grants to non-government organisations and indirect expenditure at the state/territory, region and organisation levels not apportioned to service units. </w:t>
      </w:r>
    </w:p>
    <w:p w:rsidR="00614CCC" w:rsidRPr="00541ED8" w:rsidRDefault="00614CCC" w:rsidP="00540186">
      <w:pPr>
        <w:pStyle w:val="TableFigNotesnumbered"/>
        <w:numPr>
          <w:ilvl w:val="0"/>
          <w:numId w:val="36"/>
        </w:numPr>
        <w:rPr>
          <w:rStyle w:val="table-note"/>
        </w:rPr>
      </w:pPr>
      <w:r w:rsidRPr="00541ED8">
        <w:rPr>
          <w:rStyle w:val="table-note"/>
        </w:rPr>
        <w:t>Crude rate is based on the state and territory estimated resident population by remoteness area as at 30 June 2007.</w:t>
      </w:r>
    </w:p>
    <w:p w:rsidR="00614CCC" w:rsidRPr="00541ED8" w:rsidRDefault="00614CCC" w:rsidP="00540186">
      <w:pPr>
        <w:pStyle w:val="TableFigNotesnumbered"/>
        <w:numPr>
          <w:ilvl w:val="0"/>
          <w:numId w:val="36"/>
        </w:numPr>
        <w:rPr>
          <w:rStyle w:val="table-note"/>
        </w:rPr>
      </w:pPr>
      <w:r w:rsidRPr="00541ED8">
        <w:rPr>
          <w:rStyle w:val="table-note"/>
        </w:rPr>
        <w:t>Constant prices are referenced to 2011–12 and are adjusted for inflation.</w:t>
      </w:r>
    </w:p>
    <w:p w:rsidR="00614CCC" w:rsidRPr="00541ED8" w:rsidRDefault="00614CCC" w:rsidP="00540186">
      <w:pPr>
        <w:pStyle w:val="TableFigNotesnumbered"/>
        <w:numPr>
          <w:ilvl w:val="0"/>
          <w:numId w:val="36"/>
        </w:numPr>
        <w:rPr>
          <w:rStyle w:val="table-note"/>
        </w:rPr>
      </w:pPr>
      <w:r w:rsidRPr="00541ED8">
        <w:rPr>
          <w:rStyle w:val="table-note"/>
        </w:rPr>
        <w:t>Includes public hospital services managed and operated by private and non-government entities.</w:t>
      </w:r>
    </w:p>
    <w:p w:rsidR="00614CCC" w:rsidRPr="00541ED8" w:rsidRDefault="00614CCC" w:rsidP="00540186">
      <w:pPr>
        <w:pStyle w:val="TableFigNotesnumbered"/>
        <w:numPr>
          <w:ilvl w:val="0"/>
          <w:numId w:val="36"/>
        </w:numPr>
        <w:rPr>
          <w:rStyle w:val="table-note"/>
        </w:rPr>
      </w:pPr>
      <w:r w:rsidRPr="00541ED8">
        <w:rPr>
          <w:rStyle w:val="table-note"/>
        </w:rPr>
        <w:t xml:space="preserve">Public psychiatric hospitals and specialised psychiatric units or wards in public acute hospitals include expenditure on admitted patient services only. Public hospitals outpatient departments are included in community mental </w:t>
      </w:r>
      <w:r w:rsidR="001F0D51" w:rsidRPr="00541ED8">
        <w:rPr>
          <w:rStyle w:val="table-note"/>
        </w:rPr>
        <w:t>health care services.</w:t>
      </w:r>
    </w:p>
    <w:p w:rsidR="00614CCC" w:rsidRPr="00541ED8" w:rsidRDefault="00614CCC" w:rsidP="00540186">
      <w:pPr>
        <w:pStyle w:val="TableFigNotesnumbered"/>
        <w:numPr>
          <w:ilvl w:val="0"/>
          <w:numId w:val="36"/>
        </w:numPr>
        <w:rPr>
          <w:rStyle w:val="table-note"/>
        </w:rPr>
      </w:pPr>
      <w:r w:rsidRPr="00541ED8">
        <w:rPr>
          <w:rStyle w:val="table-note"/>
        </w:rPr>
        <w:t>Residential mental health services include the total operating costs for partially or wholly government funded non-government-operated residential mental health services.</w:t>
      </w:r>
    </w:p>
    <w:p w:rsidR="001B1E83" w:rsidRPr="00541ED8" w:rsidRDefault="001B1E83" w:rsidP="00540186">
      <w:pPr>
        <w:pStyle w:val="TableFigNotesnumbered"/>
        <w:numPr>
          <w:ilvl w:val="0"/>
          <w:numId w:val="36"/>
        </w:numPr>
        <w:rPr>
          <w:rStyle w:val="table-note"/>
        </w:rPr>
      </w:pPr>
      <w:r w:rsidRPr="00541ED8">
        <w:rPr>
          <w:rStyle w:val="table-note"/>
        </w:rPr>
        <w:t>Totals may not add due to rounding.</w:t>
      </w:r>
    </w:p>
    <w:p w:rsidR="002265C7" w:rsidRPr="001B1E83" w:rsidRDefault="002265C7" w:rsidP="002265C7">
      <w:pPr>
        <w:pStyle w:val="AIHWbodytext"/>
        <w:rPr>
          <w:rFonts w:asciiTheme="minorHAnsi" w:hAnsiTheme="minorHAnsi"/>
          <w:lang w:eastAsia="en-AU"/>
        </w:rPr>
      </w:pPr>
    </w:p>
    <w:p w:rsidR="00614CCC" w:rsidRPr="001B1E83" w:rsidRDefault="00614CCC">
      <w:pPr>
        <w:spacing w:before="0" w:after="0" w:line="240" w:lineRule="auto"/>
        <w:rPr>
          <w:rFonts w:asciiTheme="minorHAnsi" w:hAnsiTheme="minorHAnsi"/>
          <w:szCs w:val="20"/>
        </w:rPr>
      </w:pPr>
      <w:r w:rsidRPr="001B1E83">
        <w:rPr>
          <w:rFonts w:asciiTheme="minorHAnsi" w:hAnsiTheme="minorHAnsi"/>
        </w:rPr>
        <w:br w:type="page"/>
      </w:r>
    </w:p>
    <w:p w:rsidR="002265C7" w:rsidRPr="0096114C" w:rsidRDefault="0096114C" w:rsidP="002265C7">
      <w:pPr>
        <w:pStyle w:val="TableCaption"/>
        <w:rPr>
          <w:rStyle w:val="table-note"/>
        </w:rPr>
      </w:pPr>
      <w:r w:rsidRPr="0096114C">
        <w:rPr>
          <w:rStyle w:val="table-note"/>
        </w:rPr>
        <w:lastRenderedPageBreak/>
        <w:t xml:space="preserve">Table 14: </w:t>
      </w:r>
      <w:r w:rsidR="002265C7" w:rsidRPr="0096114C">
        <w:rPr>
          <w:rStyle w:val="table-note"/>
        </w:rPr>
        <w:t xml:space="preserve">VIC: Recurrent </w:t>
      </w:r>
      <w:proofErr w:type="gramStart"/>
      <w:r w:rsidR="002265C7" w:rsidRPr="0096114C">
        <w:rPr>
          <w:rStyle w:val="table-note"/>
        </w:rPr>
        <w:t>expenditure</w:t>
      </w:r>
      <w:r w:rsidR="002265C7" w:rsidRPr="0096114C">
        <w:rPr>
          <w:rStyle w:val="table-note"/>
          <w:vertAlign w:val="superscript"/>
        </w:rPr>
        <w:t>(</w:t>
      </w:r>
      <w:proofErr w:type="gramEnd"/>
      <w:r w:rsidR="002265C7" w:rsidRPr="0096114C">
        <w:rPr>
          <w:rStyle w:val="table-note"/>
          <w:vertAlign w:val="superscript"/>
        </w:rPr>
        <w:t>a)(b)</w:t>
      </w:r>
      <w:r w:rsidR="002265C7" w:rsidRPr="0096114C">
        <w:rPr>
          <w:rStyle w:val="table-note"/>
        </w:rPr>
        <w:t xml:space="preserve"> ($’000) on state and territory specialised mental health services, by service type, 2011–12 (current prices)</w:t>
      </w:r>
    </w:p>
    <w:tbl>
      <w:tblPr>
        <w:tblStyle w:val="TableGrid"/>
        <w:tblW w:w="0" w:type="auto"/>
        <w:tblLook w:val="04A0" w:firstRow="1" w:lastRow="0" w:firstColumn="1" w:lastColumn="0" w:noHBand="0" w:noVBand="1"/>
        <w:tblCaption w:val="VIC: Recurrent expenditure(a)(b) ($’000) on state and territory specialised mental health services, by service type, 2011–12 (current prices)"/>
        <w:tblDescription w:val="Table showing that, in 2011-2012, major cities in VIC have the highest recurrent spending for all specialised mental health services at $679,363,000. Recurrent expenditure decreased as regions became more remote. Community mental health services also have the highest amount of recurrent expenditure across all region types at $394,360,000."/>
      </w:tblPr>
      <w:tblGrid>
        <w:gridCol w:w="2350"/>
        <w:gridCol w:w="1082"/>
        <w:gridCol w:w="1377"/>
        <w:gridCol w:w="1241"/>
        <w:gridCol w:w="1041"/>
        <w:gridCol w:w="1085"/>
        <w:gridCol w:w="1110"/>
      </w:tblGrid>
      <w:tr w:rsidR="002265C7" w:rsidRPr="001B1E83" w:rsidTr="000C3DEA">
        <w:trPr>
          <w:tblHeader/>
        </w:trPr>
        <w:tc>
          <w:tcPr>
            <w:tcW w:w="2458" w:type="dxa"/>
          </w:tcPr>
          <w:p w:rsidR="002265C7" w:rsidRPr="001B1E83" w:rsidRDefault="002265C7" w:rsidP="002265C7">
            <w:pPr>
              <w:pStyle w:val="TableFigText"/>
              <w:rPr>
                <w:rFonts w:asciiTheme="minorHAnsi" w:hAnsiTheme="minorHAnsi" w:cstheme="minorHAnsi"/>
                <w:szCs w:val="22"/>
              </w:rPr>
            </w:pPr>
          </w:p>
        </w:tc>
        <w:tc>
          <w:tcPr>
            <w:tcW w:w="1105" w:type="dxa"/>
          </w:tcPr>
          <w:p w:rsidR="002265C7" w:rsidRPr="001B1E83" w:rsidRDefault="002265C7" w:rsidP="002265C7">
            <w:pPr>
              <w:pStyle w:val="TableFigText"/>
              <w:jc w:val="right"/>
              <w:rPr>
                <w:rFonts w:asciiTheme="minorHAnsi" w:hAnsiTheme="minorHAnsi" w:cstheme="minorHAnsi"/>
                <w:b/>
                <w:szCs w:val="22"/>
              </w:rPr>
            </w:pPr>
            <w:r w:rsidRPr="001B1E83">
              <w:rPr>
                <w:rFonts w:asciiTheme="minorHAnsi" w:hAnsiTheme="minorHAnsi" w:cstheme="minorHAnsi"/>
                <w:b/>
                <w:szCs w:val="22"/>
              </w:rPr>
              <w:t>Major cities</w:t>
            </w:r>
          </w:p>
        </w:tc>
        <w:tc>
          <w:tcPr>
            <w:tcW w:w="1423" w:type="dxa"/>
          </w:tcPr>
          <w:p w:rsidR="002265C7" w:rsidRPr="001B1E83" w:rsidRDefault="002265C7" w:rsidP="002265C7">
            <w:pPr>
              <w:pStyle w:val="TableFigText"/>
              <w:jc w:val="right"/>
              <w:rPr>
                <w:rFonts w:asciiTheme="minorHAnsi" w:hAnsiTheme="minorHAnsi" w:cstheme="minorHAnsi"/>
                <w:b/>
                <w:szCs w:val="22"/>
              </w:rPr>
            </w:pPr>
            <w:r w:rsidRPr="001B1E83">
              <w:rPr>
                <w:rFonts w:asciiTheme="minorHAnsi" w:hAnsiTheme="minorHAnsi" w:cstheme="minorHAnsi"/>
                <w:b/>
                <w:szCs w:val="22"/>
              </w:rPr>
              <w:t>Inner regional</w:t>
            </w:r>
          </w:p>
        </w:tc>
        <w:tc>
          <w:tcPr>
            <w:tcW w:w="1278" w:type="dxa"/>
          </w:tcPr>
          <w:p w:rsidR="002265C7" w:rsidRPr="001B1E83" w:rsidRDefault="002265C7" w:rsidP="002265C7">
            <w:pPr>
              <w:pStyle w:val="TableFigText"/>
              <w:jc w:val="right"/>
              <w:rPr>
                <w:rFonts w:asciiTheme="minorHAnsi" w:hAnsiTheme="minorHAnsi" w:cstheme="minorHAnsi"/>
                <w:b/>
                <w:szCs w:val="22"/>
              </w:rPr>
            </w:pPr>
            <w:r w:rsidRPr="001B1E83">
              <w:rPr>
                <w:rFonts w:asciiTheme="minorHAnsi" w:hAnsiTheme="minorHAnsi" w:cstheme="minorHAnsi"/>
                <w:b/>
                <w:szCs w:val="22"/>
              </w:rPr>
              <w:t>Outer regional</w:t>
            </w:r>
          </w:p>
        </w:tc>
        <w:tc>
          <w:tcPr>
            <w:tcW w:w="1064" w:type="dxa"/>
          </w:tcPr>
          <w:p w:rsidR="002265C7" w:rsidRPr="001B1E83" w:rsidRDefault="002265C7" w:rsidP="002265C7">
            <w:pPr>
              <w:pStyle w:val="TableFigText"/>
              <w:jc w:val="right"/>
              <w:rPr>
                <w:rFonts w:asciiTheme="minorHAnsi" w:hAnsiTheme="minorHAnsi" w:cstheme="minorHAnsi"/>
                <w:b/>
                <w:szCs w:val="22"/>
              </w:rPr>
            </w:pPr>
            <w:r w:rsidRPr="001B1E83">
              <w:rPr>
                <w:rFonts w:asciiTheme="minorHAnsi" w:hAnsiTheme="minorHAnsi" w:cstheme="minorHAnsi"/>
                <w:b/>
                <w:szCs w:val="22"/>
              </w:rPr>
              <w:t>Remote</w:t>
            </w:r>
          </w:p>
        </w:tc>
        <w:tc>
          <w:tcPr>
            <w:tcW w:w="1114" w:type="dxa"/>
          </w:tcPr>
          <w:p w:rsidR="002265C7" w:rsidRPr="001B1E83" w:rsidRDefault="002265C7" w:rsidP="002265C7">
            <w:pPr>
              <w:pStyle w:val="TableFigText"/>
              <w:jc w:val="right"/>
              <w:rPr>
                <w:rFonts w:asciiTheme="minorHAnsi" w:hAnsiTheme="minorHAnsi" w:cstheme="minorHAnsi"/>
                <w:b/>
                <w:szCs w:val="22"/>
              </w:rPr>
            </w:pPr>
            <w:r w:rsidRPr="001B1E83">
              <w:rPr>
                <w:rFonts w:asciiTheme="minorHAnsi" w:hAnsiTheme="minorHAnsi" w:cstheme="minorHAnsi"/>
                <w:b/>
                <w:szCs w:val="22"/>
              </w:rPr>
              <w:t>Very remote</w:t>
            </w:r>
          </w:p>
        </w:tc>
        <w:tc>
          <w:tcPr>
            <w:tcW w:w="1134" w:type="dxa"/>
          </w:tcPr>
          <w:p w:rsidR="002265C7" w:rsidRPr="001B1E83" w:rsidRDefault="002265C7" w:rsidP="002265C7">
            <w:pPr>
              <w:pStyle w:val="TableFigText"/>
              <w:jc w:val="right"/>
              <w:rPr>
                <w:rFonts w:asciiTheme="minorHAnsi" w:hAnsiTheme="minorHAnsi" w:cstheme="minorHAnsi"/>
                <w:b/>
                <w:szCs w:val="22"/>
              </w:rPr>
            </w:pPr>
            <w:r w:rsidRPr="001B1E83">
              <w:rPr>
                <w:rFonts w:asciiTheme="minorHAnsi" w:hAnsiTheme="minorHAnsi" w:cstheme="minorHAnsi"/>
                <w:b/>
                <w:szCs w:val="22"/>
              </w:rPr>
              <w:t>Total</w:t>
            </w:r>
            <w:r w:rsidRPr="001B1E83">
              <w:rPr>
                <w:rFonts w:asciiTheme="minorHAnsi" w:hAnsiTheme="minorHAnsi" w:cstheme="minorHAnsi"/>
                <w:szCs w:val="22"/>
                <w:vertAlign w:val="superscript"/>
              </w:rPr>
              <w:t>(c)</w:t>
            </w:r>
          </w:p>
        </w:tc>
      </w:tr>
      <w:tr w:rsidR="002265C7" w:rsidRPr="001B1E83" w:rsidTr="002265C7">
        <w:tc>
          <w:tcPr>
            <w:tcW w:w="2458" w:type="dxa"/>
          </w:tcPr>
          <w:p w:rsidR="002265C7" w:rsidRPr="001B1E83" w:rsidRDefault="002265C7" w:rsidP="002265C7">
            <w:pPr>
              <w:pStyle w:val="TableFigText"/>
              <w:rPr>
                <w:rFonts w:asciiTheme="minorHAnsi" w:hAnsiTheme="minorHAnsi" w:cstheme="minorHAnsi"/>
                <w:szCs w:val="22"/>
              </w:rPr>
            </w:pPr>
            <w:r w:rsidRPr="001B1E83">
              <w:rPr>
                <w:rFonts w:asciiTheme="minorHAnsi" w:hAnsiTheme="minorHAnsi" w:cstheme="minorHAnsi"/>
                <w:szCs w:val="22"/>
              </w:rPr>
              <w:t>Public hospital services</w:t>
            </w:r>
            <w:r w:rsidRPr="001B1E83">
              <w:rPr>
                <w:rFonts w:asciiTheme="minorHAnsi" w:hAnsiTheme="minorHAnsi" w:cstheme="minorHAnsi"/>
                <w:szCs w:val="22"/>
                <w:vertAlign w:val="superscript"/>
              </w:rPr>
              <w:t>(d)(e)</w:t>
            </w:r>
          </w:p>
        </w:tc>
        <w:tc>
          <w:tcPr>
            <w:tcW w:w="1105" w:type="dxa"/>
          </w:tcPr>
          <w:p w:rsidR="002265C7" w:rsidRPr="001B1E83" w:rsidRDefault="002265C7" w:rsidP="00D27F8A">
            <w:pPr>
              <w:pStyle w:val="TableFigText"/>
              <w:jc w:val="right"/>
            </w:pPr>
            <w:r w:rsidRPr="001B1E83">
              <w:t>258,536</w:t>
            </w:r>
          </w:p>
        </w:tc>
        <w:tc>
          <w:tcPr>
            <w:tcW w:w="1423" w:type="dxa"/>
          </w:tcPr>
          <w:p w:rsidR="002265C7" w:rsidRPr="001B1E83" w:rsidRDefault="002265C7" w:rsidP="00D27F8A">
            <w:pPr>
              <w:pStyle w:val="TableFigText"/>
              <w:jc w:val="right"/>
            </w:pPr>
            <w:r w:rsidRPr="001B1E83">
              <w:t>53,482</w:t>
            </w:r>
          </w:p>
        </w:tc>
        <w:tc>
          <w:tcPr>
            <w:tcW w:w="1278" w:type="dxa"/>
          </w:tcPr>
          <w:p w:rsidR="002265C7" w:rsidRPr="001B1E83" w:rsidRDefault="002265C7" w:rsidP="00D27F8A">
            <w:pPr>
              <w:pStyle w:val="TableFigText"/>
              <w:jc w:val="right"/>
            </w:pPr>
            <w:r w:rsidRPr="001B1E83">
              <w:t>3,372</w:t>
            </w:r>
          </w:p>
        </w:tc>
        <w:tc>
          <w:tcPr>
            <w:tcW w:w="1064" w:type="dxa"/>
          </w:tcPr>
          <w:p w:rsidR="002265C7" w:rsidRPr="001B1E83" w:rsidRDefault="002265C7" w:rsidP="00D27F8A">
            <w:pPr>
              <w:pStyle w:val="TableFigText"/>
              <w:jc w:val="right"/>
            </w:pPr>
            <w:r w:rsidRPr="001B1E83">
              <w:t>0</w:t>
            </w:r>
          </w:p>
        </w:tc>
        <w:tc>
          <w:tcPr>
            <w:tcW w:w="1114" w:type="dxa"/>
          </w:tcPr>
          <w:p w:rsidR="002265C7" w:rsidRPr="001B1E83" w:rsidRDefault="002265C7" w:rsidP="00D27F8A">
            <w:pPr>
              <w:pStyle w:val="TableFigText"/>
              <w:jc w:val="right"/>
            </w:pPr>
            <w:r w:rsidRPr="001B1E83">
              <w:t>n/a</w:t>
            </w:r>
          </w:p>
        </w:tc>
        <w:tc>
          <w:tcPr>
            <w:tcW w:w="1134" w:type="dxa"/>
          </w:tcPr>
          <w:p w:rsidR="002265C7" w:rsidRPr="001B1E83" w:rsidRDefault="002265C7" w:rsidP="00D27F8A">
            <w:pPr>
              <w:pStyle w:val="TableFigText"/>
              <w:jc w:val="right"/>
            </w:pPr>
            <w:r w:rsidRPr="001B1E83">
              <w:t>315,390</w:t>
            </w:r>
          </w:p>
        </w:tc>
      </w:tr>
      <w:tr w:rsidR="002265C7" w:rsidRPr="001B1E83" w:rsidTr="002265C7">
        <w:tc>
          <w:tcPr>
            <w:tcW w:w="2458" w:type="dxa"/>
          </w:tcPr>
          <w:p w:rsidR="002265C7" w:rsidRPr="001B1E83" w:rsidRDefault="002265C7" w:rsidP="002265C7">
            <w:pPr>
              <w:pStyle w:val="TableFigText"/>
              <w:rPr>
                <w:rFonts w:asciiTheme="minorHAnsi" w:hAnsiTheme="minorHAnsi" w:cstheme="minorHAnsi"/>
                <w:szCs w:val="22"/>
              </w:rPr>
            </w:pPr>
            <w:r w:rsidRPr="001B1E83">
              <w:rPr>
                <w:rFonts w:asciiTheme="minorHAnsi" w:hAnsiTheme="minorHAnsi" w:cstheme="minorHAnsi"/>
                <w:szCs w:val="22"/>
              </w:rPr>
              <w:t>Community mental health services</w:t>
            </w:r>
          </w:p>
        </w:tc>
        <w:tc>
          <w:tcPr>
            <w:tcW w:w="1105" w:type="dxa"/>
          </w:tcPr>
          <w:p w:rsidR="002265C7" w:rsidRPr="001B1E83" w:rsidRDefault="002265C7" w:rsidP="00D27F8A">
            <w:pPr>
              <w:pStyle w:val="TableFigText"/>
              <w:jc w:val="right"/>
            </w:pPr>
            <w:r w:rsidRPr="001B1E83">
              <w:t>293,170</w:t>
            </w:r>
          </w:p>
        </w:tc>
        <w:tc>
          <w:tcPr>
            <w:tcW w:w="1423" w:type="dxa"/>
          </w:tcPr>
          <w:p w:rsidR="002265C7" w:rsidRPr="001B1E83" w:rsidRDefault="002265C7" w:rsidP="00D27F8A">
            <w:pPr>
              <w:pStyle w:val="TableFigText"/>
              <w:jc w:val="right"/>
            </w:pPr>
            <w:r w:rsidRPr="001B1E83">
              <w:t>86,027</w:t>
            </w:r>
          </w:p>
        </w:tc>
        <w:tc>
          <w:tcPr>
            <w:tcW w:w="1278" w:type="dxa"/>
          </w:tcPr>
          <w:p w:rsidR="002265C7" w:rsidRPr="001B1E83" w:rsidRDefault="002265C7" w:rsidP="00D27F8A">
            <w:pPr>
              <w:pStyle w:val="TableFigText"/>
              <w:jc w:val="right"/>
            </w:pPr>
            <w:r w:rsidRPr="001B1E83">
              <w:t>14,931</w:t>
            </w:r>
          </w:p>
        </w:tc>
        <w:tc>
          <w:tcPr>
            <w:tcW w:w="1064" w:type="dxa"/>
          </w:tcPr>
          <w:p w:rsidR="002265C7" w:rsidRPr="001B1E83" w:rsidRDefault="002265C7" w:rsidP="00D27F8A">
            <w:pPr>
              <w:pStyle w:val="TableFigText"/>
              <w:jc w:val="right"/>
            </w:pPr>
            <w:r w:rsidRPr="001B1E83">
              <w:t>233</w:t>
            </w:r>
          </w:p>
        </w:tc>
        <w:tc>
          <w:tcPr>
            <w:tcW w:w="1114" w:type="dxa"/>
          </w:tcPr>
          <w:p w:rsidR="002265C7" w:rsidRPr="001B1E83" w:rsidRDefault="002265C7" w:rsidP="00D27F8A">
            <w:pPr>
              <w:pStyle w:val="TableFigText"/>
              <w:jc w:val="right"/>
            </w:pPr>
            <w:r w:rsidRPr="001B1E83">
              <w:t>n/a</w:t>
            </w:r>
          </w:p>
        </w:tc>
        <w:tc>
          <w:tcPr>
            <w:tcW w:w="1134" w:type="dxa"/>
          </w:tcPr>
          <w:p w:rsidR="002265C7" w:rsidRPr="001B1E83" w:rsidRDefault="002265C7" w:rsidP="00D27F8A">
            <w:pPr>
              <w:pStyle w:val="TableFigText"/>
              <w:jc w:val="right"/>
            </w:pPr>
            <w:r w:rsidRPr="001B1E83">
              <w:t>394,360</w:t>
            </w:r>
          </w:p>
        </w:tc>
      </w:tr>
      <w:tr w:rsidR="002265C7" w:rsidRPr="001B1E83" w:rsidTr="002265C7">
        <w:tc>
          <w:tcPr>
            <w:tcW w:w="2458" w:type="dxa"/>
          </w:tcPr>
          <w:p w:rsidR="002265C7" w:rsidRPr="001B1E83" w:rsidRDefault="002265C7" w:rsidP="002265C7">
            <w:pPr>
              <w:pStyle w:val="TableFigText"/>
              <w:rPr>
                <w:rFonts w:asciiTheme="minorHAnsi" w:hAnsiTheme="minorHAnsi" w:cstheme="minorHAnsi"/>
                <w:szCs w:val="22"/>
              </w:rPr>
            </w:pPr>
            <w:r w:rsidRPr="001B1E83">
              <w:rPr>
                <w:rFonts w:asciiTheme="minorHAnsi" w:hAnsiTheme="minorHAnsi" w:cstheme="minorHAnsi"/>
                <w:szCs w:val="22"/>
              </w:rPr>
              <w:t>Residential mental health services</w:t>
            </w:r>
            <w:r w:rsidRPr="001B1E83">
              <w:rPr>
                <w:rFonts w:asciiTheme="minorHAnsi" w:hAnsiTheme="minorHAnsi" w:cstheme="minorHAnsi"/>
                <w:szCs w:val="22"/>
                <w:vertAlign w:val="superscript"/>
              </w:rPr>
              <w:t>(f)</w:t>
            </w:r>
          </w:p>
        </w:tc>
        <w:tc>
          <w:tcPr>
            <w:tcW w:w="1105" w:type="dxa"/>
          </w:tcPr>
          <w:p w:rsidR="002265C7" w:rsidRPr="001B1E83" w:rsidRDefault="002265C7" w:rsidP="00D27F8A">
            <w:pPr>
              <w:pStyle w:val="TableFigText"/>
              <w:jc w:val="right"/>
            </w:pPr>
            <w:r w:rsidRPr="001B1E83">
              <w:t>127,658</w:t>
            </w:r>
          </w:p>
        </w:tc>
        <w:tc>
          <w:tcPr>
            <w:tcW w:w="1423" w:type="dxa"/>
          </w:tcPr>
          <w:p w:rsidR="002265C7" w:rsidRPr="001B1E83" w:rsidRDefault="002265C7" w:rsidP="00D27F8A">
            <w:pPr>
              <w:pStyle w:val="TableFigText"/>
              <w:jc w:val="right"/>
            </w:pPr>
            <w:r w:rsidRPr="001B1E83">
              <w:t>35,583</w:t>
            </w:r>
          </w:p>
        </w:tc>
        <w:tc>
          <w:tcPr>
            <w:tcW w:w="1278" w:type="dxa"/>
          </w:tcPr>
          <w:p w:rsidR="002265C7" w:rsidRPr="001B1E83" w:rsidRDefault="002265C7" w:rsidP="00D27F8A">
            <w:pPr>
              <w:pStyle w:val="TableFigText"/>
              <w:jc w:val="right"/>
            </w:pPr>
            <w:r w:rsidRPr="001B1E83">
              <w:t>814</w:t>
            </w:r>
          </w:p>
        </w:tc>
        <w:tc>
          <w:tcPr>
            <w:tcW w:w="1064" w:type="dxa"/>
          </w:tcPr>
          <w:p w:rsidR="002265C7" w:rsidRPr="001B1E83" w:rsidRDefault="002265C7" w:rsidP="00D27F8A">
            <w:pPr>
              <w:pStyle w:val="TableFigText"/>
              <w:jc w:val="right"/>
            </w:pPr>
            <w:r w:rsidRPr="001B1E83">
              <w:t>90</w:t>
            </w:r>
          </w:p>
        </w:tc>
        <w:tc>
          <w:tcPr>
            <w:tcW w:w="1114" w:type="dxa"/>
          </w:tcPr>
          <w:p w:rsidR="002265C7" w:rsidRPr="001B1E83" w:rsidRDefault="002265C7" w:rsidP="00D27F8A">
            <w:pPr>
              <w:pStyle w:val="TableFigText"/>
              <w:jc w:val="right"/>
            </w:pPr>
            <w:r w:rsidRPr="001B1E83">
              <w:t>n/a</w:t>
            </w:r>
          </w:p>
        </w:tc>
        <w:tc>
          <w:tcPr>
            <w:tcW w:w="1134" w:type="dxa"/>
          </w:tcPr>
          <w:p w:rsidR="002265C7" w:rsidRPr="001B1E83" w:rsidRDefault="002265C7" w:rsidP="00D27F8A">
            <w:pPr>
              <w:pStyle w:val="TableFigText"/>
              <w:jc w:val="right"/>
            </w:pPr>
            <w:r w:rsidRPr="001B1E83">
              <w:t>164,144</w:t>
            </w:r>
          </w:p>
        </w:tc>
      </w:tr>
      <w:tr w:rsidR="002265C7" w:rsidRPr="001B1E83" w:rsidTr="002265C7">
        <w:tc>
          <w:tcPr>
            <w:tcW w:w="2458" w:type="dxa"/>
          </w:tcPr>
          <w:p w:rsidR="002265C7" w:rsidRPr="00D27F8A" w:rsidRDefault="002265C7" w:rsidP="002265C7">
            <w:pPr>
              <w:pStyle w:val="TableFigText"/>
              <w:rPr>
                <w:rFonts w:asciiTheme="minorHAnsi" w:hAnsiTheme="minorHAnsi" w:cstheme="minorHAnsi"/>
                <w:b/>
                <w:szCs w:val="22"/>
              </w:rPr>
            </w:pPr>
            <w:r w:rsidRPr="00D27F8A">
              <w:rPr>
                <w:rFonts w:asciiTheme="minorHAnsi" w:hAnsiTheme="minorHAnsi" w:cstheme="minorHAnsi"/>
                <w:b/>
                <w:szCs w:val="22"/>
              </w:rPr>
              <w:t>All mental health service types</w:t>
            </w:r>
            <w:r w:rsidRPr="00D27F8A">
              <w:rPr>
                <w:rFonts w:asciiTheme="minorHAnsi" w:hAnsiTheme="minorHAnsi" w:cstheme="minorHAnsi"/>
                <w:b/>
                <w:szCs w:val="22"/>
                <w:vertAlign w:val="superscript"/>
              </w:rPr>
              <w:t>(c)</w:t>
            </w:r>
          </w:p>
        </w:tc>
        <w:tc>
          <w:tcPr>
            <w:tcW w:w="1105" w:type="dxa"/>
          </w:tcPr>
          <w:p w:rsidR="002265C7" w:rsidRPr="00D27F8A" w:rsidRDefault="002265C7" w:rsidP="00D27F8A">
            <w:pPr>
              <w:pStyle w:val="TableFigText"/>
              <w:jc w:val="right"/>
              <w:rPr>
                <w:b/>
              </w:rPr>
            </w:pPr>
            <w:r w:rsidRPr="00D27F8A">
              <w:rPr>
                <w:b/>
              </w:rPr>
              <w:t>679,363</w:t>
            </w:r>
          </w:p>
        </w:tc>
        <w:tc>
          <w:tcPr>
            <w:tcW w:w="1423" w:type="dxa"/>
          </w:tcPr>
          <w:p w:rsidR="002265C7" w:rsidRPr="00D27F8A" w:rsidRDefault="002265C7" w:rsidP="00D27F8A">
            <w:pPr>
              <w:pStyle w:val="TableFigText"/>
              <w:jc w:val="right"/>
              <w:rPr>
                <w:b/>
              </w:rPr>
            </w:pPr>
            <w:r w:rsidRPr="00D27F8A">
              <w:rPr>
                <w:b/>
              </w:rPr>
              <w:t>175,092</w:t>
            </w:r>
          </w:p>
        </w:tc>
        <w:tc>
          <w:tcPr>
            <w:tcW w:w="1278" w:type="dxa"/>
          </w:tcPr>
          <w:p w:rsidR="002265C7" w:rsidRPr="00D27F8A" w:rsidRDefault="002265C7" w:rsidP="00D27F8A">
            <w:pPr>
              <w:pStyle w:val="TableFigText"/>
              <w:jc w:val="right"/>
              <w:rPr>
                <w:b/>
              </w:rPr>
            </w:pPr>
            <w:r w:rsidRPr="00D27F8A">
              <w:rPr>
                <w:b/>
              </w:rPr>
              <w:t>19,177</w:t>
            </w:r>
          </w:p>
        </w:tc>
        <w:tc>
          <w:tcPr>
            <w:tcW w:w="1064" w:type="dxa"/>
          </w:tcPr>
          <w:p w:rsidR="002265C7" w:rsidRPr="00D27F8A" w:rsidRDefault="002265C7" w:rsidP="00D27F8A">
            <w:pPr>
              <w:pStyle w:val="TableFigText"/>
              <w:jc w:val="right"/>
              <w:rPr>
                <w:b/>
              </w:rPr>
            </w:pPr>
            <w:r w:rsidRPr="00D27F8A">
              <w:rPr>
                <w:b/>
              </w:rPr>
              <w:t>323</w:t>
            </w:r>
          </w:p>
        </w:tc>
        <w:tc>
          <w:tcPr>
            <w:tcW w:w="1114" w:type="dxa"/>
          </w:tcPr>
          <w:p w:rsidR="002265C7" w:rsidRPr="00D27F8A" w:rsidRDefault="002265C7" w:rsidP="00D27F8A">
            <w:pPr>
              <w:pStyle w:val="TableFigText"/>
              <w:jc w:val="right"/>
              <w:rPr>
                <w:b/>
              </w:rPr>
            </w:pPr>
            <w:r w:rsidRPr="00D27F8A">
              <w:rPr>
                <w:b/>
              </w:rPr>
              <w:t>n/a</w:t>
            </w:r>
          </w:p>
        </w:tc>
        <w:tc>
          <w:tcPr>
            <w:tcW w:w="1134" w:type="dxa"/>
          </w:tcPr>
          <w:p w:rsidR="002265C7" w:rsidRPr="00D27F8A" w:rsidRDefault="002265C7" w:rsidP="00D27F8A">
            <w:pPr>
              <w:pStyle w:val="TableFigText"/>
              <w:jc w:val="right"/>
              <w:rPr>
                <w:b/>
              </w:rPr>
            </w:pPr>
            <w:r w:rsidRPr="00D27F8A">
              <w:rPr>
                <w:b/>
              </w:rPr>
              <w:t>873,894</w:t>
            </w:r>
          </w:p>
        </w:tc>
      </w:tr>
    </w:tbl>
    <w:p w:rsidR="002265C7" w:rsidRPr="00541ED8" w:rsidRDefault="002265C7" w:rsidP="006B2ED0">
      <w:pPr>
        <w:pStyle w:val="TableFigNotesnumbered"/>
        <w:ind w:left="294" w:hanging="294"/>
        <w:rPr>
          <w:rStyle w:val="table-note"/>
        </w:rPr>
      </w:pPr>
      <w:proofErr w:type="gramStart"/>
      <w:r w:rsidRPr="00541ED8">
        <w:rPr>
          <w:rStyle w:val="table-note"/>
        </w:rPr>
        <w:t>n/a</w:t>
      </w:r>
      <w:proofErr w:type="gramEnd"/>
      <w:r w:rsidRPr="00541ED8">
        <w:rPr>
          <w:rStyle w:val="table-note"/>
        </w:rPr>
        <w:tab/>
        <w:t>Not applicable.</w:t>
      </w:r>
    </w:p>
    <w:p w:rsidR="002265C7" w:rsidRPr="00541ED8" w:rsidRDefault="002265C7" w:rsidP="00540186">
      <w:pPr>
        <w:pStyle w:val="TableFigNotesnumbered"/>
        <w:numPr>
          <w:ilvl w:val="0"/>
          <w:numId w:val="65"/>
        </w:numPr>
        <w:rPr>
          <w:rStyle w:val="table-note"/>
        </w:rPr>
      </w:pPr>
      <w:r w:rsidRPr="00541ED8">
        <w:rPr>
          <w:rStyle w:val="table-note"/>
        </w:rPr>
        <w:t>Expenditure excludes depreciation.</w:t>
      </w:r>
    </w:p>
    <w:p w:rsidR="002265C7" w:rsidRPr="00541ED8" w:rsidRDefault="002265C7" w:rsidP="00540186">
      <w:pPr>
        <w:pStyle w:val="TableFigNotesnumbered"/>
        <w:numPr>
          <w:ilvl w:val="0"/>
          <w:numId w:val="65"/>
        </w:numPr>
        <w:rPr>
          <w:rStyle w:val="table-note"/>
        </w:rPr>
      </w:pPr>
      <w:r w:rsidRPr="00541ED8">
        <w:rPr>
          <w:rStyle w:val="table-note"/>
        </w:rPr>
        <w:t>Expenditure excludes grants to non-government organisations and indirect expenditure at the state/territory, region and organisation levels not apportioned to service units.</w:t>
      </w:r>
    </w:p>
    <w:p w:rsidR="002265C7" w:rsidRPr="00541ED8" w:rsidRDefault="002265C7" w:rsidP="00540186">
      <w:pPr>
        <w:pStyle w:val="TableFigNotesnumbered"/>
        <w:numPr>
          <w:ilvl w:val="0"/>
          <w:numId w:val="65"/>
        </w:numPr>
        <w:rPr>
          <w:rStyle w:val="table-note"/>
        </w:rPr>
      </w:pPr>
      <w:r w:rsidRPr="00541ED8">
        <w:rPr>
          <w:rStyle w:val="table-note"/>
        </w:rPr>
        <w:t>Totals may not add due to rounding to the nearest $'000.</w:t>
      </w:r>
    </w:p>
    <w:p w:rsidR="002265C7" w:rsidRPr="00541ED8" w:rsidRDefault="002265C7" w:rsidP="00540186">
      <w:pPr>
        <w:pStyle w:val="TableFigNotesnumbered"/>
        <w:numPr>
          <w:ilvl w:val="0"/>
          <w:numId w:val="65"/>
        </w:numPr>
        <w:rPr>
          <w:rStyle w:val="table-note"/>
        </w:rPr>
      </w:pPr>
      <w:r w:rsidRPr="00541ED8">
        <w:rPr>
          <w:rStyle w:val="table-note"/>
        </w:rPr>
        <w:t>Includes public hospital services managed and operated by private and non-government entities.</w:t>
      </w:r>
    </w:p>
    <w:p w:rsidR="002265C7" w:rsidRPr="00541ED8" w:rsidRDefault="002265C7" w:rsidP="00540186">
      <w:pPr>
        <w:pStyle w:val="TableFigNotesnumbered"/>
        <w:numPr>
          <w:ilvl w:val="0"/>
          <w:numId w:val="65"/>
        </w:numPr>
        <w:rPr>
          <w:rStyle w:val="table-note"/>
        </w:rPr>
      </w:pPr>
      <w:r w:rsidRPr="00541ED8">
        <w:rPr>
          <w:rStyle w:val="table-note"/>
        </w:rPr>
        <w:t>Public psychiatric hospitals and specialised psychiatric units or wards in public acute hospitals include expenditure on admitted patient services only. Public hospitals outpatient departments are included in communit</w:t>
      </w:r>
      <w:r w:rsidR="001F0D51" w:rsidRPr="00541ED8">
        <w:rPr>
          <w:rStyle w:val="table-note"/>
        </w:rPr>
        <w:t>y mental health care services.</w:t>
      </w:r>
    </w:p>
    <w:p w:rsidR="002265C7" w:rsidRPr="00541ED8" w:rsidRDefault="002265C7" w:rsidP="00540186">
      <w:pPr>
        <w:pStyle w:val="TableFigNotesnumbered"/>
        <w:numPr>
          <w:ilvl w:val="0"/>
          <w:numId w:val="65"/>
        </w:numPr>
        <w:rPr>
          <w:rStyle w:val="table-note"/>
        </w:rPr>
      </w:pPr>
      <w:r w:rsidRPr="00541ED8">
        <w:rPr>
          <w:rStyle w:val="table-note"/>
        </w:rPr>
        <w:t>Residential mental health services include the total operating costs for partially or wholly government funded non-government-operated residential mental health services.</w:t>
      </w:r>
    </w:p>
    <w:p w:rsidR="00614CCC" w:rsidRPr="001B1E83" w:rsidRDefault="00614CCC" w:rsidP="006B2ED0">
      <w:pPr>
        <w:pStyle w:val="TableFigNotesnumbered"/>
        <w:ind w:left="294" w:hanging="294"/>
        <w:rPr>
          <w:rFonts w:asciiTheme="minorHAnsi" w:hAnsiTheme="minorHAnsi" w:cstheme="minorHAnsi"/>
        </w:rPr>
      </w:pPr>
    </w:p>
    <w:p w:rsidR="00614CCC" w:rsidRPr="0096114C" w:rsidRDefault="0096114C" w:rsidP="00614CCC">
      <w:pPr>
        <w:pStyle w:val="TableCaption"/>
        <w:rPr>
          <w:rStyle w:val="table-note"/>
        </w:rPr>
      </w:pPr>
      <w:r w:rsidRPr="0096114C">
        <w:rPr>
          <w:rStyle w:val="table-note"/>
        </w:rPr>
        <w:t xml:space="preserve">Table 15: </w:t>
      </w:r>
      <w:r w:rsidR="00614CCC" w:rsidRPr="0096114C">
        <w:rPr>
          <w:rStyle w:val="table-note"/>
        </w:rPr>
        <w:t xml:space="preserve">VIC: Recurrent </w:t>
      </w:r>
      <w:proofErr w:type="gramStart"/>
      <w:r w:rsidR="00614CCC" w:rsidRPr="0096114C">
        <w:rPr>
          <w:rStyle w:val="table-note"/>
        </w:rPr>
        <w:t>expenditure</w:t>
      </w:r>
      <w:r w:rsidR="00614CCC" w:rsidRPr="0096114C">
        <w:rPr>
          <w:rStyle w:val="table-note"/>
          <w:vertAlign w:val="superscript"/>
        </w:rPr>
        <w:t>(</w:t>
      </w:r>
      <w:proofErr w:type="gramEnd"/>
      <w:r w:rsidR="00614CCC" w:rsidRPr="0096114C">
        <w:rPr>
          <w:rStyle w:val="table-note"/>
          <w:vertAlign w:val="superscript"/>
        </w:rPr>
        <w:t>a)(b)</w:t>
      </w:r>
      <w:r w:rsidR="00614CCC" w:rsidRPr="0096114C">
        <w:rPr>
          <w:rStyle w:val="table-note"/>
        </w:rPr>
        <w:t xml:space="preserve"> ($) per capita</w:t>
      </w:r>
      <w:r w:rsidR="00614CCC" w:rsidRPr="0096114C">
        <w:rPr>
          <w:rStyle w:val="table-note"/>
          <w:vertAlign w:val="superscript"/>
        </w:rPr>
        <w:t>(c)</w:t>
      </w:r>
      <w:r w:rsidR="00614CCC" w:rsidRPr="0096114C">
        <w:rPr>
          <w:rStyle w:val="table-note"/>
        </w:rPr>
        <w:t xml:space="preserve"> on state and territory specialised mental health services, by service type, 2011–12 (current prices)</w:t>
      </w:r>
    </w:p>
    <w:tbl>
      <w:tblPr>
        <w:tblStyle w:val="TableGrid"/>
        <w:tblW w:w="0" w:type="auto"/>
        <w:tblLook w:val="04A0" w:firstRow="1" w:lastRow="0" w:firstColumn="1" w:lastColumn="0" w:noHBand="0" w:noVBand="1"/>
        <w:tblCaption w:val="VIC: Recurrent expenditure(a)(b) ($) per capita(c) on state and territory specialised mental health services, by service type, 2011–12 (current prices)"/>
        <w:tblDescription w:val="Table showing that, in 2011-2012, inner regional areas in VIC had the highest recurrent expenditure per capita overall, for mental health services, at $163.19. This was followed by major cities at $161.18. Community mental health services had the highest recurrent expenditure overall, across region types, at $71.21. "/>
      </w:tblPr>
      <w:tblGrid>
        <w:gridCol w:w="2381"/>
        <w:gridCol w:w="1047"/>
        <w:gridCol w:w="1380"/>
        <w:gridCol w:w="1251"/>
        <w:gridCol w:w="1047"/>
        <w:gridCol w:w="1094"/>
        <w:gridCol w:w="1086"/>
      </w:tblGrid>
      <w:tr w:rsidR="00614CCC" w:rsidRPr="001B1E83" w:rsidTr="000C3DEA">
        <w:trPr>
          <w:tblHeader/>
        </w:trPr>
        <w:tc>
          <w:tcPr>
            <w:tcW w:w="2381" w:type="dxa"/>
          </w:tcPr>
          <w:p w:rsidR="00614CCC" w:rsidRPr="001B1E83" w:rsidRDefault="00614CCC" w:rsidP="00614CCC">
            <w:pPr>
              <w:pStyle w:val="TableFigText"/>
              <w:rPr>
                <w:rFonts w:asciiTheme="minorHAnsi" w:hAnsiTheme="minorHAnsi" w:cstheme="minorHAnsi"/>
                <w:szCs w:val="22"/>
              </w:rPr>
            </w:pPr>
          </w:p>
        </w:tc>
        <w:tc>
          <w:tcPr>
            <w:tcW w:w="1047" w:type="dxa"/>
          </w:tcPr>
          <w:p w:rsidR="00614CCC" w:rsidRPr="001B1E83" w:rsidRDefault="00614CCC" w:rsidP="00614CCC">
            <w:pPr>
              <w:pStyle w:val="TableFigText"/>
              <w:jc w:val="right"/>
              <w:rPr>
                <w:rFonts w:asciiTheme="minorHAnsi" w:hAnsiTheme="minorHAnsi" w:cstheme="minorHAnsi"/>
                <w:b/>
                <w:szCs w:val="22"/>
              </w:rPr>
            </w:pPr>
            <w:r w:rsidRPr="001B1E83">
              <w:rPr>
                <w:rFonts w:asciiTheme="minorHAnsi" w:hAnsiTheme="minorHAnsi" w:cstheme="minorHAnsi"/>
                <w:b/>
                <w:szCs w:val="22"/>
              </w:rPr>
              <w:t>Major cities</w:t>
            </w:r>
          </w:p>
        </w:tc>
        <w:tc>
          <w:tcPr>
            <w:tcW w:w="1380" w:type="dxa"/>
          </w:tcPr>
          <w:p w:rsidR="00614CCC" w:rsidRPr="001B1E83" w:rsidRDefault="00614CCC" w:rsidP="00614CCC">
            <w:pPr>
              <w:pStyle w:val="TableFigText"/>
              <w:jc w:val="right"/>
              <w:rPr>
                <w:rFonts w:asciiTheme="minorHAnsi" w:hAnsiTheme="minorHAnsi" w:cstheme="minorHAnsi"/>
                <w:b/>
                <w:szCs w:val="22"/>
              </w:rPr>
            </w:pPr>
            <w:r w:rsidRPr="001B1E83">
              <w:rPr>
                <w:rFonts w:asciiTheme="minorHAnsi" w:hAnsiTheme="minorHAnsi" w:cstheme="minorHAnsi"/>
                <w:b/>
                <w:szCs w:val="22"/>
              </w:rPr>
              <w:t>Inner regional</w:t>
            </w:r>
          </w:p>
        </w:tc>
        <w:tc>
          <w:tcPr>
            <w:tcW w:w="1251" w:type="dxa"/>
          </w:tcPr>
          <w:p w:rsidR="00614CCC" w:rsidRPr="001B1E83" w:rsidRDefault="00614CCC" w:rsidP="00614CCC">
            <w:pPr>
              <w:pStyle w:val="TableFigText"/>
              <w:jc w:val="right"/>
              <w:rPr>
                <w:rFonts w:asciiTheme="minorHAnsi" w:hAnsiTheme="minorHAnsi" w:cstheme="minorHAnsi"/>
                <w:b/>
                <w:szCs w:val="22"/>
              </w:rPr>
            </w:pPr>
            <w:r w:rsidRPr="001B1E83">
              <w:rPr>
                <w:rFonts w:asciiTheme="minorHAnsi" w:hAnsiTheme="minorHAnsi" w:cstheme="minorHAnsi"/>
                <w:b/>
                <w:szCs w:val="22"/>
              </w:rPr>
              <w:t>Outer regional</w:t>
            </w:r>
          </w:p>
        </w:tc>
        <w:tc>
          <w:tcPr>
            <w:tcW w:w="1047" w:type="dxa"/>
          </w:tcPr>
          <w:p w:rsidR="00614CCC" w:rsidRPr="001B1E83" w:rsidRDefault="00614CCC" w:rsidP="00614CCC">
            <w:pPr>
              <w:pStyle w:val="TableFigText"/>
              <w:jc w:val="right"/>
              <w:rPr>
                <w:rFonts w:asciiTheme="minorHAnsi" w:hAnsiTheme="minorHAnsi" w:cstheme="minorHAnsi"/>
                <w:b/>
                <w:szCs w:val="22"/>
              </w:rPr>
            </w:pPr>
            <w:r w:rsidRPr="001B1E83">
              <w:rPr>
                <w:rFonts w:asciiTheme="minorHAnsi" w:hAnsiTheme="minorHAnsi" w:cstheme="minorHAnsi"/>
                <w:b/>
                <w:szCs w:val="22"/>
              </w:rPr>
              <w:t>Remote</w:t>
            </w:r>
          </w:p>
        </w:tc>
        <w:tc>
          <w:tcPr>
            <w:tcW w:w="1094" w:type="dxa"/>
          </w:tcPr>
          <w:p w:rsidR="00614CCC" w:rsidRPr="001B1E83" w:rsidRDefault="00614CCC" w:rsidP="00614CCC">
            <w:pPr>
              <w:pStyle w:val="TableFigText"/>
              <w:jc w:val="right"/>
              <w:rPr>
                <w:rFonts w:asciiTheme="minorHAnsi" w:hAnsiTheme="minorHAnsi" w:cstheme="minorHAnsi"/>
                <w:b/>
                <w:szCs w:val="22"/>
              </w:rPr>
            </w:pPr>
            <w:r w:rsidRPr="001B1E83">
              <w:rPr>
                <w:rFonts w:asciiTheme="minorHAnsi" w:hAnsiTheme="minorHAnsi" w:cstheme="minorHAnsi"/>
                <w:b/>
                <w:szCs w:val="22"/>
              </w:rPr>
              <w:t>Very remote</w:t>
            </w:r>
          </w:p>
        </w:tc>
        <w:tc>
          <w:tcPr>
            <w:tcW w:w="1086" w:type="dxa"/>
          </w:tcPr>
          <w:p w:rsidR="00614CCC" w:rsidRPr="001B1E83" w:rsidRDefault="00614CCC" w:rsidP="001B1E83">
            <w:pPr>
              <w:pStyle w:val="TableFigText"/>
              <w:jc w:val="right"/>
              <w:rPr>
                <w:rFonts w:asciiTheme="minorHAnsi" w:hAnsiTheme="minorHAnsi" w:cstheme="minorHAnsi"/>
                <w:b/>
                <w:szCs w:val="22"/>
              </w:rPr>
            </w:pPr>
            <w:r w:rsidRPr="001B1E83">
              <w:rPr>
                <w:rFonts w:asciiTheme="minorHAnsi" w:hAnsiTheme="minorHAnsi" w:cstheme="minorHAnsi"/>
                <w:b/>
                <w:szCs w:val="22"/>
              </w:rPr>
              <w:t>Total</w:t>
            </w:r>
          </w:p>
        </w:tc>
      </w:tr>
      <w:tr w:rsidR="00614CCC" w:rsidRPr="001B1E83" w:rsidTr="00614CCC">
        <w:tc>
          <w:tcPr>
            <w:tcW w:w="2381" w:type="dxa"/>
          </w:tcPr>
          <w:p w:rsidR="00614CCC" w:rsidRPr="001B1E83" w:rsidRDefault="00614CCC" w:rsidP="001B1E83">
            <w:pPr>
              <w:pStyle w:val="TableFigText"/>
              <w:rPr>
                <w:rFonts w:asciiTheme="minorHAnsi" w:hAnsiTheme="minorHAnsi" w:cstheme="minorHAnsi"/>
                <w:szCs w:val="22"/>
              </w:rPr>
            </w:pPr>
            <w:r w:rsidRPr="001B1E83">
              <w:rPr>
                <w:rFonts w:asciiTheme="minorHAnsi" w:hAnsiTheme="minorHAnsi" w:cstheme="minorHAnsi"/>
                <w:szCs w:val="22"/>
              </w:rPr>
              <w:t>Public hospital services</w:t>
            </w:r>
            <w:r w:rsidRPr="001B1E83">
              <w:rPr>
                <w:rFonts w:asciiTheme="minorHAnsi" w:hAnsiTheme="minorHAnsi" w:cstheme="minorHAnsi"/>
                <w:szCs w:val="22"/>
                <w:vertAlign w:val="superscript"/>
              </w:rPr>
              <w:t>(</w:t>
            </w:r>
            <w:r w:rsidR="001B1E83">
              <w:rPr>
                <w:rFonts w:asciiTheme="minorHAnsi" w:hAnsiTheme="minorHAnsi" w:cstheme="minorHAnsi"/>
                <w:szCs w:val="22"/>
                <w:vertAlign w:val="superscript"/>
              </w:rPr>
              <w:t>d</w:t>
            </w:r>
            <w:r w:rsidRPr="001B1E83">
              <w:rPr>
                <w:rFonts w:asciiTheme="minorHAnsi" w:hAnsiTheme="minorHAnsi" w:cstheme="minorHAnsi"/>
                <w:szCs w:val="22"/>
                <w:vertAlign w:val="superscript"/>
              </w:rPr>
              <w:t>)(</w:t>
            </w:r>
            <w:r w:rsidR="001B1E83">
              <w:rPr>
                <w:rFonts w:asciiTheme="minorHAnsi" w:hAnsiTheme="minorHAnsi" w:cstheme="minorHAnsi"/>
                <w:szCs w:val="22"/>
                <w:vertAlign w:val="superscript"/>
              </w:rPr>
              <w:t>e</w:t>
            </w:r>
            <w:r w:rsidRPr="001B1E83">
              <w:rPr>
                <w:rFonts w:asciiTheme="minorHAnsi" w:hAnsiTheme="minorHAnsi" w:cstheme="minorHAnsi"/>
                <w:szCs w:val="22"/>
                <w:vertAlign w:val="superscript"/>
              </w:rPr>
              <w:t>)</w:t>
            </w:r>
          </w:p>
        </w:tc>
        <w:tc>
          <w:tcPr>
            <w:tcW w:w="1047" w:type="dxa"/>
          </w:tcPr>
          <w:p w:rsidR="00614CCC" w:rsidRPr="001B1E83" w:rsidRDefault="00614CCC" w:rsidP="00D27F8A">
            <w:pPr>
              <w:pStyle w:val="TableFigText"/>
              <w:jc w:val="right"/>
            </w:pPr>
            <w:r w:rsidRPr="001B1E83">
              <w:t>61.34</w:t>
            </w:r>
          </w:p>
        </w:tc>
        <w:tc>
          <w:tcPr>
            <w:tcW w:w="1380" w:type="dxa"/>
          </w:tcPr>
          <w:p w:rsidR="00614CCC" w:rsidRPr="001B1E83" w:rsidRDefault="00614CCC" w:rsidP="00D27F8A">
            <w:pPr>
              <w:pStyle w:val="TableFigText"/>
              <w:jc w:val="right"/>
            </w:pPr>
            <w:r w:rsidRPr="001B1E83">
              <w:t>49.85</w:t>
            </w:r>
          </w:p>
        </w:tc>
        <w:tc>
          <w:tcPr>
            <w:tcW w:w="1251" w:type="dxa"/>
          </w:tcPr>
          <w:p w:rsidR="00614CCC" w:rsidRPr="001B1E83" w:rsidRDefault="00614CCC" w:rsidP="00D27F8A">
            <w:pPr>
              <w:pStyle w:val="TableFigText"/>
              <w:jc w:val="right"/>
            </w:pPr>
            <w:r w:rsidRPr="001B1E83">
              <w:t>13.76</w:t>
            </w:r>
          </w:p>
        </w:tc>
        <w:tc>
          <w:tcPr>
            <w:tcW w:w="1047" w:type="dxa"/>
          </w:tcPr>
          <w:p w:rsidR="00614CCC" w:rsidRPr="001B1E83" w:rsidRDefault="001B1E83" w:rsidP="00D27F8A">
            <w:pPr>
              <w:pStyle w:val="TableFigText"/>
              <w:jc w:val="right"/>
            </w:pPr>
            <w:r>
              <w:t>0</w:t>
            </w:r>
          </w:p>
        </w:tc>
        <w:tc>
          <w:tcPr>
            <w:tcW w:w="1094" w:type="dxa"/>
          </w:tcPr>
          <w:p w:rsidR="00614CCC" w:rsidRPr="001B1E83" w:rsidRDefault="00614CCC" w:rsidP="00D27F8A">
            <w:pPr>
              <w:pStyle w:val="TableFigText"/>
              <w:jc w:val="right"/>
              <w:rPr>
                <w:rFonts w:cstheme="minorHAnsi"/>
                <w:szCs w:val="22"/>
              </w:rPr>
            </w:pPr>
            <w:r w:rsidRPr="001B1E83">
              <w:rPr>
                <w:szCs w:val="22"/>
              </w:rPr>
              <w:t>n/a</w:t>
            </w:r>
          </w:p>
        </w:tc>
        <w:tc>
          <w:tcPr>
            <w:tcW w:w="1086" w:type="dxa"/>
          </w:tcPr>
          <w:p w:rsidR="00614CCC" w:rsidRPr="001B1E83" w:rsidRDefault="00614CCC" w:rsidP="00D27F8A">
            <w:pPr>
              <w:pStyle w:val="TableFigText"/>
              <w:jc w:val="right"/>
            </w:pPr>
            <w:r w:rsidRPr="001B1E83">
              <w:t>56.95</w:t>
            </w:r>
          </w:p>
        </w:tc>
      </w:tr>
      <w:tr w:rsidR="00614CCC" w:rsidRPr="001B1E83" w:rsidTr="00614CCC">
        <w:tc>
          <w:tcPr>
            <w:tcW w:w="2381" w:type="dxa"/>
          </w:tcPr>
          <w:p w:rsidR="00614CCC" w:rsidRPr="001B1E83" w:rsidRDefault="00614CCC" w:rsidP="00614CCC">
            <w:pPr>
              <w:pStyle w:val="TableFigText"/>
              <w:rPr>
                <w:rFonts w:asciiTheme="minorHAnsi" w:hAnsiTheme="minorHAnsi" w:cstheme="minorHAnsi"/>
                <w:szCs w:val="22"/>
              </w:rPr>
            </w:pPr>
            <w:r w:rsidRPr="001B1E83">
              <w:rPr>
                <w:rFonts w:asciiTheme="minorHAnsi" w:hAnsiTheme="minorHAnsi" w:cstheme="minorHAnsi"/>
                <w:szCs w:val="22"/>
              </w:rPr>
              <w:t>Community mental health services</w:t>
            </w:r>
          </w:p>
        </w:tc>
        <w:tc>
          <w:tcPr>
            <w:tcW w:w="1047" w:type="dxa"/>
          </w:tcPr>
          <w:p w:rsidR="00614CCC" w:rsidRPr="001B1E83" w:rsidRDefault="00614CCC" w:rsidP="00D27F8A">
            <w:pPr>
              <w:pStyle w:val="TableFigText"/>
              <w:jc w:val="right"/>
            </w:pPr>
            <w:r w:rsidRPr="001B1E83">
              <w:t>69.55</w:t>
            </w:r>
          </w:p>
        </w:tc>
        <w:tc>
          <w:tcPr>
            <w:tcW w:w="1380" w:type="dxa"/>
          </w:tcPr>
          <w:p w:rsidR="00614CCC" w:rsidRPr="001B1E83" w:rsidRDefault="00614CCC" w:rsidP="00D27F8A">
            <w:pPr>
              <w:pStyle w:val="TableFigText"/>
              <w:jc w:val="right"/>
            </w:pPr>
            <w:r w:rsidRPr="001B1E83">
              <w:t>80.18</w:t>
            </w:r>
          </w:p>
        </w:tc>
        <w:tc>
          <w:tcPr>
            <w:tcW w:w="1251" w:type="dxa"/>
          </w:tcPr>
          <w:p w:rsidR="00614CCC" w:rsidRPr="001B1E83" w:rsidRDefault="00614CCC" w:rsidP="00D27F8A">
            <w:pPr>
              <w:pStyle w:val="TableFigText"/>
              <w:jc w:val="right"/>
            </w:pPr>
            <w:r w:rsidRPr="001B1E83">
              <w:t>60.91</w:t>
            </w:r>
          </w:p>
        </w:tc>
        <w:tc>
          <w:tcPr>
            <w:tcW w:w="1047" w:type="dxa"/>
          </w:tcPr>
          <w:p w:rsidR="00614CCC" w:rsidRPr="001B1E83" w:rsidRDefault="00614CCC" w:rsidP="00D27F8A">
            <w:pPr>
              <w:pStyle w:val="TableFigText"/>
              <w:jc w:val="right"/>
            </w:pPr>
            <w:r w:rsidRPr="001B1E83">
              <w:t>48.82</w:t>
            </w:r>
          </w:p>
        </w:tc>
        <w:tc>
          <w:tcPr>
            <w:tcW w:w="1094" w:type="dxa"/>
          </w:tcPr>
          <w:p w:rsidR="00614CCC" w:rsidRPr="001B1E83" w:rsidRDefault="00614CCC" w:rsidP="00D27F8A">
            <w:pPr>
              <w:pStyle w:val="TableFigText"/>
              <w:jc w:val="right"/>
              <w:rPr>
                <w:rFonts w:cstheme="minorHAnsi"/>
                <w:szCs w:val="22"/>
              </w:rPr>
            </w:pPr>
            <w:r w:rsidRPr="001B1E83">
              <w:rPr>
                <w:szCs w:val="22"/>
              </w:rPr>
              <w:t>n/a</w:t>
            </w:r>
          </w:p>
        </w:tc>
        <w:tc>
          <w:tcPr>
            <w:tcW w:w="1086" w:type="dxa"/>
          </w:tcPr>
          <w:p w:rsidR="00614CCC" w:rsidRPr="001B1E83" w:rsidRDefault="00614CCC" w:rsidP="00D27F8A">
            <w:pPr>
              <w:pStyle w:val="TableFigText"/>
              <w:jc w:val="right"/>
            </w:pPr>
            <w:r w:rsidRPr="001B1E83">
              <w:t>71.21</w:t>
            </w:r>
          </w:p>
        </w:tc>
      </w:tr>
      <w:tr w:rsidR="00614CCC" w:rsidRPr="001B1E83" w:rsidTr="00614CCC">
        <w:tc>
          <w:tcPr>
            <w:tcW w:w="2381" w:type="dxa"/>
          </w:tcPr>
          <w:p w:rsidR="00614CCC" w:rsidRPr="001B1E83" w:rsidRDefault="00614CCC" w:rsidP="00614CCC">
            <w:pPr>
              <w:pStyle w:val="TableFigText"/>
              <w:rPr>
                <w:rFonts w:asciiTheme="minorHAnsi" w:hAnsiTheme="minorHAnsi" w:cstheme="minorHAnsi"/>
                <w:szCs w:val="22"/>
              </w:rPr>
            </w:pPr>
            <w:r w:rsidRPr="001B1E83">
              <w:rPr>
                <w:rFonts w:asciiTheme="minorHAnsi" w:hAnsiTheme="minorHAnsi" w:cstheme="minorHAnsi"/>
                <w:szCs w:val="22"/>
              </w:rPr>
              <w:t>Residential mental health services</w:t>
            </w:r>
            <w:r w:rsidRPr="001B1E83">
              <w:rPr>
                <w:rFonts w:asciiTheme="minorHAnsi" w:hAnsiTheme="minorHAnsi" w:cstheme="minorHAnsi"/>
                <w:szCs w:val="22"/>
                <w:vertAlign w:val="superscript"/>
              </w:rPr>
              <w:t>(</w:t>
            </w:r>
            <w:r w:rsidR="001B1E83">
              <w:rPr>
                <w:rFonts w:asciiTheme="minorHAnsi" w:hAnsiTheme="minorHAnsi" w:cstheme="minorHAnsi"/>
                <w:szCs w:val="22"/>
                <w:vertAlign w:val="superscript"/>
              </w:rPr>
              <w:t>f</w:t>
            </w:r>
            <w:r w:rsidRPr="001B1E83">
              <w:rPr>
                <w:rFonts w:asciiTheme="minorHAnsi" w:hAnsiTheme="minorHAnsi" w:cstheme="minorHAnsi"/>
                <w:szCs w:val="22"/>
                <w:vertAlign w:val="superscript"/>
              </w:rPr>
              <w:t>)</w:t>
            </w:r>
          </w:p>
        </w:tc>
        <w:tc>
          <w:tcPr>
            <w:tcW w:w="1047" w:type="dxa"/>
          </w:tcPr>
          <w:p w:rsidR="00614CCC" w:rsidRPr="001B1E83" w:rsidRDefault="00614CCC" w:rsidP="00D27F8A">
            <w:pPr>
              <w:pStyle w:val="TableFigText"/>
              <w:jc w:val="right"/>
            </w:pPr>
            <w:r w:rsidRPr="001B1E83">
              <w:t>30.29</w:t>
            </w:r>
          </w:p>
        </w:tc>
        <w:tc>
          <w:tcPr>
            <w:tcW w:w="1380" w:type="dxa"/>
          </w:tcPr>
          <w:p w:rsidR="00614CCC" w:rsidRPr="001B1E83" w:rsidRDefault="00614CCC" w:rsidP="00D27F8A">
            <w:pPr>
              <w:pStyle w:val="TableFigText"/>
              <w:jc w:val="right"/>
            </w:pPr>
            <w:r w:rsidRPr="001B1E83">
              <w:t>33.16</w:t>
            </w:r>
          </w:p>
        </w:tc>
        <w:tc>
          <w:tcPr>
            <w:tcW w:w="1251" w:type="dxa"/>
          </w:tcPr>
          <w:p w:rsidR="00614CCC" w:rsidRPr="001B1E83" w:rsidRDefault="00614CCC" w:rsidP="00D27F8A">
            <w:pPr>
              <w:pStyle w:val="TableFigText"/>
              <w:jc w:val="right"/>
            </w:pPr>
            <w:r w:rsidRPr="001B1E83">
              <w:t>3.32</w:t>
            </w:r>
          </w:p>
        </w:tc>
        <w:tc>
          <w:tcPr>
            <w:tcW w:w="1047" w:type="dxa"/>
          </w:tcPr>
          <w:p w:rsidR="00614CCC" w:rsidRPr="001B1E83" w:rsidRDefault="00614CCC" w:rsidP="00D27F8A">
            <w:pPr>
              <w:pStyle w:val="TableFigText"/>
              <w:jc w:val="right"/>
            </w:pPr>
            <w:r w:rsidRPr="001B1E83">
              <w:t>18.86</w:t>
            </w:r>
          </w:p>
        </w:tc>
        <w:tc>
          <w:tcPr>
            <w:tcW w:w="1094" w:type="dxa"/>
          </w:tcPr>
          <w:p w:rsidR="00614CCC" w:rsidRPr="001B1E83" w:rsidRDefault="00614CCC" w:rsidP="00D27F8A">
            <w:pPr>
              <w:pStyle w:val="TableFigText"/>
              <w:jc w:val="right"/>
              <w:rPr>
                <w:rFonts w:cstheme="minorHAnsi"/>
                <w:szCs w:val="22"/>
              </w:rPr>
            </w:pPr>
            <w:r w:rsidRPr="001B1E83">
              <w:rPr>
                <w:szCs w:val="22"/>
              </w:rPr>
              <w:t>n/a</w:t>
            </w:r>
          </w:p>
        </w:tc>
        <w:tc>
          <w:tcPr>
            <w:tcW w:w="1086" w:type="dxa"/>
          </w:tcPr>
          <w:p w:rsidR="00614CCC" w:rsidRPr="001B1E83" w:rsidRDefault="00614CCC" w:rsidP="00D27F8A">
            <w:pPr>
              <w:pStyle w:val="TableFigText"/>
              <w:jc w:val="right"/>
            </w:pPr>
            <w:r w:rsidRPr="001B1E83">
              <w:t>29.64</w:t>
            </w:r>
          </w:p>
        </w:tc>
      </w:tr>
      <w:tr w:rsidR="00614CCC" w:rsidRPr="001B1E83" w:rsidTr="00614CCC">
        <w:tc>
          <w:tcPr>
            <w:tcW w:w="2381" w:type="dxa"/>
          </w:tcPr>
          <w:p w:rsidR="00614CCC" w:rsidRPr="00D27F8A" w:rsidRDefault="00614CCC" w:rsidP="001B1E83">
            <w:pPr>
              <w:pStyle w:val="TableFigText"/>
              <w:rPr>
                <w:rFonts w:asciiTheme="minorHAnsi" w:hAnsiTheme="minorHAnsi" w:cstheme="minorHAnsi"/>
                <w:b/>
                <w:szCs w:val="22"/>
              </w:rPr>
            </w:pPr>
            <w:r w:rsidRPr="00D27F8A">
              <w:rPr>
                <w:rFonts w:asciiTheme="minorHAnsi" w:hAnsiTheme="minorHAnsi" w:cstheme="minorHAnsi"/>
                <w:b/>
                <w:szCs w:val="22"/>
              </w:rPr>
              <w:t>All mental health service types</w:t>
            </w:r>
            <w:r w:rsidRPr="00D27F8A">
              <w:rPr>
                <w:rFonts w:asciiTheme="minorHAnsi" w:hAnsiTheme="minorHAnsi" w:cstheme="minorHAnsi"/>
                <w:b/>
                <w:szCs w:val="22"/>
                <w:vertAlign w:val="superscript"/>
              </w:rPr>
              <w:t>(</w:t>
            </w:r>
            <w:r w:rsidR="001B1E83" w:rsidRPr="00D27F8A">
              <w:rPr>
                <w:rFonts w:asciiTheme="minorHAnsi" w:hAnsiTheme="minorHAnsi" w:cstheme="minorHAnsi"/>
                <w:b/>
                <w:szCs w:val="22"/>
                <w:vertAlign w:val="superscript"/>
              </w:rPr>
              <w:t>g</w:t>
            </w:r>
            <w:r w:rsidRPr="00D27F8A">
              <w:rPr>
                <w:rFonts w:asciiTheme="minorHAnsi" w:hAnsiTheme="minorHAnsi" w:cstheme="minorHAnsi"/>
                <w:b/>
                <w:szCs w:val="22"/>
                <w:vertAlign w:val="superscript"/>
              </w:rPr>
              <w:t>)</w:t>
            </w:r>
          </w:p>
        </w:tc>
        <w:tc>
          <w:tcPr>
            <w:tcW w:w="1047" w:type="dxa"/>
          </w:tcPr>
          <w:p w:rsidR="00614CCC" w:rsidRPr="00D27F8A" w:rsidRDefault="00614CCC" w:rsidP="00D27F8A">
            <w:pPr>
              <w:pStyle w:val="TableFigText"/>
              <w:jc w:val="right"/>
              <w:rPr>
                <w:b/>
              </w:rPr>
            </w:pPr>
            <w:r w:rsidRPr="00D27F8A">
              <w:rPr>
                <w:b/>
              </w:rPr>
              <w:t>161.18</w:t>
            </w:r>
          </w:p>
        </w:tc>
        <w:tc>
          <w:tcPr>
            <w:tcW w:w="1380" w:type="dxa"/>
          </w:tcPr>
          <w:p w:rsidR="00614CCC" w:rsidRPr="00D27F8A" w:rsidRDefault="00614CCC" w:rsidP="00D27F8A">
            <w:pPr>
              <w:pStyle w:val="TableFigText"/>
              <w:jc w:val="right"/>
              <w:rPr>
                <w:b/>
              </w:rPr>
            </w:pPr>
            <w:r w:rsidRPr="00D27F8A">
              <w:rPr>
                <w:b/>
              </w:rPr>
              <w:t>163.19</w:t>
            </w:r>
          </w:p>
        </w:tc>
        <w:tc>
          <w:tcPr>
            <w:tcW w:w="1251" w:type="dxa"/>
          </w:tcPr>
          <w:p w:rsidR="00614CCC" w:rsidRPr="00D27F8A" w:rsidRDefault="00614CCC" w:rsidP="00D27F8A">
            <w:pPr>
              <w:pStyle w:val="TableFigText"/>
              <w:jc w:val="right"/>
              <w:rPr>
                <w:b/>
              </w:rPr>
            </w:pPr>
            <w:r w:rsidRPr="00D27F8A">
              <w:rPr>
                <w:b/>
              </w:rPr>
              <w:t>77.99</w:t>
            </w:r>
          </w:p>
        </w:tc>
        <w:tc>
          <w:tcPr>
            <w:tcW w:w="1047" w:type="dxa"/>
          </w:tcPr>
          <w:p w:rsidR="00614CCC" w:rsidRPr="00D27F8A" w:rsidRDefault="00614CCC" w:rsidP="00D27F8A">
            <w:pPr>
              <w:pStyle w:val="TableFigText"/>
              <w:jc w:val="right"/>
              <w:rPr>
                <w:b/>
              </w:rPr>
            </w:pPr>
            <w:r w:rsidRPr="00D27F8A">
              <w:rPr>
                <w:b/>
              </w:rPr>
              <w:t>67.68</w:t>
            </w:r>
          </w:p>
        </w:tc>
        <w:tc>
          <w:tcPr>
            <w:tcW w:w="1094" w:type="dxa"/>
          </w:tcPr>
          <w:p w:rsidR="00614CCC" w:rsidRPr="00D27F8A" w:rsidRDefault="00614CCC" w:rsidP="00D27F8A">
            <w:pPr>
              <w:pStyle w:val="TableFigText"/>
              <w:jc w:val="right"/>
              <w:rPr>
                <w:rFonts w:cstheme="minorHAnsi"/>
                <w:b/>
                <w:szCs w:val="22"/>
              </w:rPr>
            </w:pPr>
            <w:r w:rsidRPr="00D27F8A">
              <w:rPr>
                <w:b/>
                <w:szCs w:val="22"/>
              </w:rPr>
              <w:t>n/a</w:t>
            </w:r>
          </w:p>
        </w:tc>
        <w:tc>
          <w:tcPr>
            <w:tcW w:w="1086" w:type="dxa"/>
          </w:tcPr>
          <w:p w:rsidR="00614CCC" w:rsidRPr="00D27F8A" w:rsidRDefault="00614CCC" w:rsidP="00D27F8A">
            <w:pPr>
              <w:pStyle w:val="TableFigText"/>
              <w:jc w:val="right"/>
              <w:rPr>
                <w:b/>
              </w:rPr>
            </w:pPr>
            <w:r w:rsidRPr="00D27F8A">
              <w:rPr>
                <w:b/>
              </w:rPr>
              <w:t>157.80</w:t>
            </w:r>
          </w:p>
        </w:tc>
      </w:tr>
    </w:tbl>
    <w:p w:rsidR="00614CCC" w:rsidRPr="00541ED8" w:rsidRDefault="00614CCC" w:rsidP="00540186">
      <w:pPr>
        <w:pStyle w:val="TableFigNotesnumbered"/>
        <w:numPr>
          <w:ilvl w:val="0"/>
          <w:numId w:val="37"/>
        </w:numPr>
        <w:rPr>
          <w:rStyle w:val="table-note"/>
        </w:rPr>
      </w:pPr>
      <w:r w:rsidRPr="00541ED8">
        <w:rPr>
          <w:rStyle w:val="table-note"/>
        </w:rPr>
        <w:t>Expenditure excludes depreciation.</w:t>
      </w:r>
    </w:p>
    <w:p w:rsidR="00614CCC" w:rsidRPr="00541ED8" w:rsidRDefault="00614CCC" w:rsidP="00540186">
      <w:pPr>
        <w:pStyle w:val="TableFigNotesnumbered"/>
        <w:numPr>
          <w:ilvl w:val="0"/>
          <w:numId w:val="37"/>
        </w:numPr>
        <w:rPr>
          <w:rStyle w:val="table-note"/>
        </w:rPr>
      </w:pPr>
      <w:r w:rsidRPr="00541ED8">
        <w:rPr>
          <w:rStyle w:val="table-note"/>
        </w:rPr>
        <w:t xml:space="preserve">Expenditure excludes grants to non-government organisations and indirect expenditure at the state/territory, region and organisation levels not apportioned to service units. </w:t>
      </w:r>
    </w:p>
    <w:p w:rsidR="00614CCC" w:rsidRPr="00541ED8" w:rsidRDefault="00614CCC" w:rsidP="00540186">
      <w:pPr>
        <w:pStyle w:val="TableFigNotesnumbered"/>
        <w:numPr>
          <w:ilvl w:val="0"/>
          <w:numId w:val="37"/>
        </w:numPr>
        <w:rPr>
          <w:rStyle w:val="table-note"/>
        </w:rPr>
      </w:pPr>
      <w:r w:rsidRPr="00541ED8">
        <w:rPr>
          <w:rStyle w:val="table-note"/>
        </w:rPr>
        <w:t>Crude rate is based on the state and territory estimated resident population by remoteness area as at 30 June 2011.</w:t>
      </w:r>
    </w:p>
    <w:p w:rsidR="00614CCC" w:rsidRPr="00541ED8" w:rsidRDefault="00614CCC" w:rsidP="00540186">
      <w:pPr>
        <w:pStyle w:val="TableFigNotesnumbered"/>
        <w:numPr>
          <w:ilvl w:val="0"/>
          <w:numId w:val="37"/>
        </w:numPr>
        <w:rPr>
          <w:rStyle w:val="table-note"/>
        </w:rPr>
      </w:pPr>
      <w:r w:rsidRPr="00541ED8">
        <w:rPr>
          <w:rStyle w:val="table-note"/>
        </w:rPr>
        <w:t>Includes public hospital services managed and operated by private and non-government entities.</w:t>
      </w:r>
    </w:p>
    <w:p w:rsidR="00614CCC" w:rsidRPr="00541ED8" w:rsidRDefault="00614CCC" w:rsidP="00540186">
      <w:pPr>
        <w:pStyle w:val="TableFigNotesnumbered"/>
        <w:numPr>
          <w:ilvl w:val="0"/>
          <w:numId w:val="37"/>
        </w:numPr>
        <w:rPr>
          <w:rStyle w:val="table-note"/>
        </w:rPr>
      </w:pPr>
      <w:r w:rsidRPr="00541ED8">
        <w:rPr>
          <w:rStyle w:val="table-note"/>
        </w:rPr>
        <w:t>Public psychiatric hospitals and specialised psychiatric units or wards in public acute hospitals include expenditure on admitted patient services only. Public hospitals outpatient departments are included in communit</w:t>
      </w:r>
      <w:r w:rsidR="001F0D51" w:rsidRPr="00541ED8">
        <w:rPr>
          <w:rStyle w:val="table-note"/>
        </w:rPr>
        <w:t>y mental health care services.</w:t>
      </w:r>
    </w:p>
    <w:p w:rsidR="00614CCC" w:rsidRPr="00541ED8" w:rsidRDefault="00614CCC" w:rsidP="00540186">
      <w:pPr>
        <w:pStyle w:val="TableFigNotesnumbered"/>
        <w:numPr>
          <w:ilvl w:val="0"/>
          <w:numId w:val="37"/>
        </w:numPr>
        <w:rPr>
          <w:rStyle w:val="table-note"/>
        </w:rPr>
      </w:pPr>
      <w:r w:rsidRPr="00541ED8">
        <w:rPr>
          <w:rStyle w:val="table-note"/>
        </w:rPr>
        <w:t>Residential mental health services include the total operating costs for partially or wholly government funded non-government-operated resid</w:t>
      </w:r>
      <w:r w:rsidR="001F0D51" w:rsidRPr="00541ED8">
        <w:rPr>
          <w:rStyle w:val="table-note"/>
        </w:rPr>
        <w:t>ential mental health services.</w:t>
      </w:r>
    </w:p>
    <w:p w:rsidR="001B1E83" w:rsidRPr="00541ED8" w:rsidRDefault="001B1E83" w:rsidP="00540186">
      <w:pPr>
        <w:pStyle w:val="TableFigNotesnumbered"/>
        <w:numPr>
          <w:ilvl w:val="0"/>
          <w:numId w:val="37"/>
        </w:numPr>
        <w:rPr>
          <w:rStyle w:val="table-note"/>
        </w:rPr>
      </w:pPr>
      <w:r w:rsidRPr="00541ED8">
        <w:rPr>
          <w:rStyle w:val="table-note"/>
        </w:rPr>
        <w:t>Totals may not add due to rounding.</w:t>
      </w:r>
    </w:p>
    <w:p w:rsidR="00614CCC" w:rsidRPr="001B1E83" w:rsidRDefault="00614CCC" w:rsidP="006B2ED0">
      <w:pPr>
        <w:pStyle w:val="TableFigNotesnumbered"/>
        <w:ind w:left="294" w:hanging="294"/>
        <w:rPr>
          <w:rFonts w:asciiTheme="minorHAnsi" w:hAnsiTheme="minorHAnsi" w:cstheme="minorHAnsi"/>
        </w:rPr>
      </w:pPr>
    </w:p>
    <w:p w:rsidR="00614CCC" w:rsidRPr="001B1E83" w:rsidRDefault="00614CCC">
      <w:pPr>
        <w:spacing w:before="0" w:after="0" w:line="240" w:lineRule="auto"/>
        <w:rPr>
          <w:rFonts w:asciiTheme="minorHAnsi" w:hAnsiTheme="minorHAnsi" w:cstheme="minorHAnsi"/>
          <w:b/>
          <w:sz w:val="20"/>
        </w:rPr>
      </w:pPr>
      <w:r w:rsidRPr="001B1E83">
        <w:rPr>
          <w:rFonts w:asciiTheme="minorHAnsi" w:hAnsiTheme="minorHAnsi" w:cstheme="minorHAnsi"/>
          <w:b/>
          <w:sz w:val="20"/>
        </w:rPr>
        <w:br w:type="page"/>
      </w:r>
    </w:p>
    <w:p w:rsidR="002265C7" w:rsidRPr="0096114C" w:rsidRDefault="0096114C" w:rsidP="002265C7">
      <w:pPr>
        <w:pStyle w:val="TableCaption"/>
        <w:rPr>
          <w:rStyle w:val="table-note"/>
        </w:rPr>
      </w:pPr>
      <w:r w:rsidRPr="0096114C">
        <w:rPr>
          <w:rStyle w:val="table-note"/>
        </w:rPr>
        <w:lastRenderedPageBreak/>
        <w:t xml:space="preserve">Table 16: </w:t>
      </w:r>
      <w:r w:rsidR="002265C7" w:rsidRPr="0096114C">
        <w:rPr>
          <w:rStyle w:val="table-note"/>
        </w:rPr>
        <w:t xml:space="preserve">VIC: Number of specialised mental health beds, by service type, 2007–08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VIC: Number of specialised mental health beds, by service type, 2007–08 "/>
        <w:tblDescription w:val="Table showing that, in 2007-08, major cities in VIC had the highest number of all types of specialised mental health beds at 2,144. The number of beds decreases as the region type becomes more remote, with only 1 bed in remote areas over all specialised mental health care types. "/>
      </w:tblPr>
      <w:tblGrid>
        <w:gridCol w:w="2420"/>
        <w:gridCol w:w="1069"/>
        <w:gridCol w:w="1394"/>
        <w:gridCol w:w="1254"/>
        <w:gridCol w:w="1037"/>
        <w:gridCol w:w="1099"/>
        <w:gridCol w:w="1013"/>
      </w:tblGrid>
      <w:tr w:rsidR="002265C7" w:rsidRPr="00B476FB" w:rsidTr="000C3DEA">
        <w:trPr>
          <w:tblHeader/>
        </w:trPr>
        <w:tc>
          <w:tcPr>
            <w:tcW w:w="2420" w:type="dxa"/>
          </w:tcPr>
          <w:p w:rsidR="002265C7" w:rsidRPr="00B476FB" w:rsidRDefault="002265C7" w:rsidP="002265C7">
            <w:pPr>
              <w:pStyle w:val="TableFigText"/>
              <w:keepLines w:val="0"/>
              <w:rPr>
                <w:rFonts w:asciiTheme="minorHAnsi" w:hAnsiTheme="minorHAnsi" w:cstheme="minorHAnsi"/>
                <w:szCs w:val="22"/>
              </w:rPr>
            </w:pPr>
          </w:p>
        </w:tc>
        <w:tc>
          <w:tcPr>
            <w:tcW w:w="1069" w:type="dxa"/>
          </w:tcPr>
          <w:p w:rsidR="002265C7" w:rsidRPr="00B476FB" w:rsidRDefault="002265C7" w:rsidP="002265C7">
            <w:pPr>
              <w:pStyle w:val="TableFigText"/>
              <w:jc w:val="right"/>
              <w:rPr>
                <w:rFonts w:asciiTheme="minorHAnsi" w:hAnsiTheme="minorHAnsi" w:cstheme="minorHAnsi"/>
                <w:b/>
                <w:szCs w:val="22"/>
              </w:rPr>
            </w:pPr>
            <w:r w:rsidRPr="00B476FB">
              <w:rPr>
                <w:rFonts w:asciiTheme="minorHAnsi" w:hAnsiTheme="minorHAnsi" w:cstheme="minorHAnsi"/>
                <w:b/>
                <w:szCs w:val="22"/>
              </w:rPr>
              <w:t>Major cities</w:t>
            </w:r>
          </w:p>
        </w:tc>
        <w:tc>
          <w:tcPr>
            <w:tcW w:w="1394" w:type="dxa"/>
          </w:tcPr>
          <w:p w:rsidR="002265C7" w:rsidRPr="00B476FB" w:rsidRDefault="002265C7" w:rsidP="002265C7">
            <w:pPr>
              <w:pStyle w:val="TableFigText"/>
              <w:jc w:val="right"/>
              <w:rPr>
                <w:rFonts w:asciiTheme="minorHAnsi" w:hAnsiTheme="minorHAnsi" w:cstheme="minorHAnsi"/>
                <w:b/>
                <w:szCs w:val="22"/>
              </w:rPr>
            </w:pPr>
            <w:r w:rsidRPr="00B476FB">
              <w:rPr>
                <w:rFonts w:asciiTheme="minorHAnsi" w:hAnsiTheme="minorHAnsi" w:cstheme="minorHAnsi"/>
                <w:b/>
                <w:szCs w:val="22"/>
              </w:rPr>
              <w:t>Inner regional</w:t>
            </w:r>
          </w:p>
        </w:tc>
        <w:tc>
          <w:tcPr>
            <w:tcW w:w="1254" w:type="dxa"/>
          </w:tcPr>
          <w:p w:rsidR="002265C7" w:rsidRPr="00B476FB" w:rsidRDefault="002265C7" w:rsidP="002265C7">
            <w:pPr>
              <w:pStyle w:val="TableFigText"/>
              <w:jc w:val="right"/>
              <w:rPr>
                <w:rFonts w:asciiTheme="minorHAnsi" w:hAnsiTheme="minorHAnsi" w:cstheme="minorHAnsi"/>
                <w:b/>
                <w:szCs w:val="22"/>
              </w:rPr>
            </w:pPr>
            <w:r w:rsidRPr="00B476FB">
              <w:rPr>
                <w:rFonts w:asciiTheme="minorHAnsi" w:hAnsiTheme="minorHAnsi" w:cstheme="minorHAnsi"/>
                <w:b/>
                <w:szCs w:val="22"/>
              </w:rPr>
              <w:t>Outer regional</w:t>
            </w:r>
          </w:p>
        </w:tc>
        <w:tc>
          <w:tcPr>
            <w:tcW w:w="1037" w:type="dxa"/>
          </w:tcPr>
          <w:p w:rsidR="002265C7" w:rsidRPr="00B476FB" w:rsidRDefault="002265C7" w:rsidP="002265C7">
            <w:pPr>
              <w:pStyle w:val="TableFigText"/>
              <w:jc w:val="right"/>
              <w:rPr>
                <w:rFonts w:asciiTheme="minorHAnsi" w:hAnsiTheme="minorHAnsi" w:cstheme="minorHAnsi"/>
                <w:b/>
                <w:szCs w:val="22"/>
              </w:rPr>
            </w:pPr>
            <w:r w:rsidRPr="00B476FB">
              <w:rPr>
                <w:rFonts w:asciiTheme="minorHAnsi" w:hAnsiTheme="minorHAnsi" w:cstheme="minorHAnsi"/>
                <w:b/>
                <w:szCs w:val="22"/>
              </w:rPr>
              <w:t>Remote</w:t>
            </w:r>
          </w:p>
        </w:tc>
        <w:tc>
          <w:tcPr>
            <w:tcW w:w="1099" w:type="dxa"/>
          </w:tcPr>
          <w:p w:rsidR="002265C7" w:rsidRPr="00B476FB" w:rsidRDefault="002265C7" w:rsidP="002265C7">
            <w:pPr>
              <w:pStyle w:val="TableFigText"/>
              <w:jc w:val="right"/>
              <w:rPr>
                <w:rFonts w:asciiTheme="minorHAnsi" w:hAnsiTheme="minorHAnsi" w:cstheme="minorHAnsi"/>
                <w:b/>
                <w:szCs w:val="22"/>
              </w:rPr>
            </w:pPr>
            <w:r w:rsidRPr="00B476FB">
              <w:rPr>
                <w:rFonts w:asciiTheme="minorHAnsi" w:hAnsiTheme="minorHAnsi" w:cstheme="minorHAnsi"/>
                <w:b/>
                <w:szCs w:val="22"/>
              </w:rPr>
              <w:t>Very remote</w:t>
            </w:r>
          </w:p>
        </w:tc>
        <w:tc>
          <w:tcPr>
            <w:tcW w:w="1013" w:type="dxa"/>
          </w:tcPr>
          <w:p w:rsidR="002265C7" w:rsidRPr="00B476FB" w:rsidRDefault="002265C7" w:rsidP="002265C7">
            <w:pPr>
              <w:pStyle w:val="TableFigText"/>
              <w:jc w:val="right"/>
              <w:rPr>
                <w:rFonts w:asciiTheme="minorHAnsi" w:hAnsiTheme="minorHAnsi" w:cstheme="minorHAnsi"/>
                <w:b/>
                <w:szCs w:val="22"/>
              </w:rPr>
            </w:pPr>
            <w:r w:rsidRPr="00B476FB">
              <w:rPr>
                <w:rFonts w:asciiTheme="minorHAnsi" w:hAnsiTheme="minorHAnsi" w:cstheme="minorHAnsi"/>
                <w:b/>
                <w:szCs w:val="22"/>
              </w:rPr>
              <w:t>Total</w:t>
            </w:r>
          </w:p>
        </w:tc>
      </w:tr>
      <w:tr w:rsidR="002265C7" w:rsidRPr="00B476FB" w:rsidTr="002265C7">
        <w:tc>
          <w:tcPr>
            <w:tcW w:w="2420" w:type="dxa"/>
          </w:tcPr>
          <w:p w:rsidR="002265C7" w:rsidRPr="00B476FB" w:rsidRDefault="002265C7" w:rsidP="002265C7">
            <w:pPr>
              <w:pStyle w:val="TableFigText"/>
              <w:keepLines w:val="0"/>
              <w:rPr>
                <w:rFonts w:asciiTheme="minorHAnsi" w:hAnsiTheme="minorHAnsi" w:cstheme="minorHAnsi"/>
                <w:szCs w:val="22"/>
              </w:rPr>
            </w:pPr>
            <w:r w:rsidRPr="00B476FB">
              <w:rPr>
                <w:rFonts w:asciiTheme="minorHAnsi" w:hAnsiTheme="minorHAnsi" w:cstheme="minorHAnsi"/>
                <w:szCs w:val="22"/>
              </w:rPr>
              <w:t>Specialised psychiatric units or wards in public acute hospitals</w:t>
            </w:r>
          </w:p>
        </w:tc>
        <w:tc>
          <w:tcPr>
            <w:tcW w:w="1069" w:type="dxa"/>
            <w:vAlign w:val="center"/>
          </w:tcPr>
          <w:p w:rsidR="002265C7" w:rsidRPr="0029323B" w:rsidRDefault="002265C7" w:rsidP="00D27F8A">
            <w:pPr>
              <w:pStyle w:val="TableFigText"/>
              <w:jc w:val="right"/>
            </w:pPr>
            <w:r w:rsidRPr="0029323B">
              <w:t>863</w:t>
            </w:r>
          </w:p>
        </w:tc>
        <w:tc>
          <w:tcPr>
            <w:tcW w:w="1394" w:type="dxa"/>
            <w:vAlign w:val="center"/>
          </w:tcPr>
          <w:p w:rsidR="002265C7" w:rsidRPr="0029323B" w:rsidRDefault="002265C7" w:rsidP="00D27F8A">
            <w:pPr>
              <w:pStyle w:val="TableFigText"/>
              <w:jc w:val="right"/>
            </w:pPr>
            <w:r w:rsidRPr="0029323B">
              <w:t>187</w:t>
            </w:r>
          </w:p>
        </w:tc>
        <w:tc>
          <w:tcPr>
            <w:tcW w:w="1254" w:type="dxa"/>
            <w:vAlign w:val="center"/>
          </w:tcPr>
          <w:p w:rsidR="002265C7" w:rsidRPr="0029323B" w:rsidRDefault="002265C7" w:rsidP="00D27F8A">
            <w:pPr>
              <w:pStyle w:val="TableFigText"/>
              <w:jc w:val="right"/>
            </w:pPr>
            <w:r w:rsidRPr="0029323B">
              <w:t>12</w:t>
            </w:r>
          </w:p>
        </w:tc>
        <w:tc>
          <w:tcPr>
            <w:tcW w:w="1037" w:type="dxa"/>
            <w:vAlign w:val="center"/>
          </w:tcPr>
          <w:p w:rsidR="002265C7" w:rsidRPr="0029323B" w:rsidRDefault="002265C7" w:rsidP="00D27F8A">
            <w:pPr>
              <w:pStyle w:val="TableFigText"/>
              <w:jc w:val="right"/>
            </w:pPr>
            <w:r w:rsidRPr="0029323B">
              <w:t>0</w:t>
            </w:r>
          </w:p>
        </w:tc>
        <w:tc>
          <w:tcPr>
            <w:tcW w:w="1099" w:type="dxa"/>
            <w:vAlign w:val="center"/>
          </w:tcPr>
          <w:p w:rsidR="002265C7" w:rsidRPr="0029323B" w:rsidRDefault="002265C7" w:rsidP="00D27F8A">
            <w:pPr>
              <w:pStyle w:val="TableFigText"/>
              <w:jc w:val="right"/>
            </w:pPr>
            <w:r w:rsidRPr="0029323B">
              <w:t>n/a</w:t>
            </w:r>
          </w:p>
        </w:tc>
        <w:tc>
          <w:tcPr>
            <w:tcW w:w="1013" w:type="dxa"/>
            <w:vAlign w:val="center"/>
          </w:tcPr>
          <w:p w:rsidR="002265C7" w:rsidRPr="0029323B" w:rsidRDefault="002265C7" w:rsidP="00D27F8A">
            <w:pPr>
              <w:pStyle w:val="TableFigText"/>
              <w:jc w:val="right"/>
            </w:pPr>
            <w:r w:rsidRPr="0029323B">
              <w:t>1,062</w:t>
            </w:r>
          </w:p>
        </w:tc>
      </w:tr>
      <w:tr w:rsidR="002265C7" w:rsidRPr="00B476FB" w:rsidTr="002265C7">
        <w:tc>
          <w:tcPr>
            <w:tcW w:w="2420" w:type="dxa"/>
          </w:tcPr>
          <w:p w:rsidR="002265C7" w:rsidRPr="00B476FB" w:rsidRDefault="002265C7" w:rsidP="002265C7">
            <w:pPr>
              <w:pStyle w:val="TableFigText"/>
              <w:keepLines w:val="0"/>
              <w:rPr>
                <w:rFonts w:asciiTheme="minorHAnsi" w:hAnsiTheme="minorHAnsi" w:cstheme="minorHAnsi"/>
                <w:szCs w:val="22"/>
              </w:rPr>
            </w:pPr>
            <w:r w:rsidRPr="00B476FB">
              <w:rPr>
                <w:rFonts w:asciiTheme="minorHAnsi" w:hAnsiTheme="minorHAnsi" w:cstheme="minorHAnsi"/>
                <w:szCs w:val="22"/>
              </w:rPr>
              <w:t>Public psychiatric hospital services</w:t>
            </w:r>
          </w:p>
        </w:tc>
        <w:tc>
          <w:tcPr>
            <w:tcW w:w="1069" w:type="dxa"/>
            <w:vAlign w:val="center"/>
          </w:tcPr>
          <w:p w:rsidR="002265C7" w:rsidRPr="0029323B" w:rsidRDefault="002265C7" w:rsidP="00D27F8A">
            <w:pPr>
              <w:pStyle w:val="TableFigText"/>
              <w:jc w:val="right"/>
            </w:pPr>
            <w:r w:rsidRPr="0029323B">
              <w:t>154</w:t>
            </w:r>
          </w:p>
        </w:tc>
        <w:tc>
          <w:tcPr>
            <w:tcW w:w="1394" w:type="dxa"/>
            <w:vAlign w:val="center"/>
          </w:tcPr>
          <w:p w:rsidR="002265C7" w:rsidRPr="0029323B" w:rsidRDefault="002265C7" w:rsidP="00D27F8A">
            <w:pPr>
              <w:pStyle w:val="TableFigText"/>
              <w:jc w:val="right"/>
            </w:pPr>
            <w:r w:rsidRPr="0029323B">
              <w:t>0</w:t>
            </w:r>
          </w:p>
        </w:tc>
        <w:tc>
          <w:tcPr>
            <w:tcW w:w="1254" w:type="dxa"/>
            <w:vAlign w:val="center"/>
          </w:tcPr>
          <w:p w:rsidR="002265C7" w:rsidRPr="0029323B" w:rsidRDefault="002265C7" w:rsidP="00D27F8A">
            <w:pPr>
              <w:pStyle w:val="TableFigText"/>
              <w:jc w:val="right"/>
            </w:pPr>
            <w:r w:rsidRPr="0029323B">
              <w:t>0</w:t>
            </w:r>
          </w:p>
        </w:tc>
        <w:tc>
          <w:tcPr>
            <w:tcW w:w="1037" w:type="dxa"/>
            <w:vAlign w:val="center"/>
          </w:tcPr>
          <w:p w:rsidR="002265C7" w:rsidRPr="0029323B" w:rsidRDefault="002265C7" w:rsidP="00D27F8A">
            <w:pPr>
              <w:pStyle w:val="TableFigText"/>
              <w:jc w:val="right"/>
            </w:pPr>
            <w:r w:rsidRPr="0029323B">
              <w:t>0</w:t>
            </w:r>
          </w:p>
        </w:tc>
        <w:tc>
          <w:tcPr>
            <w:tcW w:w="1099" w:type="dxa"/>
            <w:vAlign w:val="center"/>
          </w:tcPr>
          <w:p w:rsidR="002265C7" w:rsidRPr="0029323B" w:rsidRDefault="002265C7" w:rsidP="00D27F8A">
            <w:pPr>
              <w:pStyle w:val="TableFigText"/>
              <w:jc w:val="right"/>
            </w:pPr>
            <w:r w:rsidRPr="0029323B">
              <w:t>n/a</w:t>
            </w:r>
          </w:p>
        </w:tc>
        <w:tc>
          <w:tcPr>
            <w:tcW w:w="1013" w:type="dxa"/>
            <w:vAlign w:val="center"/>
          </w:tcPr>
          <w:p w:rsidR="002265C7" w:rsidRPr="0029323B" w:rsidRDefault="002265C7" w:rsidP="00D27F8A">
            <w:pPr>
              <w:pStyle w:val="TableFigText"/>
              <w:jc w:val="right"/>
            </w:pPr>
            <w:r w:rsidRPr="0029323B">
              <w:t>154</w:t>
            </w:r>
          </w:p>
        </w:tc>
      </w:tr>
      <w:tr w:rsidR="002265C7" w:rsidRPr="00B476FB" w:rsidTr="002265C7">
        <w:tc>
          <w:tcPr>
            <w:tcW w:w="2420" w:type="dxa"/>
          </w:tcPr>
          <w:p w:rsidR="002265C7" w:rsidRPr="00B476FB" w:rsidRDefault="002265C7" w:rsidP="002265C7">
            <w:pPr>
              <w:pStyle w:val="TableFigText"/>
              <w:keepLines w:val="0"/>
              <w:rPr>
                <w:rFonts w:asciiTheme="minorHAnsi" w:hAnsiTheme="minorHAnsi" w:cstheme="minorHAnsi"/>
                <w:szCs w:val="22"/>
              </w:rPr>
            </w:pPr>
            <w:r w:rsidRPr="00B476FB">
              <w:rPr>
                <w:rFonts w:asciiTheme="minorHAnsi" w:hAnsiTheme="minorHAnsi" w:cstheme="minorHAnsi"/>
                <w:szCs w:val="22"/>
              </w:rPr>
              <w:t>Residential mental health care services</w:t>
            </w:r>
          </w:p>
        </w:tc>
        <w:tc>
          <w:tcPr>
            <w:tcW w:w="1069" w:type="dxa"/>
            <w:vAlign w:val="center"/>
          </w:tcPr>
          <w:p w:rsidR="002265C7" w:rsidRPr="0029323B" w:rsidRDefault="002265C7" w:rsidP="00D27F8A">
            <w:pPr>
              <w:pStyle w:val="TableFigText"/>
              <w:jc w:val="right"/>
            </w:pPr>
            <w:r w:rsidRPr="0029323B">
              <w:t>1,127</w:t>
            </w:r>
          </w:p>
        </w:tc>
        <w:tc>
          <w:tcPr>
            <w:tcW w:w="1394" w:type="dxa"/>
            <w:vAlign w:val="center"/>
          </w:tcPr>
          <w:p w:rsidR="002265C7" w:rsidRPr="0029323B" w:rsidRDefault="002265C7" w:rsidP="00D27F8A">
            <w:pPr>
              <w:pStyle w:val="TableFigText"/>
              <w:jc w:val="right"/>
            </w:pPr>
            <w:r w:rsidRPr="0029323B">
              <w:t>270</w:t>
            </w:r>
          </w:p>
        </w:tc>
        <w:tc>
          <w:tcPr>
            <w:tcW w:w="1254" w:type="dxa"/>
            <w:vAlign w:val="center"/>
          </w:tcPr>
          <w:p w:rsidR="002265C7" w:rsidRPr="0029323B" w:rsidRDefault="002265C7" w:rsidP="00D27F8A">
            <w:pPr>
              <w:pStyle w:val="TableFigText"/>
              <w:jc w:val="right"/>
            </w:pPr>
            <w:r w:rsidRPr="0029323B">
              <w:t>7</w:t>
            </w:r>
          </w:p>
        </w:tc>
        <w:tc>
          <w:tcPr>
            <w:tcW w:w="1037" w:type="dxa"/>
            <w:vAlign w:val="center"/>
          </w:tcPr>
          <w:p w:rsidR="002265C7" w:rsidRPr="0029323B" w:rsidRDefault="002265C7" w:rsidP="00D27F8A">
            <w:pPr>
              <w:pStyle w:val="TableFigText"/>
              <w:jc w:val="right"/>
            </w:pPr>
            <w:r w:rsidRPr="0029323B">
              <w:t>1</w:t>
            </w:r>
          </w:p>
        </w:tc>
        <w:tc>
          <w:tcPr>
            <w:tcW w:w="1099" w:type="dxa"/>
            <w:vAlign w:val="center"/>
          </w:tcPr>
          <w:p w:rsidR="002265C7" w:rsidRPr="0029323B" w:rsidRDefault="002265C7" w:rsidP="00D27F8A">
            <w:pPr>
              <w:pStyle w:val="TableFigText"/>
              <w:jc w:val="right"/>
            </w:pPr>
            <w:r w:rsidRPr="0029323B">
              <w:t>n/a</w:t>
            </w:r>
          </w:p>
        </w:tc>
        <w:tc>
          <w:tcPr>
            <w:tcW w:w="1013" w:type="dxa"/>
            <w:vAlign w:val="center"/>
          </w:tcPr>
          <w:p w:rsidR="002265C7" w:rsidRPr="0029323B" w:rsidRDefault="002265C7" w:rsidP="00D27F8A">
            <w:pPr>
              <w:pStyle w:val="TableFigText"/>
              <w:jc w:val="right"/>
            </w:pPr>
            <w:r w:rsidRPr="0029323B">
              <w:t>1,404</w:t>
            </w:r>
          </w:p>
        </w:tc>
      </w:tr>
      <w:tr w:rsidR="002265C7" w:rsidRPr="00B476FB" w:rsidTr="002265C7">
        <w:tc>
          <w:tcPr>
            <w:tcW w:w="2420" w:type="dxa"/>
          </w:tcPr>
          <w:p w:rsidR="002265C7" w:rsidRPr="00D27F8A" w:rsidRDefault="002265C7" w:rsidP="002265C7">
            <w:pPr>
              <w:pStyle w:val="TableFigText"/>
              <w:keepLines w:val="0"/>
              <w:rPr>
                <w:rFonts w:asciiTheme="minorHAnsi" w:hAnsiTheme="minorHAnsi" w:cstheme="minorHAnsi"/>
                <w:b/>
                <w:szCs w:val="22"/>
              </w:rPr>
            </w:pPr>
            <w:r w:rsidRPr="00D27F8A">
              <w:rPr>
                <w:rFonts w:asciiTheme="minorHAnsi" w:hAnsiTheme="minorHAnsi" w:cstheme="minorHAnsi"/>
                <w:b/>
                <w:szCs w:val="22"/>
              </w:rPr>
              <w:t>Total</w:t>
            </w:r>
          </w:p>
        </w:tc>
        <w:tc>
          <w:tcPr>
            <w:tcW w:w="1069" w:type="dxa"/>
            <w:vAlign w:val="center"/>
          </w:tcPr>
          <w:p w:rsidR="002265C7" w:rsidRPr="00D27F8A" w:rsidRDefault="002265C7" w:rsidP="00D27F8A">
            <w:pPr>
              <w:pStyle w:val="TableFigText"/>
              <w:jc w:val="right"/>
              <w:rPr>
                <w:b/>
              </w:rPr>
            </w:pPr>
            <w:r w:rsidRPr="00D27F8A">
              <w:rPr>
                <w:b/>
              </w:rPr>
              <w:t>2,144</w:t>
            </w:r>
          </w:p>
        </w:tc>
        <w:tc>
          <w:tcPr>
            <w:tcW w:w="1394" w:type="dxa"/>
            <w:vAlign w:val="center"/>
          </w:tcPr>
          <w:p w:rsidR="002265C7" w:rsidRPr="00D27F8A" w:rsidRDefault="002265C7" w:rsidP="00D27F8A">
            <w:pPr>
              <w:pStyle w:val="TableFigText"/>
              <w:jc w:val="right"/>
              <w:rPr>
                <w:b/>
              </w:rPr>
            </w:pPr>
            <w:r w:rsidRPr="00D27F8A">
              <w:rPr>
                <w:b/>
              </w:rPr>
              <w:t>457</w:t>
            </w:r>
          </w:p>
        </w:tc>
        <w:tc>
          <w:tcPr>
            <w:tcW w:w="1254" w:type="dxa"/>
            <w:vAlign w:val="center"/>
          </w:tcPr>
          <w:p w:rsidR="002265C7" w:rsidRPr="00D27F8A" w:rsidRDefault="002265C7" w:rsidP="00D27F8A">
            <w:pPr>
              <w:pStyle w:val="TableFigText"/>
              <w:jc w:val="right"/>
              <w:rPr>
                <w:b/>
              </w:rPr>
            </w:pPr>
            <w:r w:rsidRPr="00D27F8A">
              <w:rPr>
                <w:b/>
              </w:rPr>
              <w:t>19</w:t>
            </w:r>
          </w:p>
        </w:tc>
        <w:tc>
          <w:tcPr>
            <w:tcW w:w="1037" w:type="dxa"/>
            <w:vAlign w:val="center"/>
          </w:tcPr>
          <w:p w:rsidR="002265C7" w:rsidRPr="00D27F8A" w:rsidRDefault="002265C7" w:rsidP="00D27F8A">
            <w:pPr>
              <w:pStyle w:val="TableFigText"/>
              <w:jc w:val="right"/>
              <w:rPr>
                <w:b/>
              </w:rPr>
            </w:pPr>
            <w:r w:rsidRPr="00D27F8A">
              <w:rPr>
                <w:b/>
              </w:rPr>
              <w:t>1</w:t>
            </w:r>
          </w:p>
        </w:tc>
        <w:tc>
          <w:tcPr>
            <w:tcW w:w="1099" w:type="dxa"/>
            <w:vAlign w:val="center"/>
          </w:tcPr>
          <w:p w:rsidR="002265C7" w:rsidRPr="00D27F8A" w:rsidRDefault="002265C7" w:rsidP="00D27F8A">
            <w:pPr>
              <w:pStyle w:val="TableFigText"/>
              <w:jc w:val="right"/>
              <w:rPr>
                <w:b/>
              </w:rPr>
            </w:pPr>
            <w:r w:rsidRPr="00D27F8A">
              <w:rPr>
                <w:b/>
              </w:rPr>
              <w:t>n/a</w:t>
            </w:r>
          </w:p>
        </w:tc>
        <w:tc>
          <w:tcPr>
            <w:tcW w:w="1013" w:type="dxa"/>
            <w:vAlign w:val="center"/>
          </w:tcPr>
          <w:p w:rsidR="002265C7" w:rsidRPr="00D27F8A" w:rsidRDefault="002265C7" w:rsidP="00D27F8A">
            <w:pPr>
              <w:pStyle w:val="TableFigText"/>
              <w:jc w:val="right"/>
              <w:rPr>
                <w:b/>
              </w:rPr>
            </w:pPr>
            <w:r w:rsidRPr="00D27F8A">
              <w:rPr>
                <w:b/>
              </w:rPr>
              <w:t>2,620</w:t>
            </w:r>
          </w:p>
        </w:tc>
      </w:tr>
    </w:tbl>
    <w:p w:rsidR="002265C7" w:rsidRPr="00541ED8" w:rsidRDefault="002265C7" w:rsidP="006B2ED0">
      <w:pPr>
        <w:pStyle w:val="TableFigNotesnumbered"/>
        <w:ind w:left="294" w:hanging="294"/>
        <w:rPr>
          <w:rStyle w:val="table-note"/>
        </w:rPr>
      </w:pPr>
      <w:proofErr w:type="gramStart"/>
      <w:r w:rsidRPr="00541ED8">
        <w:rPr>
          <w:rStyle w:val="table-note"/>
        </w:rPr>
        <w:t>n/a</w:t>
      </w:r>
      <w:proofErr w:type="gramEnd"/>
      <w:r w:rsidRPr="00541ED8">
        <w:rPr>
          <w:rStyle w:val="table-note"/>
        </w:rPr>
        <w:tab/>
        <w:t>Not applicable.</w:t>
      </w:r>
    </w:p>
    <w:p w:rsidR="002265C7" w:rsidRPr="0096114C" w:rsidRDefault="0096114C" w:rsidP="002265C7">
      <w:pPr>
        <w:pStyle w:val="TableCaption"/>
        <w:rPr>
          <w:rStyle w:val="table-note"/>
        </w:rPr>
      </w:pPr>
      <w:r w:rsidRPr="0096114C">
        <w:rPr>
          <w:rStyle w:val="table-note"/>
        </w:rPr>
        <w:t xml:space="preserve">Table 17: </w:t>
      </w:r>
      <w:r w:rsidR="002265C7" w:rsidRPr="0096114C">
        <w:rPr>
          <w:rStyle w:val="table-note"/>
        </w:rPr>
        <w:t>VIC: Number of specialised mental health beds, by service type, 2011–12</w:t>
      </w:r>
    </w:p>
    <w:tbl>
      <w:tblPr>
        <w:tblStyle w:val="TableGrid"/>
        <w:tblW w:w="0" w:type="auto"/>
        <w:tblLook w:val="04A0" w:firstRow="1" w:lastRow="0" w:firstColumn="1" w:lastColumn="0" w:noHBand="0" w:noVBand="1"/>
        <w:tblCaption w:val="VIC: Number of specialised mental health beds, by service type, 2011–12"/>
        <w:tblDescription w:val="Table showing that, in 2011-12, major cities in VIC had the highest number of all types of specialised mental health beds at 2,230. The number of beds decreases as the region type becomes more remote, with only 1 bed in remote areas over all specialised mental health care types. "/>
      </w:tblPr>
      <w:tblGrid>
        <w:gridCol w:w="2396"/>
        <w:gridCol w:w="1057"/>
        <w:gridCol w:w="1396"/>
        <w:gridCol w:w="1264"/>
        <w:gridCol w:w="1055"/>
        <w:gridCol w:w="1103"/>
        <w:gridCol w:w="1015"/>
      </w:tblGrid>
      <w:tr w:rsidR="002265C7" w:rsidRPr="00B476FB" w:rsidTr="000C3DEA">
        <w:trPr>
          <w:tblHeader/>
        </w:trPr>
        <w:tc>
          <w:tcPr>
            <w:tcW w:w="2498" w:type="dxa"/>
          </w:tcPr>
          <w:p w:rsidR="002265C7" w:rsidRPr="00B476FB" w:rsidRDefault="002265C7" w:rsidP="002265C7">
            <w:pPr>
              <w:pStyle w:val="TableFigText"/>
              <w:rPr>
                <w:rFonts w:asciiTheme="minorHAnsi" w:hAnsiTheme="minorHAnsi" w:cstheme="minorHAnsi"/>
                <w:szCs w:val="22"/>
              </w:rPr>
            </w:pPr>
          </w:p>
        </w:tc>
        <w:tc>
          <w:tcPr>
            <w:tcW w:w="1088" w:type="dxa"/>
          </w:tcPr>
          <w:p w:rsidR="002265C7" w:rsidRPr="00B476FB" w:rsidRDefault="002265C7" w:rsidP="002265C7">
            <w:pPr>
              <w:pStyle w:val="TableFigText"/>
              <w:jc w:val="right"/>
              <w:rPr>
                <w:rFonts w:asciiTheme="minorHAnsi" w:hAnsiTheme="minorHAnsi" w:cstheme="minorHAnsi"/>
                <w:b/>
                <w:szCs w:val="22"/>
              </w:rPr>
            </w:pPr>
            <w:r w:rsidRPr="00B476FB">
              <w:rPr>
                <w:rFonts w:asciiTheme="minorHAnsi" w:hAnsiTheme="minorHAnsi" w:cstheme="minorHAnsi"/>
                <w:b/>
                <w:szCs w:val="22"/>
              </w:rPr>
              <w:t>Major cities</w:t>
            </w:r>
          </w:p>
        </w:tc>
        <w:tc>
          <w:tcPr>
            <w:tcW w:w="1440" w:type="dxa"/>
          </w:tcPr>
          <w:p w:rsidR="002265C7" w:rsidRPr="00B476FB" w:rsidRDefault="002265C7" w:rsidP="002265C7">
            <w:pPr>
              <w:pStyle w:val="TableFigText"/>
              <w:jc w:val="right"/>
              <w:rPr>
                <w:rFonts w:asciiTheme="minorHAnsi" w:hAnsiTheme="minorHAnsi" w:cstheme="minorHAnsi"/>
                <w:b/>
                <w:szCs w:val="22"/>
              </w:rPr>
            </w:pPr>
            <w:r w:rsidRPr="00B476FB">
              <w:rPr>
                <w:rFonts w:asciiTheme="minorHAnsi" w:hAnsiTheme="minorHAnsi" w:cstheme="minorHAnsi"/>
                <w:b/>
                <w:szCs w:val="22"/>
              </w:rPr>
              <w:t>Inner regional</w:t>
            </w:r>
          </w:p>
        </w:tc>
        <w:tc>
          <w:tcPr>
            <w:tcW w:w="1299" w:type="dxa"/>
          </w:tcPr>
          <w:p w:rsidR="002265C7" w:rsidRPr="00B476FB" w:rsidRDefault="002265C7" w:rsidP="002265C7">
            <w:pPr>
              <w:pStyle w:val="TableFigText"/>
              <w:jc w:val="right"/>
              <w:rPr>
                <w:rFonts w:asciiTheme="minorHAnsi" w:hAnsiTheme="minorHAnsi" w:cstheme="minorHAnsi"/>
                <w:b/>
                <w:szCs w:val="22"/>
              </w:rPr>
            </w:pPr>
            <w:r w:rsidRPr="00B476FB">
              <w:rPr>
                <w:rFonts w:asciiTheme="minorHAnsi" w:hAnsiTheme="minorHAnsi" w:cstheme="minorHAnsi"/>
                <w:b/>
                <w:szCs w:val="22"/>
              </w:rPr>
              <w:t>Outer regional</w:t>
            </w:r>
          </w:p>
        </w:tc>
        <w:tc>
          <w:tcPr>
            <w:tcW w:w="1077" w:type="dxa"/>
          </w:tcPr>
          <w:p w:rsidR="002265C7" w:rsidRPr="00B476FB" w:rsidRDefault="002265C7" w:rsidP="002265C7">
            <w:pPr>
              <w:pStyle w:val="TableFigText"/>
              <w:jc w:val="right"/>
              <w:rPr>
                <w:rFonts w:asciiTheme="minorHAnsi" w:hAnsiTheme="minorHAnsi" w:cstheme="minorHAnsi"/>
                <w:b/>
                <w:szCs w:val="22"/>
              </w:rPr>
            </w:pPr>
            <w:r w:rsidRPr="00B476FB">
              <w:rPr>
                <w:rFonts w:asciiTheme="minorHAnsi" w:hAnsiTheme="minorHAnsi" w:cstheme="minorHAnsi"/>
                <w:b/>
                <w:szCs w:val="22"/>
              </w:rPr>
              <w:t>Remote</w:t>
            </w:r>
          </w:p>
        </w:tc>
        <w:tc>
          <w:tcPr>
            <w:tcW w:w="1131" w:type="dxa"/>
          </w:tcPr>
          <w:p w:rsidR="002265C7" w:rsidRPr="00B476FB" w:rsidRDefault="002265C7" w:rsidP="002265C7">
            <w:pPr>
              <w:pStyle w:val="TableFigText"/>
              <w:jc w:val="right"/>
              <w:rPr>
                <w:rFonts w:asciiTheme="minorHAnsi" w:hAnsiTheme="minorHAnsi" w:cstheme="minorHAnsi"/>
                <w:b/>
                <w:szCs w:val="22"/>
              </w:rPr>
            </w:pPr>
            <w:r w:rsidRPr="00B476FB">
              <w:rPr>
                <w:rFonts w:asciiTheme="minorHAnsi" w:hAnsiTheme="minorHAnsi" w:cstheme="minorHAnsi"/>
                <w:b/>
                <w:szCs w:val="22"/>
              </w:rPr>
              <w:t>Very remote</w:t>
            </w:r>
          </w:p>
        </w:tc>
        <w:tc>
          <w:tcPr>
            <w:tcW w:w="1043" w:type="dxa"/>
          </w:tcPr>
          <w:p w:rsidR="002265C7" w:rsidRPr="00B476FB" w:rsidRDefault="002265C7" w:rsidP="002265C7">
            <w:pPr>
              <w:pStyle w:val="TableFigText"/>
              <w:jc w:val="right"/>
              <w:rPr>
                <w:rFonts w:asciiTheme="minorHAnsi" w:hAnsiTheme="minorHAnsi" w:cstheme="minorHAnsi"/>
                <w:b/>
                <w:szCs w:val="22"/>
              </w:rPr>
            </w:pPr>
            <w:r w:rsidRPr="00B476FB">
              <w:rPr>
                <w:rFonts w:asciiTheme="minorHAnsi" w:hAnsiTheme="minorHAnsi" w:cstheme="minorHAnsi"/>
                <w:b/>
                <w:szCs w:val="22"/>
              </w:rPr>
              <w:t>Total</w:t>
            </w:r>
          </w:p>
        </w:tc>
      </w:tr>
      <w:tr w:rsidR="002265C7" w:rsidRPr="00B476FB" w:rsidTr="002265C7">
        <w:tc>
          <w:tcPr>
            <w:tcW w:w="2498" w:type="dxa"/>
          </w:tcPr>
          <w:p w:rsidR="002265C7" w:rsidRPr="00B476FB" w:rsidRDefault="002265C7" w:rsidP="002265C7">
            <w:pPr>
              <w:pStyle w:val="TableFigText"/>
              <w:keepLines w:val="0"/>
              <w:rPr>
                <w:rFonts w:asciiTheme="minorHAnsi" w:hAnsiTheme="minorHAnsi" w:cstheme="minorHAnsi"/>
                <w:szCs w:val="22"/>
              </w:rPr>
            </w:pPr>
            <w:r w:rsidRPr="00B476FB">
              <w:rPr>
                <w:rFonts w:asciiTheme="minorHAnsi" w:hAnsiTheme="minorHAnsi" w:cstheme="minorHAnsi"/>
                <w:szCs w:val="22"/>
              </w:rPr>
              <w:t>Specialised psychiatric units or wards in public acute hospitals</w:t>
            </w:r>
          </w:p>
        </w:tc>
        <w:tc>
          <w:tcPr>
            <w:tcW w:w="1088" w:type="dxa"/>
          </w:tcPr>
          <w:p w:rsidR="002265C7" w:rsidRPr="00B476FB" w:rsidRDefault="002265C7" w:rsidP="00D27F8A">
            <w:pPr>
              <w:pStyle w:val="TableFigText"/>
              <w:jc w:val="right"/>
            </w:pPr>
            <w:r w:rsidRPr="00B476FB">
              <w:t>887</w:t>
            </w:r>
          </w:p>
        </w:tc>
        <w:tc>
          <w:tcPr>
            <w:tcW w:w="1440" w:type="dxa"/>
          </w:tcPr>
          <w:p w:rsidR="002265C7" w:rsidRPr="00B476FB" w:rsidRDefault="002265C7" w:rsidP="00D27F8A">
            <w:pPr>
              <w:pStyle w:val="TableFigText"/>
              <w:jc w:val="right"/>
            </w:pPr>
            <w:r w:rsidRPr="00B476FB">
              <w:t>192</w:t>
            </w:r>
          </w:p>
        </w:tc>
        <w:tc>
          <w:tcPr>
            <w:tcW w:w="1299" w:type="dxa"/>
          </w:tcPr>
          <w:p w:rsidR="002265C7" w:rsidRPr="00B476FB" w:rsidRDefault="002265C7" w:rsidP="00D27F8A">
            <w:pPr>
              <w:pStyle w:val="TableFigText"/>
              <w:jc w:val="right"/>
            </w:pPr>
            <w:r w:rsidRPr="00B476FB">
              <w:t>12</w:t>
            </w:r>
          </w:p>
        </w:tc>
        <w:tc>
          <w:tcPr>
            <w:tcW w:w="1077" w:type="dxa"/>
          </w:tcPr>
          <w:p w:rsidR="002265C7" w:rsidRPr="00B476FB" w:rsidRDefault="002265C7" w:rsidP="00D27F8A">
            <w:pPr>
              <w:pStyle w:val="TableFigText"/>
              <w:jc w:val="right"/>
            </w:pPr>
            <w:r w:rsidRPr="00B476FB">
              <w:t>0</w:t>
            </w:r>
          </w:p>
        </w:tc>
        <w:tc>
          <w:tcPr>
            <w:tcW w:w="1131" w:type="dxa"/>
          </w:tcPr>
          <w:p w:rsidR="002265C7" w:rsidRPr="00B476FB" w:rsidRDefault="002265C7" w:rsidP="00D27F8A">
            <w:pPr>
              <w:pStyle w:val="TableFigText"/>
              <w:jc w:val="right"/>
            </w:pPr>
            <w:r w:rsidRPr="00B476FB">
              <w:t>n/a</w:t>
            </w:r>
          </w:p>
        </w:tc>
        <w:tc>
          <w:tcPr>
            <w:tcW w:w="1043" w:type="dxa"/>
          </w:tcPr>
          <w:p w:rsidR="002265C7" w:rsidRPr="00B476FB" w:rsidRDefault="002265C7" w:rsidP="00D27F8A">
            <w:pPr>
              <w:pStyle w:val="TableFigText"/>
              <w:jc w:val="right"/>
            </w:pPr>
            <w:r w:rsidRPr="00B476FB">
              <w:t>1,091</w:t>
            </w:r>
          </w:p>
        </w:tc>
      </w:tr>
      <w:tr w:rsidR="002265C7" w:rsidRPr="00B476FB" w:rsidTr="002265C7">
        <w:tc>
          <w:tcPr>
            <w:tcW w:w="2498" w:type="dxa"/>
          </w:tcPr>
          <w:p w:rsidR="002265C7" w:rsidRPr="00B476FB" w:rsidRDefault="002265C7" w:rsidP="002265C7">
            <w:pPr>
              <w:pStyle w:val="TableFigText"/>
              <w:keepLines w:val="0"/>
              <w:rPr>
                <w:rFonts w:asciiTheme="minorHAnsi" w:hAnsiTheme="minorHAnsi" w:cstheme="minorHAnsi"/>
                <w:szCs w:val="22"/>
              </w:rPr>
            </w:pPr>
            <w:r w:rsidRPr="00B476FB">
              <w:rPr>
                <w:rFonts w:asciiTheme="minorHAnsi" w:hAnsiTheme="minorHAnsi" w:cstheme="minorHAnsi"/>
                <w:szCs w:val="22"/>
              </w:rPr>
              <w:t>Public psychiatric hospital services</w:t>
            </w:r>
          </w:p>
        </w:tc>
        <w:tc>
          <w:tcPr>
            <w:tcW w:w="1088" w:type="dxa"/>
          </w:tcPr>
          <w:p w:rsidR="002265C7" w:rsidRPr="00B476FB" w:rsidRDefault="002265C7" w:rsidP="00D27F8A">
            <w:pPr>
              <w:pStyle w:val="TableFigText"/>
              <w:jc w:val="right"/>
            </w:pPr>
            <w:r w:rsidRPr="00B476FB">
              <w:t>150</w:t>
            </w:r>
          </w:p>
        </w:tc>
        <w:tc>
          <w:tcPr>
            <w:tcW w:w="1440" w:type="dxa"/>
          </w:tcPr>
          <w:p w:rsidR="002265C7" w:rsidRPr="00B476FB" w:rsidRDefault="002265C7" w:rsidP="00D27F8A">
            <w:pPr>
              <w:pStyle w:val="TableFigText"/>
              <w:jc w:val="right"/>
            </w:pPr>
            <w:r w:rsidRPr="00B476FB">
              <w:t>0</w:t>
            </w:r>
          </w:p>
        </w:tc>
        <w:tc>
          <w:tcPr>
            <w:tcW w:w="1299" w:type="dxa"/>
          </w:tcPr>
          <w:p w:rsidR="002265C7" w:rsidRPr="00B476FB" w:rsidRDefault="002265C7" w:rsidP="00D27F8A">
            <w:pPr>
              <w:pStyle w:val="TableFigText"/>
              <w:jc w:val="right"/>
            </w:pPr>
            <w:r w:rsidRPr="00B476FB">
              <w:t>0</w:t>
            </w:r>
          </w:p>
        </w:tc>
        <w:tc>
          <w:tcPr>
            <w:tcW w:w="1077" w:type="dxa"/>
          </w:tcPr>
          <w:p w:rsidR="002265C7" w:rsidRPr="00B476FB" w:rsidRDefault="002265C7" w:rsidP="00D27F8A">
            <w:pPr>
              <w:pStyle w:val="TableFigText"/>
              <w:jc w:val="right"/>
            </w:pPr>
            <w:r w:rsidRPr="00B476FB">
              <w:t>0</w:t>
            </w:r>
          </w:p>
        </w:tc>
        <w:tc>
          <w:tcPr>
            <w:tcW w:w="1131" w:type="dxa"/>
          </w:tcPr>
          <w:p w:rsidR="002265C7" w:rsidRPr="00B476FB" w:rsidRDefault="002265C7" w:rsidP="00D27F8A">
            <w:pPr>
              <w:pStyle w:val="TableFigText"/>
              <w:jc w:val="right"/>
            </w:pPr>
            <w:r w:rsidRPr="00B476FB">
              <w:t>n/a</w:t>
            </w:r>
          </w:p>
        </w:tc>
        <w:tc>
          <w:tcPr>
            <w:tcW w:w="1043" w:type="dxa"/>
          </w:tcPr>
          <w:p w:rsidR="002265C7" w:rsidRPr="00B476FB" w:rsidRDefault="002265C7" w:rsidP="00D27F8A">
            <w:pPr>
              <w:pStyle w:val="TableFigText"/>
              <w:jc w:val="right"/>
            </w:pPr>
            <w:r w:rsidRPr="00B476FB">
              <w:t>150</w:t>
            </w:r>
          </w:p>
        </w:tc>
      </w:tr>
      <w:tr w:rsidR="002265C7" w:rsidRPr="00B476FB" w:rsidTr="002265C7">
        <w:tc>
          <w:tcPr>
            <w:tcW w:w="2498" w:type="dxa"/>
          </w:tcPr>
          <w:p w:rsidR="002265C7" w:rsidRPr="00B476FB" w:rsidRDefault="002265C7" w:rsidP="002265C7">
            <w:pPr>
              <w:pStyle w:val="TableFigText"/>
              <w:keepLines w:val="0"/>
              <w:rPr>
                <w:rFonts w:asciiTheme="minorHAnsi" w:hAnsiTheme="minorHAnsi" w:cstheme="minorHAnsi"/>
                <w:szCs w:val="22"/>
              </w:rPr>
            </w:pPr>
            <w:r w:rsidRPr="00B476FB">
              <w:rPr>
                <w:rFonts w:asciiTheme="minorHAnsi" w:hAnsiTheme="minorHAnsi" w:cstheme="minorHAnsi"/>
                <w:szCs w:val="22"/>
              </w:rPr>
              <w:t>Residential mental health care services</w:t>
            </w:r>
          </w:p>
        </w:tc>
        <w:tc>
          <w:tcPr>
            <w:tcW w:w="1088" w:type="dxa"/>
          </w:tcPr>
          <w:p w:rsidR="002265C7" w:rsidRPr="00B476FB" w:rsidRDefault="002265C7" w:rsidP="00D27F8A">
            <w:pPr>
              <w:pStyle w:val="TableFigText"/>
              <w:jc w:val="right"/>
            </w:pPr>
            <w:r w:rsidRPr="00B476FB">
              <w:t>1,193</w:t>
            </w:r>
          </w:p>
        </w:tc>
        <w:tc>
          <w:tcPr>
            <w:tcW w:w="1440" w:type="dxa"/>
          </w:tcPr>
          <w:p w:rsidR="002265C7" w:rsidRPr="00B476FB" w:rsidRDefault="002265C7" w:rsidP="00D27F8A">
            <w:pPr>
              <w:pStyle w:val="TableFigText"/>
              <w:jc w:val="right"/>
            </w:pPr>
            <w:r w:rsidRPr="00B476FB">
              <w:t>275</w:t>
            </w:r>
          </w:p>
        </w:tc>
        <w:tc>
          <w:tcPr>
            <w:tcW w:w="1299" w:type="dxa"/>
          </w:tcPr>
          <w:p w:rsidR="002265C7" w:rsidRPr="00B476FB" w:rsidRDefault="002265C7" w:rsidP="00D27F8A">
            <w:pPr>
              <w:pStyle w:val="TableFigText"/>
              <w:jc w:val="right"/>
            </w:pPr>
            <w:r w:rsidRPr="00B476FB">
              <w:t>7</w:t>
            </w:r>
          </w:p>
        </w:tc>
        <w:tc>
          <w:tcPr>
            <w:tcW w:w="1077" w:type="dxa"/>
          </w:tcPr>
          <w:p w:rsidR="002265C7" w:rsidRPr="00B476FB" w:rsidRDefault="002265C7" w:rsidP="00D27F8A">
            <w:pPr>
              <w:pStyle w:val="TableFigText"/>
              <w:jc w:val="right"/>
            </w:pPr>
            <w:r w:rsidRPr="00B476FB">
              <w:t>1</w:t>
            </w:r>
          </w:p>
        </w:tc>
        <w:tc>
          <w:tcPr>
            <w:tcW w:w="1131" w:type="dxa"/>
          </w:tcPr>
          <w:p w:rsidR="002265C7" w:rsidRPr="00B476FB" w:rsidRDefault="002265C7" w:rsidP="00D27F8A">
            <w:pPr>
              <w:pStyle w:val="TableFigText"/>
              <w:jc w:val="right"/>
            </w:pPr>
            <w:r w:rsidRPr="00B476FB">
              <w:t>n/a</w:t>
            </w:r>
          </w:p>
        </w:tc>
        <w:tc>
          <w:tcPr>
            <w:tcW w:w="1043" w:type="dxa"/>
          </w:tcPr>
          <w:p w:rsidR="002265C7" w:rsidRPr="00B476FB" w:rsidRDefault="002265C7" w:rsidP="00D27F8A">
            <w:pPr>
              <w:pStyle w:val="TableFigText"/>
              <w:jc w:val="right"/>
            </w:pPr>
            <w:r w:rsidRPr="00B476FB">
              <w:t>1,476</w:t>
            </w:r>
          </w:p>
        </w:tc>
      </w:tr>
      <w:tr w:rsidR="002265C7" w:rsidRPr="00B476FB" w:rsidTr="002265C7">
        <w:tc>
          <w:tcPr>
            <w:tcW w:w="2498" w:type="dxa"/>
          </w:tcPr>
          <w:p w:rsidR="002265C7" w:rsidRPr="00D27F8A" w:rsidRDefault="002265C7" w:rsidP="002265C7">
            <w:pPr>
              <w:pStyle w:val="TableFigText"/>
              <w:keepLines w:val="0"/>
              <w:rPr>
                <w:rFonts w:asciiTheme="minorHAnsi" w:hAnsiTheme="minorHAnsi" w:cstheme="minorHAnsi"/>
                <w:b/>
                <w:szCs w:val="22"/>
              </w:rPr>
            </w:pPr>
            <w:r w:rsidRPr="00D27F8A">
              <w:rPr>
                <w:rFonts w:asciiTheme="minorHAnsi" w:hAnsiTheme="minorHAnsi" w:cstheme="minorHAnsi"/>
                <w:b/>
                <w:szCs w:val="22"/>
              </w:rPr>
              <w:t>Total</w:t>
            </w:r>
          </w:p>
        </w:tc>
        <w:tc>
          <w:tcPr>
            <w:tcW w:w="1088" w:type="dxa"/>
          </w:tcPr>
          <w:p w:rsidR="002265C7" w:rsidRPr="00D27F8A" w:rsidRDefault="002265C7" w:rsidP="00D27F8A">
            <w:pPr>
              <w:pStyle w:val="TableFigText"/>
              <w:jc w:val="right"/>
              <w:rPr>
                <w:b/>
              </w:rPr>
            </w:pPr>
            <w:r w:rsidRPr="00D27F8A">
              <w:rPr>
                <w:b/>
              </w:rPr>
              <w:t>2,230</w:t>
            </w:r>
          </w:p>
        </w:tc>
        <w:tc>
          <w:tcPr>
            <w:tcW w:w="1440" w:type="dxa"/>
          </w:tcPr>
          <w:p w:rsidR="002265C7" w:rsidRPr="00D27F8A" w:rsidRDefault="002265C7" w:rsidP="00D27F8A">
            <w:pPr>
              <w:pStyle w:val="TableFigText"/>
              <w:jc w:val="right"/>
              <w:rPr>
                <w:b/>
              </w:rPr>
            </w:pPr>
            <w:r w:rsidRPr="00D27F8A">
              <w:rPr>
                <w:b/>
              </w:rPr>
              <w:t>467</w:t>
            </w:r>
          </w:p>
        </w:tc>
        <w:tc>
          <w:tcPr>
            <w:tcW w:w="1299" w:type="dxa"/>
          </w:tcPr>
          <w:p w:rsidR="002265C7" w:rsidRPr="00D27F8A" w:rsidRDefault="002265C7" w:rsidP="00D27F8A">
            <w:pPr>
              <w:pStyle w:val="TableFigText"/>
              <w:jc w:val="right"/>
              <w:rPr>
                <w:b/>
              </w:rPr>
            </w:pPr>
            <w:r w:rsidRPr="00D27F8A">
              <w:rPr>
                <w:b/>
              </w:rPr>
              <w:t>19</w:t>
            </w:r>
          </w:p>
        </w:tc>
        <w:tc>
          <w:tcPr>
            <w:tcW w:w="1077" w:type="dxa"/>
          </w:tcPr>
          <w:p w:rsidR="002265C7" w:rsidRPr="00D27F8A" w:rsidRDefault="002265C7" w:rsidP="00D27F8A">
            <w:pPr>
              <w:pStyle w:val="TableFigText"/>
              <w:jc w:val="right"/>
              <w:rPr>
                <w:b/>
              </w:rPr>
            </w:pPr>
            <w:r w:rsidRPr="00D27F8A">
              <w:rPr>
                <w:b/>
              </w:rPr>
              <w:t>1</w:t>
            </w:r>
          </w:p>
        </w:tc>
        <w:tc>
          <w:tcPr>
            <w:tcW w:w="1131" w:type="dxa"/>
          </w:tcPr>
          <w:p w:rsidR="002265C7" w:rsidRPr="00D27F8A" w:rsidRDefault="002265C7" w:rsidP="00D27F8A">
            <w:pPr>
              <w:pStyle w:val="TableFigText"/>
              <w:jc w:val="right"/>
              <w:rPr>
                <w:b/>
              </w:rPr>
            </w:pPr>
            <w:r w:rsidRPr="00D27F8A">
              <w:rPr>
                <w:b/>
              </w:rPr>
              <w:t>n/a</w:t>
            </w:r>
          </w:p>
        </w:tc>
        <w:tc>
          <w:tcPr>
            <w:tcW w:w="1043" w:type="dxa"/>
          </w:tcPr>
          <w:p w:rsidR="002265C7" w:rsidRPr="00D27F8A" w:rsidRDefault="002265C7" w:rsidP="00D27F8A">
            <w:pPr>
              <w:pStyle w:val="TableFigText"/>
              <w:jc w:val="right"/>
              <w:rPr>
                <w:b/>
              </w:rPr>
            </w:pPr>
            <w:r w:rsidRPr="00D27F8A">
              <w:rPr>
                <w:b/>
              </w:rPr>
              <w:t>2,717</w:t>
            </w:r>
          </w:p>
        </w:tc>
      </w:tr>
    </w:tbl>
    <w:p w:rsidR="002265C7" w:rsidRPr="00541ED8" w:rsidRDefault="002265C7" w:rsidP="006B2ED0">
      <w:pPr>
        <w:pStyle w:val="TableFigNotesnumbered"/>
        <w:ind w:left="294" w:hanging="294"/>
        <w:rPr>
          <w:rStyle w:val="table-note"/>
        </w:rPr>
      </w:pPr>
      <w:proofErr w:type="gramStart"/>
      <w:r w:rsidRPr="00541ED8">
        <w:rPr>
          <w:rStyle w:val="table-note"/>
        </w:rPr>
        <w:t>n/a</w:t>
      </w:r>
      <w:proofErr w:type="gramEnd"/>
      <w:r w:rsidRPr="00541ED8">
        <w:rPr>
          <w:rStyle w:val="table-note"/>
        </w:rPr>
        <w:tab/>
        <w:t>Not applicable.</w:t>
      </w:r>
    </w:p>
    <w:p w:rsidR="002265C7" w:rsidRPr="00207B28" w:rsidRDefault="002265C7" w:rsidP="002265C7">
      <w:pPr>
        <w:pStyle w:val="AIHWbodytext"/>
        <w:spacing w:before="0" w:after="0" w:line="240" w:lineRule="auto"/>
        <w:rPr>
          <w:rFonts w:asciiTheme="minorHAnsi" w:hAnsiTheme="minorHAnsi" w:cstheme="minorHAnsi"/>
          <w:szCs w:val="22"/>
        </w:rPr>
      </w:pPr>
      <w:r w:rsidRPr="00207B28">
        <w:rPr>
          <w:rFonts w:asciiTheme="minorHAnsi" w:hAnsiTheme="minorHAnsi" w:cstheme="minorHAnsi"/>
          <w:szCs w:val="22"/>
        </w:rPr>
        <w:tab/>
      </w:r>
    </w:p>
    <w:p w:rsidR="002265C7" w:rsidRPr="0096114C" w:rsidRDefault="0096114C" w:rsidP="002265C7">
      <w:pPr>
        <w:pStyle w:val="TableCaption"/>
        <w:rPr>
          <w:rStyle w:val="table-note"/>
        </w:rPr>
      </w:pPr>
      <w:r w:rsidRPr="0096114C">
        <w:rPr>
          <w:rStyle w:val="table-note"/>
        </w:rPr>
        <w:t xml:space="preserve">Table 18: </w:t>
      </w:r>
      <w:r w:rsidR="002265C7" w:rsidRPr="0096114C">
        <w:rPr>
          <w:rStyle w:val="table-note"/>
        </w:rPr>
        <w:t xml:space="preserve">VIC: Full-time-equivalent staff, state and territory specialised mental health care facilities, by staffing category, 2007–08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VIC: Full-time-equivalent staff, state and territory specialised mental health care facilities, by staffing category, 2007–08 "/>
        <w:tblDescription w:val="Table showing, in 2007-08, the number of full-time-equivalent (FTE) staff in specialised mental health care facilities across VIC region types.  Major cities have the highest number of all types of FTE staff at 4,698.5 and very remote have the least at 0.0. Nurses were the highest FTE staff type overall, across all region types, at 3,401.6."/>
      </w:tblPr>
      <w:tblGrid>
        <w:gridCol w:w="2386"/>
        <w:gridCol w:w="1165"/>
        <w:gridCol w:w="1361"/>
        <w:gridCol w:w="1227"/>
        <w:gridCol w:w="1017"/>
        <w:gridCol w:w="1063"/>
        <w:gridCol w:w="1067"/>
      </w:tblGrid>
      <w:tr w:rsidR="002265C7" w:rsidRPr="00B476FB" w:rsidTr="000C3DEA">
        <w:trPr>
          <w:tblHeader/>
        </w:trPr>
        <w:tc>
          <w:tcPr>
            <w:tcW w:w="2386" w:type="dxa"/>
          </w:tcPr>
          <w:p w:rsidR="002265C7" w:rsidRPr="00B476FB" w:rsidRDefault="002265C7" w:rsidP="002265C7">
            <w:pPr>
              <w:pStyle w:val="TableFigText"/>
              <w:keepNext/>
              <w:rPr>
                <w:rFonts w:asciiTheme="minorHAnsi" w:hAnsiTheme="minorHAnsi" w:cstheme="minorHAnsi"/>
                <w:szCs w:val="22"/>
              </w:rPr>
            </w:pPr>
          </w:p>
        </w:tc>
        <w:tc>
          <w:tcPr>
            <w:tcW w:w="1165" w:type="dxa"/>
          </w:tcPr>
          <w:p w:rsidR="002265C7" w:rsidRPr="00B476FB" w:rsidRDefault="002265C7" w:rsidP="002265C7">
            <w:pPr>
              <w:pStyle w:val="TableFigText"/>
              <w:keepNext/>
              <w:jc w:val="right"/>
              <w:rPr>
                <w:rFonts w:asciiTheme="minorHAnsi" w:hAnsiTheme="minorHAnsi" w:cstheme="minorHAnsi"/>
                <w:b/>
                <w:szCs w:val="22"/>
              </w:rPr>
            </w:pPr>
            <w:r w:rsidRPr="00B476FB">
              <w:rPr>
                <w:rFonts w:asciiTheme="minorHAnsi" w:hAnsiTheme="minorHAnsi" w:cstheme="minorHAnsi"/>
                <w:b/>
                <w:szCs w:val="22"/>
              </w:rPr>
              <w:t>Major cities</w:t>
            </w:r>
          </w:p>
        </w:tc>
        <w:tc>
          <w:tcPr>
            <w:tcW w:w="1361" w:type="dxa"/>
          </w:tcPr>
          <w:p w:rsidR="002265C7" w:rsidRPr="00B476FB" w:rsidRDefault="002265C7" w:rsidP="002265C7">
            <w:pPr>
              <w:pStyle w:val="TableFigText"/>
              <w:keepNext/>
              <w:jc w:val="right"/>
              <w:rPr>
                <w:rFonts w:asciiTheme="minorHAnsi" w:hAnsiTheme="minorHAnsi" w:cstheme="minorHAnsi"/>
                <w:b/>
                <w:szCs w:val="22"/>
              </w:rPr>
            </w:pPr>
            <w:r w:rsidRPr="00B476FB">
              <w:rPr>
                <w:rFonts w:asciiTheme="minorHAnsi" w:hAnsiTheme="minorHAnsi" w:cstheme="minorHAnsi"/>
                <w:b/>
                <w:szCs w:val="22"/>
              </w:rPr>
              <w:t>Inner regional</w:t>
            </w:r>
          </w:p>
        </w:tc>
        <w:tc>
          <w:tcPr>
            <w:tcW w:w="1227" w:type="dxa"/>
          </w:tcPr>
          <w:p w:rsidR="002265C7" w:rsidRPr="00B476FB" w:rsidRDefault="002265C7" w:rsidP="002265C7">
            <w:pPr>
              <w:pStyle w:val="TableFigText"/>
              <w:keepNext/>
              <w:jc w:val="right"/>
              <w:rPr>
                <w:rFonts w:asciiTheme="minorHAnsi" w:hAnsiTheme="minorHAnsi" w:cstheme="minorHAnsi"/>
                <w:b/>
                <w:szCs w:val="22"/>
              </w:rPr>
            </w:pPr>
            <w:r w:rsidRPr="00B476FB">
              <w:rPr>
                <w:rFonts w:asciiTheme="minorHAnsi" w:hAnsiTheme="minorHAnsi" w:cstheme="minorHAnsi"/>
                <w:b/>
                <w:szCs w:val="22"/>
              </w:rPr>
              <w:t>Outer regional</w:t>
            </w:r>
          </w:p>
        </w:tc>
        <w:tc>
          <w:tcPr>
            <w:tcW w:w="1017" w:type="dxa"/>
          </w:tcPr>
          <w:p w:rsidR="002265C7" w:rsidRPr="00B476FB" w:rsidRDefault="002265C7" w:rsidP="002265C7">
            <w:pPr>
              <w:pStyle w:val="TableFigText"/>
              <w:keepNext/>
              <w:jc w:val="right"/>
              <w:rPr>
                <w:rFonts w:asciiTheme="minorHAnsi" w:hAnsiTheme="minorHAnsi" w:cstheme="minorHAnsi"/>
                <w:b/>
                <w:szCs w:val="22"/>
              </w:rPr>
            </w:pPr>
            <w:r w:rsidRPr="00B476FB">
              <w:rPr>
                <w:rFonts w:asciiTheme="minorHAnsi" w:hAnsiTheme="minorHAnsi" w:cstheme="minorHAnsi"/>
                <w:b/>
                <w:szCs w:val="22"/>
              </w:rPr>
              <w:t>Remote</w:t>
            </w:r>
          </w:p>
        </w:tc>
        <w:tc>
          <w:tcPr>
            <w:tcW w:w="1063" w:type="dxa"/>
          </w:tcPr>
          <w:p w:rsidR="002265C7" w:rsidRPr="00B476FB" w:rsidRDefault="002265C7" w:rsidP="002265C7">
            <w:pPr>
              <w:pStyle w:val="TableFigText"/>
              <w:keepNext/>
              <w:jc w:val="right"/>
              <w:rPr>
                <w:rFonts w:asciiTheme="minorHAnsi" w:hAnsiTheme="minorHAnsi" w:cstheme="minorHAnsi"/>
                <w:b/>
                <w:szCs w:val="22"/>
              </w:rPr>
            </w:pPr>
            <w:r w:rsidRPr="00B476FB">
              <w:rPr>
                <w:rFonts w:asciiTheme="minorHAnsi" w:hAnsiTheme="minorHAnsi" w:cstheme="minorHAnsi"/>
                <w:b/>
                <w:szCs w:val="22"/>
              </w:rPr>
              <w:t>Very remote</w:t>
            </w:r>
          </w:p>
        </w:tc>
        <w:tc>
          <w:tcPr>
            <w:tcW w:w="1067" w:type="dxa"/>
          </w:tcPr>
          <w:p w:rsidR="002265C7" w:rsidRPr="00B476FB" w:rsidRDefault="002265C7" w:rsidP="002265C7">
            <w:pPr>
              <w:pStyle w:val="TableFigText"/>
              <w:keepNext/>
              <w:jc w:val="right"/>
              <w:rPr>
                <w:rFonts w:asciiTheme="minorHAnsi" w:hAnsiTheme="minorHAnsi" w:cstheme="minorHAnsi"/>
                <w:b/>
                <w:szCs w:val="22"/>
              </w:rPr>
            </w:pPr>
            <w:r w:rsidRPr="00B476FB">
              <w:rPr>
                <w:rFonts w:asciiTheme="minorHAnsi" w:hAnsiTheme="minorHAnsi" w:cstheme="minorHAnsi"/>
                <w:b/>
                <w:szCs w:val="22"/>
              </w:rPr>
              <w:t>Total</w:t>
            </w:r>
            <w:r w:rsidRPr="00E86D05">
              <w:rPr>
                <w:rFonts w:asciiTheme="minorHAnsi" w:hAnsiTheme="minorHAnsi" w:cstheme="minorHAnsi"/>
                <w:b/>
                <w:szCs w:val="22"/>
                <w:vertAlign w:val="superscript"/>
              </w:rPr>
              <w:t>(a)</w:t>
            </w:r>
          </w:p>
        </w:tc>
      </w:tr>
      <w:tr w:rsidR="002265C7" w:rsidRPr="00B476FB" w:rsidTr="002265C7">
        <w:tc>
          <w:tcPr>
            <w:tcW w:w="2386" w:type="dxa"/>
          </w:tcPr>
          <w:p w:rsidR="002265C7" w:rsidRPr="00B476FB" w:rsidRDefault="002265C7" w:rsidP="002265C7">
            <w:pPr>
              <w:pStyle w:val="TableFigText"/>
              <w:keepNext/>
              <w:rPr>
                <w:rFonts w:asciiTheme="minorHAnsi" w:hAnsiTheme="minorHAnsi" w:cstheme="minorHAnsi"/>
                <w:szCs w:val="22"/>
              </w:rPr>
            </w:pPr>
            <w:r w:rsidRPr="00B476FB">
              <w:rPr>
                <w:rFonts w:asciiTheme="minorHAnsi" w:hAnsiTheme="minorHAnsi" w:cstheme="minorHAnsi"/>
                <w:szCs w:val="22"/>
              </w:rPr>
              <w:t>Consultant psychiatrists and psychiatrists</w:t>
            </w:r>
          </w:p>
        </w:tc>
        <w:tc>
          <w:tcPr>
            <w:tcW w:w="1165" w:type="dxa"/>
            <w:vAlign w:val="center"/>
          </w:tcPr>
          <w:p w:rsidR="002265C7" w:rsidRPr="0029323B" w:rsidRDefault="002265C7" w:rsidP="00D27F8A">
            <w:pPr>
              <w:pStyle w:val="TableFigText"/>
              <w:jc w:val="right"/>
            </w:pPr>
            <w:r w:rsidRPr="0029323B">
              <w:t>169.4</w:t>
            </w:r>
          </w:p>
        </w:tc>
        <w:tc>
          <w:tcPr>
            <w:tcW w:w="1361" w:type="dxa"/>
            <w:vAlign w:val="center"/>
          </w:tcPr>
          <w:p w:rsidR="002265C7" w:rsidRPr="0029323B" w:rsidRDefault="002265C7" w:rsidP="00D27F8A">
            <w:pPr>
              <w:pStyle w:val="TableFigText"/>
              <w:jc w:val="right"/>
            </w:pPr>
            <w:r w:rsidRPr="0029323B">
              <w:t>47.8</w:t>
            </w:r>
          </w:p>
        </w:tc>
        <w:tc>
          <w:tcPr>
            <w:tcW w:w="1227" w:type="dxa"/>
            <w:vAlign w:val="center"/>
          </w:tcPr>
          <w:p w:rsidR="002265C7" w:rsidRPr="0029323B" w:rsidRDefault="002265C7" w:rsidP="00D27F8A">
            <w:pPr>
              <w:pStyle w:val="TableFigText"/>
              <w:jc w:val="right"/>
            </w:pPr>
            <w:r w:rsidRPr="0029323B">
              <w:t>7.2</w:t>
            </w:r>
          </w:p>
        </w:tc>
        <w:tc>
          <w:tcPr>
            <w:tcW w:w="1017" w:type="dxa"/>
            <w:vAlign w:val="center"/>
          </w:tcPr>
          <w:p w:rsidR="002265C7" w:rsidRPr="0029323B" w:rsidRDefault="002265C7" w:rsidP="00D27F8A">
            <w:pPr>
              <w:pStyle w:val="TableFigText"/>
              <w:jc w:val="right"/>
            </w:pPr>
            <w:r w:rsidRPr="0029323B">
              <w:t>0.2</w:t>
            </w:r>
          </w:p>
        </w:tc>
        <w:tc>
          <w:tcPr>
            <w:tcW w:w="1063" w:type="dxa"/>
            <w:vAlign w:val="center"/>
          </w:tcPr>
          <w:p w:rsidR="002265C7" w:rsidRPr="0029323B" w:rsidRDefault="002265C7" w:rsidP="00D27F8A">
            <w:pPr>
              <w:pStyle w:val="TableFigText"/>
              <w:jc w:val="right"/>
            </w:pPr>
            <w:r w:rsidRPr="0029323B">
              <w:t>0.0</w:t>
            </w:r>
          </w:p>
        </w:tc>
        <w:tc>
          <w:tcPr>
            <w:tcW w:w="1067" w:type="dxa"/>
            <w:vAlign w:val="center"/>
          </w:tcPr>
          <w:p w:rsidR="002265C7" w:rsidRPr="0029323B" w:rsidRDefault="002265C7" w:rsidP="00D27F8A">
            <w:pPr>
              <w:pStyle w:val="TableFigText"/>
              <w:jc w:val="right"/>
            </w:pPr>
            <w:r w:rsidRPr="0029323B">
              <w:t>224.6</w:t>
            </w:r>
          </w:p>
        </w:tc>
      </w:tr>
      <w:tr w:rsidR="002265C7" w:rsidRPr="00B476FB" w:rsidTr="002265C7">
        <w:tc>
          <w:tcPr>
            <w:tcW w:w="2386" w:type="dxa"/>
          </w:tcPr>
          <w:p w:rsidR="002265C7" w:rsidRPr="00B476FB" w:rsidRDefault="002265C7" w:rsidP="002265C7">
            <w:pPr>
              <w:pStyle w:val="TableFigText"/>
              <w:keepNext/>
              <w:rPr>
                <w:rFonts w:asciiTheme="minorHAnsi" w:hAnsiTheme="minorHAnsi" w:cstheme="minorHAnsi"/>
                <w:szCs w:val="22"/>
              </w:rPr>
            </w:pPr>
            <w:r w:rsidRPr="00B476FB">
              <w:rPr>
                <w:rFonts w:asciiTheme="minorHAnsi" w:hAnsiTheme="minorHAnsi" w:cstheme="minorHAnsi"/>
                <w:szCs w:val="22"/>
              </w:rPr>
              <w:t>Psychiatry registrars and trainees</w:t>
            </w:r>
          </w:p>
        </w:tc>
        <w:tc>
          <w:tcPr>
            <w:tcW w:w="1165" w:type="dxa"/>
            <w:vAlign w:val="center"/>
          </w:tcPr>
          <w:p w:rsidR="002265C7" w:rsidRPr="0029323B" w:rsidRDefault="002265C7" w:rsidP="00D27F8A">
            <w:pPr>
              <w:pStyle w:val="TableFigText"/>
              <w:jc w:val="right"/>
            </w:pPr>
            <w:r w:rsidRPr="0029323B">
              <w:t>235.4</w:t>
            </w:r>
          </w:p>
        </w:tc>
        <w:tc>
          <w:tcPr>
            <w:tcW w:w="1361" w:type="dxa"/>
            <w:vAlign w:val="center"/>
          </w:tcPr>
          <w:p w:rsidR="002265C7" w:rsidRPr="0029323B" w:rsidRDefault="002265C7" w:rsidP="00D27F8A">
            <w:pPr>
              <w:pStyle w:val="TableFigText"/>
              <w:jc w:val="right"/>
            </w:pPr>
            <w:r w:rsidRPr="0029323B">
              <w:t>13.7</w:t>
            </w:r>
          </w:p>
        </w:tc>
        <w:tc>
          <w:tcPr>
            <w:tcW w:w="1227" w:type="dxa"/>
            <w:vAlign w:val="center"/>
          </w:tcPr>
          <w:p w:rsidR="002265C7" w:rsidRPr="0029323B" w:rsidRDefault="002265C7" w:rsidP="00D27F8A">
            <w:pPr>
              <w:pStyle w:val="TableFigText"/>
              <w:jc w:val="right"/>
            </w:pPr>
            <w:r w:rsidRPr="0029323B">
              <w:t>1.5</w:t>
            </w:r>
          </w:p>
        </w:tc>
        <w:tc>
          <w:tcPr>
            <w:tcW w:w="1017" w:type="dxa"/>
            <w:vAlign w:val="center"/>
          </w:tcPr>
          <w:p w:rsidR="002265C7" w:rsidRPr="0029323B" w:rsidRDefault="002265C7" w:rsidP="00D27F8A">
            <w:pPr>
              <w:pStyle w:val="TableFigText"/>
              <w:jc w:val="right"/>
            </w:pPr>
            <w:r w:rsidRPr="0029323B">
              <w:t>0.0</w:t>
            </w:r>
          </w:p>
        </w:tc>
        <w:tc>
          <w:tcPr>
            <w:tcW w:w="1063" w:type="dxa"/>
            <w:vAlign w:val="center"/>
          </w:tcPr>
          <w:p w:rsidR="002265C7" w:rsidRPr="0029323B" w:rsidRDefault="002265C7" w:rsidP="00D27F8A">
            <w:pPr>
              <w:pStyle w:val="TableFigText"/>
              <w:jc w:val="right"/>
            </w:pPr>
            <w:r w:rsidRPr="0029323B">
              <w:t>0.0</w:t>
            </w:r>
          </w:p>
        </w:tc>
        <w:tc>
          <w:tcPr>
            <w:tcW w:w="1067" w:type="dxa"/>
            <w:vAlign w:val="center"/>
          </w:tcPr>
          <w:p w:rsidR="002265C7" w:rsidRPr="0029323B" w:rsidRDefault="002265C7" w:rsidP="00D27F8A">
            <w:pPr>
              <w:pStyle w:val="TableFigText"/>
              <w:jc w:val="right"/>
            </w:pPr>
            <w:r w:rsidRPr="0029323B">
              <w:t>250.6</w:t>
            </w:r>
          </w:p>
        </w:tc>
      </w:tr>
      <w:tr w:rsidR="002265C7" w:rsidRPr="00B476FB" w:rsidTr="002265C7">
        <w:tc>
          <w:tcPr>
            <w:tcW w:w="2386" w:type="dxa"/>
          </w:tcPr>
          <w:p w:rsidR="002265C7" w:rsidRPr="00B476FB" w:rsidRDefault="002265C7" w:rsidP="002265C7">
            <w:pPr>
              <w:pStyle w:val="TableFigText"/>
              <w:keepNext/>
              <w:rPr>
                <w:rFonts w:asciiTheme="minorHAnsi" w:hAnsiTheme="minorHAnsi" w:cstheme="minorHAnsi"/>
                <w:szCs w:val="22"/>
              </w:rPr>
            </w:pPr>
            <w:r w:rsidRPr="00B476FB">
              <w:rPr>
                <w:rFonts w:asciiTheme="minorHAnsi" w:hAnsiTheme="minorHAnsi" w:cstheme="minorHAnsi"/>
                <w:szCs w:val="22"/>
              </w:rPr>
              <w:t>Other medical officers</w:t>
            </w:r>
          </w:p>
        </w:tc>
        <w:tc>
          <w:tcPr>
            <w:tcW w:w="1165" w:type="dxa"/>
            <w:vAlign w:val="center"/>
          </w:tcPr>
          <w:p w:rsidR="002265C7" w:rsidRPr="0029323B" w:rsidRDefault="002265C7" w:rsidP="00D27F8A">
            <w:pPr>
              <w:pStyle w:val="TableFigText"/>
              <w:jc w:val="right"/>
            </w:pPr>
            <w:r w:rsidRPr="0029323B">
              <w:t>96.3</w:t>
            </w:r>
          </w:p>
        </w:tc>
        <w:tc>
          <w:tcPr>
            <w:tcW w:w="1361" w:type="dxa"/>
            <w:vAlign w:val="center"/>
          </w:tcPr>
          <w:p w:rsidR="002265C7" w:rsidRPr="0029323B" w:rsidRDefault="002265C7" w:rsidP="00D27F8A">
            <w:pPr>
              <w:pStyle w:val="TableFigText"/>
              <w:jc w:val="right"/>
            </w:pPr>
            <w:r w:rsidRPr="0029323B">
              <w:t>13.9</w:t>
            </w:r>
          </w:p>
        </w:tc>
        <w:tc>
          <w:tcPr>
            <w:tcW w:w="1227" w:type="dxa"/>
            <w:vAlign w:val="center"/>
          </w:tcPr>
          <w:p w:rsidR="002265C7" w:rsidRPr="0029323B" w:rsidRDefault="002265C7" w:rsidP="00D27F8A">
            <w:pPr>
              <w:pStyle w:val="TableFigText"/>
              <w:jc w:val="right"/>
            </w:pPr>
            <w:r w:rsidRPr="0029323B">
              <w:t>1.6</w:t>
            </w:r>
          </w:p>
        </w:tc>
        <w:tc>
          <w:tcPr>
            <w:tcW w:w="1017" w:type="dxa"/>
            <w:vAlign w:val="center"/>
          </w:tcPr>
          <w:p w:rsidR="002265C7" w:rsidRPr="0029323B" w:rsidRDefault="002265C7" w:rsidP="00D27F8A">
            <w:pPr>
              <w:pStyle w:val="TableFigText"/>
              <w:jc w:val="right"/>
            </w:pPr>
            <w:r w:rsidRPr="0029323B">
              <w:t>0.0</w:t>
            </w:r>
          </w:p>
        </w:tc>
        <w:tc>
          <w:tcPr>
            <w:tcW w:w="1063" w:type="dxa"/>
            <w:vAlign w:val="center"/>
          </w:tcPr>
          <w:p w:rsidR="002265C7" w:rsidRPr="0029323B" w:rsidRDefault="002265C7" w:rsidP="00D27F8A">
            <w:pPr>
              <w:pStyle w:val="TableFigText"/>
              <w:jc w:val="right"/>
            </w:pPr>
            <w:r w:rsidRPr="0029323B">
              <w:t>0.0</w:t>
            </w:r>
          </w:p>
        </w:tc>
        <w:tc>
          <w:tcPr>
            <w:tcW w:w="1067" w:type="dxa"/>
            <w:vAlign w:val="center"/>
          </w:tcPr>
          <w:p w:rsidR="002265C7" w:rsidRPr="0029323B" w:rsidRDefault="002265C7" w:rsidP="00D27F8A">
            <w:pPr>
              <w:pStyle w:val="TableFigText"/>
              <w:jc w:val="right"/>
            </w:pPr>
            <w:r w:rsidRPr="0029323B">
              <w:t>111.9</w:t>
            </w:r>
          </w:p>
        </w:tc>
      </w:tr>
      <w:tr w:rsidR="002265C7" w:rsidRPr="00B476FB" w:rsidTr="002265C7">
        <w:tc>
          <w:tcPr>
            <w:tcW w:w="2386" w:type="dxa"/>
          </w:tcPr>
          <w:p w:rsidR="002265C7" w:rsidRPr="00B476FB" w:rsidRDefault="002265C7" w:rsidP="002265C7">
            <w:pPr>
              <w:pStyle w:val="TableFigText"/>
              <w:keepNext/>
              <w:rPr>
                <w:rFonts w:asciiTheme="minorHAnsi" w:hAnsiTheme="minorHAnsi" w:cstheme="minorHAnsi"/>
                <w:szCs w:val="22"/>
              </w:rPr>
            </w:pPr>
            <w:r w:rsidRPr="00B476FB">
              <w:rPr>
                <w:rFonts w:asciiTheme="minorHAnsi" w:hAnsiTheme="minorHAnsi" w:cstheme="minorHAnsi"/>
                <w:szCs w:val="22"/>
              </w:rPr>
              <w:t>Psychologists</w:t>
            </w:r>
          </w:p>
        </w:tc>
        <w:tc>
          <w:tcPr>
            <w:tcW w:w="1165" w:type="dxa"/>
            <w:vAlign w:val="center"/>
          </w:tcPr>
          <w:p w:rsidR="002265C7" w:rsidRPr="0029323B" w:rsidRDefault="002265C7" w:rsidP="00D27F8A">
            <w:pPr>
              <w:pStyle w:val="TableFigText"/>
              <w:jc w:val="right"/>
            </w:pPr>
            <w:r w:rsidRPr="0029323B">
              <w:t>282.3</w:t>
            </w:r>
          </w:p>
        </w:tc>
        <w:tc>
          <w:tcPr>
            <w:tcW w:w="1361" w:type="dxa"/>
            <w:vAlign w:val="center"/>
          </w:tcPr>
          <w:p w:rsidR="002265C7" w:rsidRPr="0029323B" w:rsidRDefault="002265C7" w:rsidP="00D27F8A">
            <w:pPr>
              <w:pStyle w:val="TableFigText"/>
              <w:jc w:val="right"/>
            </w:pPr>
            <w:r w:rsidRPr="0029323B">
              <w:t>94.8</w:t>
            </w:r>
          </w:p>
        </w:tc>
        <w:tc>
          <w:tcPr>
            <w:tcW w:w="1227" w:type="dxa"/>
            <w:vAlign w:val="center"/>
          </w:tcPr>
          <w:p w:rsidR="002265C7" w:rsidRPr="0029323B" w:rsidRDefault="002265C7" w:rsidP="00D27F8A">
            <w:pPr>
              <w:pStyle w:val="TableFigText"/>
              <w:jc w:val="right"/>
            </w:pPr>
            <w:r w:rsidRPr="0029323B">
              <w:t>11.9</w:t>
            </w:r>
          </w:p>
        </w:tc>
        <w:tc>
          <w:tcPr>
            <w:tcW w:w="1017" w:type="dxa"/>
            <w:vAlign w:val="center"/>
          </w:tcPr>
          <w:p w:rsidR="002265C7" w:rsidRPr="0029323B" w:rsidRDefault="002265C7" w:rsidP="00D27F8A">
            <w:pPr>
              <w:pStyle w:val="TableFigText"/>
              <w:jc w:val="right"/>
            </w:pPr>
            <w:r w:rsidRPr="0029323B">
              <w:t>0.7</w:t>
            </w:r>
          </w:p>
        </w:tc>
        <w:tc>
          <w:tcPr>
            <w:tcW w:w="1063" w:type="dxa"/>
            <w:vAlign w:val="center"/>
          </w:tcPr>
          <w:p w:rsidR="002265C7" w:rsidRPr="0029323B" w:rsidRDefault="002265C7" w:rsidP="00D27F8A">
            <w:pPr>
              <w:pStyle w:val="TableFigText"/>
              <w:jc w:val="right"/>
            </w:pPr>
            <w:r w:rsidRPr="0029323B">
              <w:t>0.0</w:t>
            </w:r>
          </w:p>
        </w:tc>
        <w:tc>
          <w:tcPr>
            <w:tcW w:w="1067" w:type="dxa"/>
            <w:vAlign w:val="center"/>
          </w:tcPr>
          <w:p w:rsidR="002265C7" w:rsidRPr="0029323B" w:rsidRDefault="002265C7" w:rsidP="00D27F8A">
            <w:pPr>
              <w:pStyle w:val="TableFigText"/>
              <w:jc w:val="right"/>
            </w:pPr>
            <w:r w:rsidRPr="0029323B">
              <w:t>389.6</w:t>
            </w:r>
          </w:p>
        </w:tc>
      </w:tr>
      <w:tr w:rsidR="002265C7" w:rsidRPr="00B476FB" w:rsidTr="002265C7">
        <w:tc>
          <w:tcPr>
            <w:tcW w:w="2386" w:type="dxa"/>
          </w:tcPr>
          <w:p w:rsidR="002265C7" w:rsidRPr="00B476FB" w:rsidRDefault="002265C7" w:rsidP="002265C7">
            <w:pPr>
              <w:pStyle w:val="TableFigText"/>
              <w:keepNext/>
              <w:rPr>
                <w:rFonts w:asciiTheme="minorHAnsi" w:hAnsiTheme="minorHAnsi" w:cstheme="minorHAnsi"/>
                <w:szCs w:val="22"/>
              </w:rPr>
            </w:pPr>
            <w:r w:rsidRPr="00B476FB">
              <w:rPr>
                <w:rFonts w:asciiTheme="minorHAnsi" w:hAnsiTheme="minorHAnsi" w:cstheme="minorHAnsi"/>
                <w:szCs w:val="22"/>
              </w:rPr>
              <w:t>Diagnostic and health professionals</w:t>
            </w:r>
            <w:r w:rsidRPr="00B476FB">
              <w:rPr>
                <w:rFonts w:asciiTheme="minorHAnsi" w:hAnsiTheme="minorHAnsi" w:cstheme="minorHAnsi"/>
                <w:szCs w:val="22"/>
                <w:vertAlign w:val="superscript"/>
              </w:rPr>
              <w:t>(b)</w:t>
            </w:r>
          </w:p>
        </w:tc>
        <w:tc>
          <w:tcPr>
            <w:tcW w:w="1165" w:type="dxa"/>
            <w:vAlign w:val="center"/>
          </w:tcPr>
          <w:p w:rsidR="002265C7" w:rsidRPr="0029323B" w:rsidRDefault="002265C7" w:rsidP="00D27F8A">
            <w:pPr>
              <w:pStyle w:val="TableFigText"/>
              <w:jc w:val="right"/>
            </w:pPr>
            <w:r w:rsidRPr="0029323B">
              <w:t>649.7</w:t>
            </w:r>
          </w:p>
        </w:tc>
        <w:tc>
          <w:tcPr>
            <w:tcW w:w="1361" w:type="dxa"/>
            <w:vAlign w:val="center"/>
          </w:tcPr>
          <w:p w:rsidR="002265C7" w:rsidRPr="0029323B" w:rsidRDefault="002265C7" w:rsidP="00D27F8A">
            <w:pPr>
              <w:pStyle w:val="TableFigText"/>
              <w:jc w:val="right"/>
            </w:pPr>
            <w:r w:rsidRPr="0029323B">
              <w:t>118.6</w:t>
            </w:r>
          </w:p>
        </w:tc>
        <w:tc>
          <w:tcPr>
            <w:tcW w:w="1227" w:type="dxa"/>
            <w:vAlign w:val="center"/>
          </w:tcPr>
          <w:p w:rsidR="002265C7" w:rsidRPr="0029323B" w:rsidRDefault="002265C7" w:rsidP="00D27F8A">
            <w:pPr>
              <w:pStyle w:val="TableFigText"/>
              <w:jc w:val="right"/>
            </w:pPr>
            <w:r w:rsidRPr="0029323B">
              <w:t>15.1</w:t>
            </w:r>
          </w:p>
        </w:tc>
        <w:tc>
          <w:tcPr>
            <w:tcW w:w="1017" w:type="dxa"/>
            <w:vAlign w:val="center"/>
          </w:tcPr>
          <w:p w:rsidR="002265C7" w:rsidRPr="0029323B" w:rsidRDefault="002265C7" w:rsidP="00D27F8A">
            <w:pPr>
              <w:pStyle w:val="TableFigText"/>
              <w:jc w:val="right"/>
            </w:pPr>
            <w:r w:rsidRPr="0029323B">
              <w:t>0.2</w:t>
            </w:r>
          </w:p>
        </w:tc>
        <w:tc>
          <w:tcPr>
            <w:tcW w:w="1063" w:type="dxa"/>
            <w:vAlign w:val="center"/>
          </w:tcPr>
          <w:p w:rsidR="002265C7" w:rsidRPr="0029323B" w:rsidRDefault="002265C7" w:rsidP="00D27F8A">
            <w:pPr>
              <w:pStyle w:val="TableFigText"/>
              <w:jc w:val="right"/>
            </w:pPr>
            <w:r w:rsidRPr="0029323B">
              <w:t>0.0</w:t>
            </w:r>
          </w:p>
        </w:tc>
        <w:tc>
          <w:tcPr>
            <w:tcW w:w="1067" w:type="dxa"/>
            <w:vAlign w:val="center"/>
          </w:tcPr>
          <w:p w:rsidR="002265C7" w:rsidRPr="0029323B" w:rsidRDefault="002265C7" w:rsidP="00D27F8A">
            <w:pPr>
              <w:pStyle w:val="TableFigText"/>
              <w:jc w:val="right"/>
            </w:pPr>
            <w:r w:rsidRPr="0029323B">
              <w:t>783.6</w:t>
            </w:r>
          </w:p>
        </w:tc>
      </w:tr>
      <w:tr w:rsidR="002265C7" w:rsidRPr="00B476FB" w:rsidTr="002265C7">
        <w:tc>
          <w:tcPr>
            <w:tcW w:w="2386" w:type="dxa"/>
          </w:tcPr>
          <w:p w:rsidR="002265C7" w:rsidRPr="00B476FB" w:rsidRDefault="002265C7" w:rsidP="002265C7">
            <w:pPr>
              <w:pStyle w:val="TableFigText"/>
              <w:keepNext/>
              <w:rPr>
                <w:rFonts w:asciiTheme="minorHAnsi" w:hAnsiTheme="minorHAnsi" w:cstheme="minorHAnsi"/>
                <w:szCs w:val="22"/>
              </w:rPr>
            </w:pPr>
            <w:r w:rsidRPr="00B476FB">
              <w:rPr>
                <w:rFonts w:asciiTheme="minorHAnsi" w:hAnsiTheme="minorHAnsi" w:cstheme="minorHAnsi"/>
                <w:szCs w:val="22"/>
              </w:rPr>
              <w:t>Nurses</w:t>
            </w:r>
            <w:r w:rsidRPr="00B476FB">
              <w:rPr>
                <w:rFonts w:asciiTheme="minorHAnsi" w:hAnsiTheme="minorHAnsi" w:cstheme="minorHAnsi"/>
                <w:szCs w:val="22"/>
                <w:vertAlign w:val="superscript"/>
              </w:rPr>
              <w:t>(c)</w:t>
            </w:r>
          </w:p>
        </w:tc>
        <w:tc>
          <w:tcPr>
            <w:tcW w:w="1165" w:type="dxa"/>
            <w:vAlign w:val="center"/>
          </w:tcPr>
          <w:p w:rsidR="002265C7" w:rsidRPr="0029323B" w:rsidRDefault="002265C7" w:rsidP="00D27F8A">
            <w:pPr>
              <w:pStyle w:val="TableFigText"/>
              <w:jc w:val="right"/>
            </w:pPr>
            <w:r w:rsidRPr="0029323B">
              <w:t>2,596.1</w:t>
            </w:r>
          </w:p>
        </w:tc>
        <w:tc>
          <w:tcPr>
            <w:tcW w:w="1361" w:type="dxa"/>
            <w:vAlign w:val="center"/>
          </w:tcPr>
          <w:p w:rsidR="002265C7" w:rsidRPr="0029323B" w:rsidRDefault="002265C7" w:rsidP="00D27F8A">
            <w:pPr>
              <w:pStyle w:val="TableFigText"/>
              <w:jc w:val="right"/>
            </w:pPr>
            <w:r w:rsidRPr="0029323B">
              <w:t>723.3</w:t>
            </w:r>
          </w:p>
        </w:tc>
        <w:tc>
          <w:tcPr>
            <w:tcW w:w="1227" w:type="dxa"/>
            <w:vAlign w:val="center"/>
          </w:tcPr>
          <w:p w:rsidR="002265C7" w:rsidRPr="0029323B" w:rsidRDefault="002265C7" w:rsidP="00D27F8A">
            <w:pPr>
              <w:pStyle w:val="TableFigText"/>
              <w:jc w:val="right"/>
            </w:pPr>
            <w:r w:rsidRPr="0029323B">
              <w:t>78.9</w:t>
            </w:r>
          </w:p>
        </w:tc>
        <w:tc>
          <w:tcPr>
            <w:tcW w:w="1017" w:type="dxa"/>
            <w:vAlign w:val="center"/>
          </w:tcPr>
          <w:p w:rsidR="002265C7" w:rsidRPr="0029323B" w:rsidRDefault="002265C7" w:rsidP="00D27F8A">
            <w:pPr>
              <w:pStyle w:val="TableFigText"/>
              <w:jc w:val="right"/>
            </w:pPr>
            <w:r w:rsidRPr="0029323B">
              <w:t>3.3</w:t>
            </w:r>
          </w:p>
        </w:tc>
        <w:tc>
          <w:tcPr>
            <w:tcW w:w="1063" w:type="dxa"/>
            <w:vAlign w:val="center"/>
          </w:tcPr>
          <w:p w:rsidR="002265C7" w:rsidRPr="0029323B" w:rsidRDefault="002265C7" w:rsidP="00D27F8A">
            <w:pPr>
              <w:pStyle w:val="TableFigText"/>
              <w:jc w:val="right"/>
            </w:pPr>
            <w:r w:rsidRPr="0029323B">
              <w:t>0.0</w:t>
            </w:r>
          </w:p>
        </w:tc>
        <w:tc>
          <w:tcPr>
            <w:tcW w:w="1067" w:type="dxa"/>
            <w:vAlign w:val="center"/>
          </w:tcPr>
          <w:p w:rsidR="002265C7" w:rsidRPr="0029323B" w:rsidRDefault="002265C7" w:rsidP="00D27F8A">
            <w:pPr>
              <w:pStyle w:val="TableFigText"/>
              <w:jc w:val="right"/>
            </w:pPr>
            <w:r w:rsidRPr="0029323B">
              <w:t>3,401.6</w:t>
            </w:r>
          </w:p>
        </w:tc>
      </w:tr>
      <w:tr w:rsidR="002265C7" w:rsidRPr="00B476FB" w:rsidTr="002265C7">
        <w:tc>
          <w:tcPr>
            <w:tcW w:w="2386" w:type="dxa"/>
          </w:tcPr>
          <w:p w:rsidR="002265C7" w:rsidRPr="00B476FB" w:rsidRDefault="002265C7" w:rsidP="002265C7">
            <w:pPr>
              <w:pStyle w:val="TableFigText"/>
              <w:keepNext/>
              <w:rPr>
                <w:rFonts w:asciiTheme="minorHAnsi" w:hAnsiTheme="minorHAnsi" w:cstheme="minorHAnsi"/>
                <w:szCs w:val="22"/>
              </w:rPr>
            </w:pPr>
            <w:r w:rsidRPr="00B476FB">
              <w:rPr>
                <w:rFonts w:asciiTheme="minorHAnsi" w:hAnsiTheme="minorHAnsi" w:cstheme="minorHAnsi"/>
                <w:szCs w:val="22"/>
              </w:rPr>
              <w:t>Carer workers</w:t>
            </w:r>
            <w:r w:rsidRPr="00B476FB">
              <w:rPr>
                <w:rFonts w:asciiTheme="minorHAnsi" w:hAnsiTheme="minorHAnsi" w:cstheme="minorHAnsi"/>
                <w:szCs w:val="22"/>
                <w:vertAlign w:val="superscript"/>
              </w:rPr>
              <w:t>(d)</w:t>
            </w:r>
          </w:p>
        </w:tc>
        <w:tc>
          <w:tcPr>
            <w:tcW w:w="1165" w:type="dxa"/>
            <w:vAlign w:val="center"/>
          </w:tcPr>
          <w:p w:rsidR="002265C7" w:rsidRPr="0029323B" w:rsidRDefault="002265C7" w:rsidP="00D27F8A">
            <w:pPr>
              <w:pStyle w:val="TableFigText"/>
              <w:jc w:val="right"/>
            </w:pPr>
            <w:r w:rsidRPr="0029323B">
              <w:t>10.8</w:t>
            </w:r>
          </w:p>
        </w:tc>
        <w:tc>
          <w:tcPr>
            <w:tcW w:w="1361" w:type="dxa"/>
            <w:vAlign w:val="center"/>
          </w:tcPr>
          <w:p w:rsidR="002265C7" w:rsidRPr="0029323B" w:rsidRDefault="002265C7" w:rsidP="00D27F8A">
            <w:pPr>
              <w:pStyle w:val="TableFigText"/>
              <w:jc w:val="right"/>
            </w:pPr>
            <w:r w:rsidRPr="0029323B">
              <w:t>3.9</w:t>
            </w:r>
          </w:p>
        </w:tc>
        <w:tc>
          <w:tcPr>
            <w:tcW w:w="1227" w:type="dxa"/>
            <w:vAlign w:val="center"/>
          </w:tcPr>
          <w:p w:rsidR="002265C7" w:rsidRPr="0029323B" w:rsidRDefault="002265C7" w:rsidP="00D27F8A">
            <w:pPr>
              <w:pStyle w:val="TableFigText"/>
              <w:jc w:val="right"/>
            </w:pPr>
            <w:r w:rsidRPr="0029323B">
              <w:t>0.8</w:t>
            </w:r>
          </w:p>
        </w:tc>
        <w:tc>
          <w:tcPr>
            <w:tcW w:w="1017" w:type="dxa"/>
            <w:vAlign w:val="center"/>
          </w:tcPr>
          <w:p w:rsidR="002265C7" w:rsidRPr="0029323B" w:rsidRDefault="002265C7" w:rsidP="00D27F8A">
            <w:pPr>
              <w:pStyle w:val="TableFigText"/>
              <w:jc w:val="right"/>
            </w:pPr>
            <w:r w:rsidRPr="0029323B">
              <w:t>0.0</w:t>
            </w:r>
          </w:p>
        </w:tc>
        <w:tc>
          <w:tcPr>
            <w:tcW w:w="1063" w:type="dxa"/>
            <w:vAlign w:val="center"/>
          </w:tcPr>
          <w:p w:rsidR="002265C7" w:rsidRPr="0029323B" w:rsidRDefault="002265C7" w:rsidP="00D27F8A">
            <w:pPr>
              <w:pStyle w:val="TableFigText"/>
              <w:jc w:val="right"/>
            </w:pPr>
            <w:r w:rsidRPr="0029323B">
              <w:t>0.0</w:t>
            </w:r>
          </w:p>
        </w:tc>
        <w:tc>
          <w:tcPr>
            <w:tcW w:w="1067" w:type="dxa"/>
            <w:vAlign w:val="center"/>
          </w:tcPr>
          <w:p w:rsidR="002265C7" w:rsidRPr="0029323B" w:rsidRDefault="002265C7" w:rsidP="00D27F8A">
            <w:pPr>
              <w:pStyle w:val="TableFigText"/>
              <w:jc w:val="right"/>
            </w:pPr>
            <w:r w:rsidRPr="0029323B">
              <w:t>15.5</w:t>
            </w:r>
          </w:p>
        </w:tc>
      </w:tr>
      <w:tr w:rsidR="002265C7" w:rsidRPr="00B476FB" w:rsidTr="002265C7">
        <w:tc>
          <w:tcPr>
            <w:tcW w:w="2386" w:type="dxa"/>
          </w:tcPr>
          <w:p w:rsidR="002265C7" w:rsidRPr="00B476FB" w:rsidRDefault="002265C7" w:rsidP="002265C7">
            <w:pPr>
              <w:pStyle w:val="TableFigText"/>
              <w:keepNext/>
              <w:rPr>
                <w:rFonts w:asciiTheme="minorHAnsi" w:hAnsiTheme="minorHAnsi" w:cstheme="minorHAnsi"/>
                <w:szCs w:val="22"/>
              </w:rPr>
            </w:pPr>
            <w:r w:rsidRPr="00B476FB">
              <w:rPr>
                <w:rFonts w:asciiTheme="minorHAnsi" w:hAnsiTheme="minorHAnsi" w:cstheme="minorHAnsi"/>
                <w:szCs w:val="22"/>
              </w:rPr>
              <w:t>Consumer workers</w:t>
            </w:r>
            <w:r w:rsidRPr="00B476FB">
              <w:rPr>
                <w:rFonts w:asciiTheme="minorHAnsi" w:hAnsiTheme="minorHAnsi" w:cstheme="minorHAnsi"/>
                <w:szCs w:val="22"/>
                <w:vertAlign w:val="superscript"/>
              </w:rPr>
              <w:t>(d)</w:t>
            </w:r>
          </w:p>
        </w:tc>
        <w:tc>
          <w:tcPr>
            <w:tcW w:w="1165" w:type="dxa"/>
            <w:vAlign w:val="center"/>
          </w:tcPr>
          <w:p w:rsidR="002265C7" w:rsidRPr="0029323B" w:rsidRDefault="002265C7" w:rsidP="00D27F8A">
            <w:pPr>
              <w:pStyle w:val="TableFigText"/>
              <w:jc w:val="right"/>
            </w:pPr>
            <w:r w:rsidRPr="0029323B">
              <w:t>11.1</w:t>
            </w:r>
          </w:p>
        </w:tc>
        <w:tc>
          <w:tcPr>
            <w:tcW w:w="1361" w:type="dxa"/>
            <w:vAlign w:val="center"/>
          </w:tcPr>
          <w:p w:rsidR="002265C7" w:rsidRPr="0029323B" w:rsidRDefault="002265C7" w:rsidP="00D27F8A">
            <w:pPr>
              <w:pStyle w:val="TableFigText"/>
              <w:jc w:val="right"/>
            </w:pPr>
            <w:r w:rsidRPr="0029323B">
              <w:t>5.1</w:t>
            </w:r>
          </w:p>
        </w:tc>
        <w:tc>
          <w:tcPr>
            <w:tcW w:w="1227" w:type="dxa"/>
            <w:vAlign w:val="center"/>
          </w:tcPr>
          <w:p w:rsidR="002265C7" w:rsidRPr="0029323B" w:rsidRDefault="002265C7" w:rsidP="00D27F8A">
            <w:pPr>
              <w:pStyle w:val="TableFigText"/>
              <w:jc w:val="right"/>
            </w:pPr>
            <w:r w:rsidRPr="0029323B">
              <w:t>3.7</w:t>
            </w:r>
          </w:p>
        </w:tc>
        <w:tc>
          <w:tcPr>
            <w:tcW w:w="1017" w:type="dxa"/>
            <w:vAlign w:val="center"/>
          </w:tcPr>
          <w:p w:rsidR="002265C7" w:rsidRPr="0029323B" w:rsidRDefault="002265C7" w:rsidP="00D27F8A">
            <w:pPr>
              <w:pStyle w:val="TableFigText"/>
              <w:jc w:val="right"/>
            </w:pPr>
            <w:r w:rsidRPr="0029323B">
              <w:t>0.0</w:t>
            </w:r>
          </w:p>
        </w:tc>
        <w:tc>
          <w:tcPr>
            <w:tcW w:w="1063" w:type="dxa"/>
            <w:vAlign w:val="center"/>
          </w:tcPr>
          <w:p w:rsidR="002265C7" w:rsidRPr="0029323B" w:rsidRDefault="002265C7" w:rsidP="00D27F8A">
            <w:pPr>
              <w:pStyle w:val="TableFigText"/>
              <w:jc w:val="right"/>
            </w:pPr>
            <w:r w:rsidRPr="0029323B">
              <w:t>0.0</w:t>
            </w:r>
          </w:p>
        </w:tc>
        <w:tc>
          <w:tcPr>
            <w:tcW w:w="1067" w:type="dxa"/>
            <w:vAlign w:val="center"/>
          </w:tcPr>
          <w:p w:rsidR="002265C7" w:rsidRPr="0029323B" w:rsidRDefault="002265C7" w:rsidP="00D27F8A">
            <w:pPr>
              <w:pStyle w:val="TableFigText"/>
              <w:jc w:val="right"/>
            </w:pPr>
            <w:r w:rsidRPr="0029323B">
              <w:t>20.0</w:t>
            </w:r>
          </w:p>
        </w:tc>
      </w:tr>
      <w:tr w:rsidR="002265C7" w:rsidRPr="00B476FB" w:rsidTr="002265C7">
        <w:tc>
          <w:tcPr>
            <w:tcW w:w="2386" w:type="dxa"/>
          </w:tcPr>
          <w:p w:rsidR="002265C7" w:rsidRPr="00B476FB" w:rsidRDefault="002265C7" w:rsidP="002265C7">
            <w:pPr>
              <w:pStyle w:val="TableFigText"/>
              <w:keepNext/>
              <w:rPr>
                <w:rFonts w:asciiTheme="minorHAnsi" w:hAnsiTheme="minorHAnsi" w:cstheme="minorHAnsi"/>
                <w:szCs w:val="22"/>
              </w:rPr>
            </w:pPr>
            <w:r w:rsidRPr="00B476FB">
              <w:rPr>
                <w:rFonts w:asciiTheme="minorHAnsi" w:hAnsiTheme="minorHAnsi" w:cstheme="minorHAnsi"/>
                <w:szCs w:val="22"/>
              </w:rPr>
              <w:t>Other personal care</w:t>
            </w:r>
            <w:r w:rsidRPr="00B476FB">
              <w:rPr>
                <w:rFonts w:asciiTheme="minorHAnsi" w:hAnsiTheme="minorHAnsi" w:cstheme="minorHAnsi"/>
                <w:szCs w:val="22"/>
                <w:vertAlign w:val="superscript"/>
              </w:rPr>
              <w:t>(e)</w:t>
            </w:r>
          </w:p>
        </w:tc>
        <w:tc>
          <w:tcPr>
            <w:tcW w:w="1165" w:type="dxa"/>
            <w:vAlign w:val="center"/>
          </w:tcPr>
          <w:p w:rsidR="002265C7" w:rsidRPr="0029323B" w:rsidRDefault="002265C7" w:rsidP="00D27F8A">
            <w:pPr>
              <w:pStyle w:val="TableFigText"/>
              <w:jc w:val="right"/>
            </w:pPr>
            <w:r w:rsidRPr="0029323B">
              <w:t>191.2</w:t>
            </w:r>
          </w:p>
        </w:tc>
        <w:tc>
          <w:tcPr>
            <w:tcW w:w="1361" w:type="dxa"/>
            <w:vAlign w:val="center"/>
          </w:tcPr>
          <w:p w:rsidR="002265C7" w:rsidRPr="0029323B" w:rsidRDefault="002265C7" w:rsidP="00D27F8A">
            <w:pPr>
              <w:pStyle w:val="TableFigText"/>
              <w:jc w:val="right"/>
            </w:pPr>
            <w:r w:rsidRPr="0029323B">
              <w:t>47.4</w:t>
            </w:r>
          </w:p>
        </w:tc>
        <w:tc>
          <w:tcPr>
            <w:tcW w:w="1227" w:type="dxa"/>
            <w:vAlign w:val="center"/>
          </w:tcPr>
          <w:p w:rsidR="002265C7" w:rsidRPr="0029323B" w:rsidRDefault="002265C7" w:rsidP="00D27F8A">
            <w:pPr>
              <w:pStyle w:val="TableFigText"/>
              <w:jc w:val="right"/>
            </w:pPr>
            <w:r w:rsidRPr="0029323B">
              <w:t>4.8</w:t>
            </w:r>
          </w:p>
        </w:tc>
        <w:tc>
          <w:tcPr>
            <w:tcW w:w="1017" w:type="dxa"/>
            <w:vAlign w:val="center"/>
          </w:tcPr>
          <w:p w:rsidR="002265C7" w:rsidRPr="0029323B" w:rsidRDefault="002265C7" w:rsidP="00D27F8A">
            <w:pPr>
              <w:pStyle w:val="TableFigText"/>
              <w:jc w:val="right"/>
            </w:pPr>
            <w:r w:rsidRPr="0029323B">
              <w:t>0.1</w:t>
            </w:r>
          </w:p>
        </w:tc>
        <w:tc>
          <w:tcPr>
            <w:tcW w:w="1063" w:type="dxa"/>
            <w:vAlign w:val="center"/>
          </w:tcPr>
          <w:p w:rsidR="002265C7" w:rsidRPr="0029323B" w:rsidRDefault="002265C7" w:rsidP="00D27F8A">
            <w:pPr>
              <w:pStyle w:val="TableFigText"/>
              <w:jc w:val="right"/>
            </w:pPr>
            <w:r w:rsidRPr="0029323B">
              <w:t>0.0</w:t>
            </w:r>
          </w:p>
        </w:tc>
        <w:tc>
          <w:tcPr>
            <w:tcW w:w="1067" w:type="dxa"/>
            <w:vAlign w:val="center"/>
          </w:tcPr>
          <w:p w:rsidR="002265C7" w:rsidRPr="0029323B" w:rsidRDefault="002265C7" w:rsidP="00D27F8A">
            <w:pPr>
              <w:pStyle w:val="TableFigText"/>
              <w:jc w:val="right"/>
            </w:pPr>
            <w:r w:rsidRPr="0029323B">
              <w:t>243.4</w:t>
            </w:r>
          </w:p>
        </w:tc>
      </w:tr>
      <w:tr w:rsidR="002265C7" w:rsidRPr="00B476FB" w:rsidTr="002265C7">
        <w:tc>
          <w:tcPr>
            <w:tcW w:w="2386" w:type="dxa"/>
          </w:tcPr>
          <w:p w:rsidR="002265C7" w:rsidRPr="00B476FB" w:rsidRDefault="002265C7" w:rsidP="002265C7">
            <w:pPr>
              <w:pStyle w:val="TableFigText"/>
              <w:keepNext/>
              <w:rPr>
                <w:rFonts w:asciiTheme="minorHAnsi" w:hAnsiTheme="minorHAnsi" w:cstheme="minorHAnsi"/>
                <w:szCs w:val="22"/>
              </w:rPr>
            </w:pPr>
            <w:r w:rsidRPr="00B476FB">
              <w:rPr>
                <w:rFonts w:asciiTheme="minorHAnsi" w:hAnsiTheme="minorHAnsi" w:cstheme="minorHAnsi"/>
                <w:szCs w:val="22"/>
              </w:rPr>
              <w:t>Other staffing categories</w:t>
            </w:r>
            <w:r w:rsidRPr="00B476FB">
              <w:rPr>
                <w:rFonts w:asciiTheme="minorHAnsi" w:hAnsiTheme="minorHAnsi" w:cstheme="minorHAnsi"/>
                <w:szCs w:val="22"/>
                <w:vertAlign w:val="superscript"/>
              </w:rPr>
              <w:t>(f)</w:t>
            </w:r>
          </w:p>
        </w:tc>
        <w:tc>
          <w:tcPr>
            <w:tcW w:w="1165" w:type="dxa"/>
            <w:vAlign w:val="center"/>
          </w:tcPr>
          <w:p w:rsidR="002265C7" w:rsidRPr="0029323B" w:rsidRDefault="002265C7" w:rsidP="00D27F8A">
            <w:pPr>
              <w:pStyle w:val="TableFigText"/>
              <w:jc w:val="right"/>
            </w:pPr>
            <w:r w:rsidRPr="0029323B">
              <w:t>456.2</w:t>
            </w:r>
          </w:p>
        </w:tc>
        <w:tc>
          <w:tcPr>
            <w:tcW w:w="1361" w:type="dxa"/>
            <w:vAlign w:val="center"/>
          </w:tcPr>
          <w:p w:rsidR="002265C7" w:rsidRPr="0029323B" w:rsidRDefault="002265C7" w:rsidP="00D27F8A">
            <w:pPr>
              <w:pStyle w:val="TableFigText"/>
              <w:jc w:val="right"/>
            </w:pPr>
            <w:r w:rsidRPr="0029323B">
              <w:t>158.1</w:t>
            </w:r>
          </w:p>
        </w:tc>
        <w:tc>
          <w:tcPr>
            <w:tcW w:w="1227" w:type="dxa"/>
            <w:vAlign w:val="center"/>
          </w:tcPr>
          <w:p w:rsidR="002265C7" w:rsidRPr="0029323B" w:rsidRDefault="002265C7" w:rsidP="00D27F8A">
            <w:pPr>
              <w:pStyle w:val="TableFigText"/>
              <w:jc w:val="right"/>
            </w:pPr>
            <w:r w:rsidRPr="0029323B">
              <w:t>32.0</w:t>
            </w:r>
          </w:p>
        </w:tc>
        <w:tc>
          <w:tcPr>
            <w:tcW w:w="1017" w:type="dxa"/>
            <w:vAlign w:val="center"/>
          </w:tcPr>
          <w:p w:rsidR="002265C7" w:rsidRPr="0029323B" w:rsidRDefault="002265C7" w:rsidP="00D27F8A">
            <w:pPr>
              <w:pStyle w:val="TableFigText"/>
              <w:jc w:val="right"/>
            </w:pPr>
            <w:r w:rsidRPr="0029323B">
              <w:t>0.2</w:t>
            </w:r>
          </w:p>
        </w:tc>
        <w:tc>
          <w:tcPr>
            <w:tcW w:w="1063" w:type="dxa"/>
            <w:vAlign w:val="center"/>
          </w:tcPr>
          <w:p w:rsidR="002265C7" w:rsidRPr="0029323B" w:rsidRDefault="002265C7" w:rsidP="00D27F8A">
            <w:pPr>
              <w:pStyle w:val="TableFigText"/>
              <w:jc w:val="right"/>
            </w:pPr>
            <w:r w:rsidRPr="0029323B">
              <w:t>0.0</w:t>
            </w:r>
          </w:p>
        </w:tc>
        <w:tc>
          <w:tcPr>
            <w:tcW w:w="1067" w:type="dxa"/>
            <w:vAlign w:val="center"/>
          </w:tcPr>
          <w:p w:rsidR="002265C7" w:rsidRPr="0029323B" w:rsidRDefault="002265C7" w:rsidP="00D27F8A">
            <w:pPr>
              <w:pStyle w:val="TableFigText"/>
              <w:jc w:val="right"/>
            </w:pPr>
            <w:r w:rsidRPr="0029323B">
              <w:t>646.5</w:t>
            </w:r>
          </w:p>
        </w:tc>
      </w:tr>
      <w:tr w:rsidR="002265C7" w:rsidRPr="00B476FB" w:rsidTr="002265C7">
        <w:tc>
          <w:tcPr>
            <w:tcW w:w="2386" w:type="dxa"/>
          </w:tcPr>
          <w:p w:rsidR="002265C7" w:rsidRPr="00B476FB" w:rsidRDefault="002265C7" w:rsidP="002265C7">
            <w:pPr>
              <w:pStyle w:val="TableFigText"/>
              <w:keepNext/>
              <w:rPr>
                <w:rFonts w:asciiTheme="minorHAnsi" w:hAnsiTheme="minorHAnsi" w:cstheme="minorHAnsi"/>
                <w:b/>
                <w:szCs w:val="22"/>
              </w:rPr>
            </w:pPr>
            <w:r w:rsidRPr="00B476FB">
              <w:rPr>
                <w:rFonts w:asciiTheme="minorHAnsi" w:hAnsiTheme="minorHAnsi" w:cstheme="minorHAnsi"/>
                <w:b/>
                <w:szCs w:val="22"/>
              </w:rPr>
              <w:t>Total</w:t>
            </w:r>
            <w:r w:rsidRPr="00B476FB">
              <w:rPr>
                <w:rFonts w:asciiTheme="minorHAnsi" w:hAnsiTheme="minorHAnsi" w:cstheme="minorHAnsi"/>
                <w:b/>
                <w:szCs w:val="22"/>
                <w:vertAlign w:val="superscript"/>
              </w:rPr>
              <w:t>(a)</w:t>
            </w:r>
          </w:p>
        </w:tc>
        <w:tc>
          <w:tcPr>
            <w:tcW w:w="1165" w:type="dxa"/>
            <w:vAlign w:val="center"/>
          </w:tcPr>
          <w:p w:rsidR="002265C7" w:rsidRPr="00D27F8A" w:rsidRDefault="002265C7" w:rsidP="00D27F8A">
            <w:pPr>
              <w:pStyle w:val="TableFigText"/>
              <w:jc w:val="right"/>
              <w:rPr>
                <w:b/>
              </w:rPr>
            </w:pPr>
            <w:r w:rsidRPr="00D27F8A">
              <w:rPr>
                <w:b/>
              </w:rPr>
              <w:t>4,698.5</w:t>
            </w:r>
          </w:p>
        </w:tc>
        <w:tc>
          <w:tcPr>
            <w:tcW w:w="1361" w:type="dxa"/>
            <w:vAlign w:val="center"/>
          </w:tcPr>
          <w:p w:rsidR="002265C7" w:rsidRPr="00D27F8A" w:rsidRDefault="002265C7" w:rsidP="00D27F8A">
            <w:pPr>
              <w:pStyle w:val="TableFigText"/>
              <w:jc w:val="right"/>
              <w:rPr>
                <w:b/>
              </w:rPr>
            </w:pPr>
            <w:r w:rsidRPr="00D27F8A">
              <w:rPr>
                <w:b/>
              </w:rPr>
              <w:t>1,226.6</w:t>
            </w:r>
          </w:p>
        </w:tc>
        <w:tc>
          <w:tcPr>
            <w:tcW w:w="1227" w:type="dxa"/>
            <w:vAlign w:val="center"/>
          </w:tcPr>
          <w:p w:rsidR="002265C7" w:rsidRPr="00D27F8A" w:rsidRDefault="002265C7" w:rsidP="00D27F8A">
            <w:pPr>
              <w:pStyle w:val="TableFigText"/>
              <w:jc w:val="right"/>
              <w:rPr>
                <w:b/>
              </w:rPr>
            </w:pPr>
            <w:r w:rsidRPr="00D27F8A">
              <w:rPr>
                <w:b/>
              </w:rPr>
              <w:t>157.4</w:t>
            </w:r>
          </w:p>
        </w:tc>
        <w:tc>
          <w:tcPr>
            <w:tcW w:w="1017" w:type="dxa"/>
            <w:vAlign w:val="center"/>
          </w:tcPr>
          <w:p w:rsidR="002265C7" w:rsidRPr="00D27F8A" w:rsidRDefault="002265C7" w:rsidP="00D27F8A">
            <w:pPr>
              <w:pStyle w:val="TableFigText"/>
              <w:jc w:val="right"/>
              <w:rPr>
                <w:b/>
              </w:rPr>
            </w:pPr>
            <w:r w:rsidRPr="00D27F8A">
              <w:rPr>
                <w:b/>
              </w:rPr>
              <w:t>4.7</w:t>
            </w:r>
          </w:p>
        </w:tc>
        <w:tc>
          <w:tcPr>
            <w:tcW w:w="1063" w:type="dxa"/>
            <w:vAlign w:val="center"/>
          </w:tcPr>
          <w:p w:rsidR="002265C7" w:rsidRPr="00D27F8A" w:rsidRDefault="002265C7" w:rsidP="00D27F8A">
            <w:pPr>
              <w:pStyle w:val="TableFigText"/>
              <w:jc w:val="right"/>
              <w:rPr>
                <w:b/>
              </w:rPr>
            </w:pPr>
            <w:r w:rsidRPr="00D27F8A">
              <w:rPr>
                <w:b/>
              </w:rPr>
              <w:t>0.0</w:t>
            </w:r>
          </w:p>
        </w:tc>
        <w:tc>
          <w:tcPr>
            <w:tcW w:w="1067" w:type="dxa"/>
            <w:vAlign w:val="center"/>
          </w:tcPr>
          <w:p w:rsidR="002265C7" w:rsidRPr="00D27F8A" w:rsidRDefault="002265C7" w:rsidP="00D27F8A">
            <w:pPr>
              <w:pStyle w:val="TableFigText"/>
              <w:jc w:val="right"/>
              <w:rPr>
                <w:b/>
              </w:rPr>
            </w:pPr>
            <w:r w:rsidRPr="00D27F8A">
              <w:rPr>
                <w:b/>
              </w:rPr>
              <w:t>6,087.3</w:t>
            </w:r>
          </w:p>
        </w:tc>
      </w:tr>
    </w:tbl>
    <w:p w:rsidR="002265C7" w:rsidRPr="00541ED8" w:rsidRDefault="002265C7" w:rsidP="00540186">
      <w:pPr>
        <w:pStyle w:val="TableFigNotesnumbered"/>
        <w:numPr>
          <w:ilvl w:val="0"/>
          <w:numId w:val="66"/>
        </w:numPr>
        <w:rPr>
          <w:rStyle w:val="table-note"/>
        </w:rPr>
      </w:pPr>
      <w:r w:rsidRPr="00541ED8">
        <w:rPr>
          <w:rStyle w:val="table-note"/>
        </w:rPr>
        <w:t>Totals may not add due to rounding.</w:t>
      </w:r>
    </w:p>
    <w:p w:rsidR="002265C7" w:rsidRPr="00541ED8" w:rsidRDefault="002265C7" w:rsidP="00540186">
      <w:pPr>
        <w:pStyle w:val="TableFigNotesnumbered"/>
        <w:numPr>
          <w:ilvl w:val="0"/>
          <w:numId w:val="66"/>
        </w:numPr>
        <w:rPr>
          <w:rStyle w:val="table-note"/>
        </w:rPr>
      </w:pPr>
      <w:r w:rsidRPr="00541ED8">
        <w:rPr>
          <w:rStyle w:val="table-note"/>
        </w:rPr>
        <w:t>Diagnostic and health professionals includes qualified staff (other than qualified medical or nursing staff) engaged in duties of a diagnostic, professional or technical nature and covers all allied health professionals and laboratory technicians, including Social Workers, Occupational Therapists and others  (</w:t>
      </w:r>
      <w:proofErr w:type="spellStart"/>
      <w:r w:rsidRPr="00541ED8">
        <w:rPr>
          <w:rStyle w:val="table-note"/>
        </w:rPr>
        <w:t>METeOR</w:t>
      </w:r>
      <w:proofErr w:type="spellEnd"/>
      <w:r w:rsidRPr="00541ED8">
        <w:rPr>
          <w:rStyle w:val="table-note"/>
        </w:rPr>
        <w:t xml:space="preserve"> identifier 287611).</w:t>
      </w:r>
    </w:p>
    <w:p w:rsidR="002265C7" w:rsidRPr="00541ED8" w:rsidRDefault="002265C7" w:rsidP="00540186">
      <w:pPr>
        <w:pStyle w:val="TableFigNotesnumbered"/>
        <w:numPr>
          <w:ilvl w:val="0"/>
          <w:numId w:val="66"/>
        </w:numPr>
        <w:rPr>
          <w:rStyle w:val="table-note"/>
        </w:rPr>
      </w:pPr>
      <w:r w:rsidRPr="00541ED8">
        <w:rPr>
          <w:rStyle w:val="table-note"/>
        </w:rPr>
        <w:t>Includes registered and enrolled nurses.</w:t>
      </w:r>
    </w:p>
    <w:p w:rsidR="002265C7" w:rsidRPr="00541ED8" w:rsidRDefault="002265C7" w:rsidP="00540186">
      <w:pPr>
        <w:pStyle w:val="TableFigNotesnumbered"/>
        <w:numPr>
          <w:ilvl w:val="0"/>
          <w:numId w:val="66"/>
        </w:numPr>
        <w:rPr>
          <w:rStyle w:val="table-note"/>
        </w:rPr>
      </w:pPr>
      <w:r w:rsidRPr="00541ED8">
        <w:rPr>
          <w:rStyle w:val="table-note"/>
        </w:rPr>
        <w:t xml:space="preserve">The definition of these categories was modified from 'consultants' to 'mental health workers' for the 2010–11 collection, in order to capture a variety of contemporary roles. </w:t>
      </w:r>
    </w:p>
    <w:p w:rsidR="002265C7" w:rsidRPr="00541ED8" w:rsidRDefault="002265C7" w:rsidP="00540186">
      <w:pPr>
        <w:pStyle w:val="TableFigNotesnumbered"/>
        <w:numPr>
          <w:ilvl w:val="0"/>
          <w:numId w:val="66"/>
        </w:numPr>
        <w:rPr>
          <w:rStyle w:val="table-note"/>
        </w:rPr>
      </w:pPr>
      <w:r w:rsidRPr="00541ED8">
        <w:rPr>
          <w:rStyle w:val="table-note"/>
        </w:rPr>
        <w:lastRenderedPageBreak/>
        <w:t>Other personal care staff includes staff engaged primarily in the provision of personal care to patients or residents, not formally qualified, for example attendants, assistants of home assistance, home companions, family aides, ward helpers, warders, orderlies, ward assistants and nursing assistants (</w:t>
      </w:r>
      <w:proofErr w:type="spellStart"/>
      <w:r w:rsidRPr="00541ED8">
        <w:rPr>
          <w:rStyle w:val="table-note"/>
        </w:rPr>
        <w:t>METeOR</w:t>
      </w:r>
      <w:proofErr w:type="spellEnd"/>
      <w:r w:rsidRPr="00541ED8">
        <w:rPr>
          <w:rStyle w:val="table-note"/>
        </w:rPr>
        <w:t xml:space="preserve"> 270171).</w:t>
      </w:r>
    </w:p>
    <w:p w:rsidR="002265C7" w:rsidRPr="00541ED8" w:rsidRDefault="002265C7" w:rsidP="00540186">
      <w:pPr>
        <w:pStyle w:val="TableFigNotesnumbered"/>
        <w:numPr>
          <w:ilvl w:val="0"/>
          <w:numId w:val="66"/>
        </w:numPr>
        <w:rPr>
          <w:rStyle w:val="table-note"/>
        </w:rPr>
      </w:pPr>
      <w:r w:rsidRPr="00541ED8">
        <w:rPr>
          <w:rStyle w:val="table-note"/>
        </w:rPr>
        <w:t xml:space="preserve">Other </w:t>
      </w:r>
      <w:proofErr w:type="gramStart"/>
      <w:r w:rsidRPr="00541ED8">
        <w:rPr>
          <w:rStyle w:val="table-note"/>
        </w:rPr>
        <w:t>staff</w:t>
      </w:r>
      <w:proofErr w:type="gramEnd"/>
      <w:r w:rsidRPr="00541ED8">
        <w:rPr>
          <w:rStyle w:val="table-note"/>
        </w:rPr>
        <w:t xml:space="preserve"> includes administrative and clerical and domestic and other staff categories. </w:t>
      </w:r>
    </w:p>
    <w:p w:rsidR="002265C7" w:rsidRPr="00207B28" w:rsidRDefault="002265C7" w:rsidP="002265C7">
      <w:pPr>
        <w:spacing w:before="0" w:after="0" w:line="240" w:lineRule="auto"/>
        <w:rPr>
          <w:rFonts w:asciiTheme="minorHAnsi" w:hAnsiTheme="minorHAnsi" w:cstheme="minorHAnsi"/>
        </w:rPr>
      </w:pPr>
    </w:p>
    <w:p w:rsidR="002265C7" w:rsidRPr="008C2A85" w:rsidRDefault="002265C7" w:rsidP="00541ED8">
      <w:pPr>
        <w:pStyle w:val="TableFigNotesnumbered"/>
        <w:ind w:left="294" w:hanging="294"/>
        <w:rPr>
          <w:rFonts w:asciiTheme="minorHAnsi" w:hAnsiTheme="minorHAnsi" w:cstheme="minorHAnsi"/>
        </w:rPr>
      </w:pPr>
      <w:r w:rsidRPr="00541ED8">
        <w:rPr>
          <w:rStyle w:val="table-note"/>
        </w:rPr>
        <w:t>Notes:</w:t>
      </w:r>
      <w:r w:rsidRPr="008C2A85">
        <w:rPr>
          <w:rFonts w:asciiTheme="minorHAnsi" w:hAnsiTheme="minorHAnsi" w:cstheme="minorHAnsi"/>
        </w:rPr>
        <w:tab/>
      </w:r>
    </w:p>
    <w:p w:rsidR="002265C7" w:rsidRPr="00541ED8" w:rsidRDefault="002265C7" w:rsidP="00540186">
      <w:pPr>
        <w:pStyle w:val="TableFigNotesnumbered"/>
        <w:numPr>
          <w:ilvl w:val="0"/>
          <w:numId w:val="67"/>
        </w:numPr>
        <w:rPr>
          <w:rStyle w:val="table-note"/>
        </w:rPr>
      </w:pPr>
      <w:r w:rsidRPr="00541ED8">
        <w:rPr>
          <w:rStyle w:val="table-note"/>
        </w:rPr>
        <w:t xml:space="preserve">Includes consumer and carer workers and staff employed at a higher organisational level. Excludes staff employed at regional or state level in mental health policy units of the associated relevant health department or equivalent. </w:t>
      </w:r>
    </w:p>
    <w:p w:rsidR="002265C7" w:rsidRPr="0096114C" w:rsidRDefault="0096114C" w:rsidP="002265C7">
      <w:pPr>
        <w:pStyle w:val="TableCaption"/>
        <w:rPr>
          <w:rStyle w:val="table-note"/>
        </w:rPr>
      </w:pPr>
      <w:r w:rsidRPr="0096114C">
        <w:rPr>
          <w:rStyle w:val="table-note"/>
        </w:rPr>
        <w:t xml:space="preserve">Table 19: </w:t>
      </w:r>
      <w:r w:rsidR="002265C7" w:rsidRPr="0096114C">
        <w:rPr>
          <w:rStyle w:val="table-note"/>
        </w:rPr>
        <w:t>VIC: Full-time-equivalent staff, state and territory specialised mental health care facilities, by staffing category, 2011–12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VIC: Full-time-equivalent staff, state and territory specialised mental health care facilities, by staffing category, 2011–12"/>
        <w:tblDescription w:val="Table showing, in 2011-12, the number of full-time-equivalent (FTE) staff in specialised mental health care facilities across VIC region types.  Major cities have the highest number of all types of FTE staff at 5,298.2 and very remote have the least at 0.0. Nurses were the highest FTE staff type overall, across all region types, at 3,765.4."/>
      </w:tblPr>
      <w:tblGrid>
        <w:gridCol w:w="2386"/>
        <w:gridCol w:w="1165"/>
        <w:gridCol w:w="1361"/>
        <w:gridCol w:w="1227"/>
        <w:gridCol w:w="1017"/>
        <w:gridCol w:w="1063"/>
        <w:gridCol w:w="1067"/>
      </w:tblGrid>
      <w:tr w:rsidR="002265C7" w:rsidRPr="00B476FB" w:rsidTr="000C3DEA">
        <w:trPr>
          <w:tblHeader/>
        </w:trPr>
        <w:tc>
          <w:tcPr>
            <w:tcW w:w="2386" w:type="dxa"/>
          </w:tcPr>
          <w:p w:rsidR="002265C7" w:rsidRPr="00B476FB" w:rsidRDefault="002265C7" w:rsidP="002265C7">
            <w:pPr>
              <w:pStyle w:val="TableFigText"/>
              <w:keepNext/>
              <w:rPr>
                <w:rFonts w:asciiTheme="minorHAnsi" w:hAnsiTheme="minorHAnsi" w:cstheme="minorHAnsi"/>
                <w:szCs w:val="22"/>
              </w:rPr>
            </w:pPr>
          </w:p>
        </w:tc>
        <w:tc>
          <w:tcPr>
            <w:tcW w:w="1165" w:type="dxa"/>
          </w:tcPr>
          <w:p w:rsidR="002265C7" w:rsidRPr="00B476FB" w:rsidRDefault="002265C7" w:rsidP="002265C7">
            <w:pPr>
              <w:pStyle w:val="TableFigText"/>
              <w:keepNext/>
              <w:jc w:val="right"/>
              <w:rPr>
                <w:rFonts w:asciiTheme="minorHAnsi" w:hAnsiTheme="minorHAnsi" w:cstheme="minorHAnsi"/>
                <w:b/>
                <w:szCs w:val="22"/>
              </w:rPr>
            </w:pPr>
            <w:r w:rsidRPr="00B476FB">
              <w:rPr>
                <w:rFonts w:asciiTheme="minorHAnsi" w:hAnsiTheme="minorHAnsi" w:cstheme="minorHAnsi"/>
                <w:b/>
                <w:szCs w:val="22"/>
              </w:rPr>
              <w:t>Major cities</w:t>
            </w:r>
          </w:p>
        </w:tc>
        <w:tc>
          <w:tcPr>
            <w:tcW w:w="1361" w:type="dxa"/>
          </w:tcPr>
          <w:p w:rsidR="002265C7" w:rsidRPr="00B476FB" w:rsidRDefault="002265C7" w:rsidP="002265C7">
            <w:pPr>
              <w:pStyle w:val="TableFigText"/>
              <w:keepNext/>
              <w:jc w:val="right"/>
              <w:rPr>
                <w:rFonts w:asciiTheme="minorHAnsi" w:hAnsiTheme="minorHAnsi" w:cstheme="minorHAnsi"/>
                <w:b/>
                <w:szCs w:val="22"/>
              </w:rPr>
            </w:pPr>
            <w:r w:rsidRPr="00B476FB">
              <w:rPr>
                <w:rFonts w:asciiTheme="minorHAnsi" w:hAnsiTheme="minorHAnsi" w:cstheme="minorHAnsi"/>
                <w:b/>
                <w:szCs w:val="22"/>
              </w:rPr>
              <w:t>Inner regional</w:t>
            </w:r>
          </w:p>
        </w:tc>
        <w:tc>
          <w:tcPr>
            <w:tcW w:w="1227" w:type="dxa"/>
          </w:tcPr>
          <w:p w:rsidR="002265C7" w:rsidRPr="00B476FB" w:rsidRDefault="002265C7" w:rsidP="002265C7">
            <w:pPr>
              <w:pStyle w:val="TableFigText"/>
              <w:keepNext/>
              <w:jc w:val="right"/>
              <w:rPr>
                <w:rFonts w:asciiTheme="minorHAnsi" w:hAnsiTheme="minorHAnsi" w:cstheme="minorHAnsi"/>
                <w:b/>
                <w:szCs w:val="22"/>
              </w:rPr>
            </w:pPr>
            <w:r w:rsidRPr="00B476FB">
              <w:rPr>
                <w:rFonts w:asciiTheme="minorHAnsi" w:hAnsiTheme="minorHAnsi" w:cstheme="minorHAnsi"/>
                <w:b/>
                <w:szCs w:val="22"/>
              </w:rPr>
              <w:t>Outer regional</w:t>
            </w:r>
          </w:p>
        </w:tc>
        <w:tc>
          <w:tcPr>
            <w:tcW w:w="1017" w:type="dxa"/>
          </w:tcPr>
          <w:p w:rsidR="002265C7" w:rsidRPr="00B476FB" w:rsidRDefault="002265C7" w:rsidP="002265C7">
            <w:pPr>
              <w:pStyle w:val="TableFigText"/>
              <w:keepNext/>
              <w:jc w:val="right"/>
              <w:rPr>
                <w:rFonts w:asciiTheme="minorHAnsi" w:hAnsiTheme="minorHAnsi" w:cstheme="minorHAnsi"/>
                <w:b/>
                <w:szCs w:val="22"/>
              </w:rPr>
            </w:pPr>
            <w:r w:rsidRPr="00B476FB">
              <w:rPr>
                <w:rFonts w:asciiTheme="minorHAnsi" w:hAnsiTheme="minorHAnsi" w:cstheme="minorHAnsi"/>
                <w:b/>
                <w:szCs w:val="22"/>
              </w:rPr>
              <w:t>Remote</w:t>
            </w:r>
          </w:p>
        </w:tc>
        <w:tc>
          <w:tcPr>
            <w:tcW w:w="1063" w:type="dxa"/>
          </w:tcPr>
          <w:p w:rsidR="002265C7" w:rsidRPr="00B476FB" w:rsidRDefault="002265C7" w:rsidP="002265C7">
            <w:pPr>
              <w:pStyle w:val="TableFigText"/>
              <w:keepNext/>
              <w:jc w:val="right"/>
              <w:rPr>
                <w:rFonts w:asciiTheme="minorHAnsi" w:hAnsiTheme="minorHAnsi" w:cstheme="minorHAnsi"/>
                <w:b/>
                <w:szCs w:val="22"/>
              </w:rPr>
            </w:pPr>
            <w:r w:rsidRPr="00B476FB">
              <w:rPr>
                <w:rFonts w:asciiTheme="minorHAnsi" w:hAnsiTheme="minorHAnsi" w:cstheme="minorHAnsi"/>
                <w:b/>
                <w:szCs w:val="22"/>
              </w:rPr>
              <w:t>Very remote</w:t>
            </w:r>
          </w:p>
        </w:tc>
        <w:tc>
          <w:tcPr>
            <w:tcW w:w="1067" w:type="dxa"/>
          </w:tcPr>
          <w:p w:rsidR="002265C7" w:rsidRPr="00B476FB" w:rsidRDefault="002265C7" w:rsidP="002265C7">
            <w:pPr>
              <w:pStyle w:val="TableFigText"/>
              <w:keepNext/>
              <w:jc w:val="right"/>
              <w:rPr>
                <w:rFonts w:asciiTheme="minorHAnsi" w:hAnsiTheme="minorHAnsi" w:cstheme="minorHAnsi"/>
                <w:b/>
                <w:szCs w:val="22"/>
              </w:rPr>
            </w:pPr>
            <w:r w:rsidRPr="00B476FB">
              <w:rPr>
                <w:rFonts w:asciiTheme="minorHAnsi" w:hAnsiTheme="minorHAnsi" w:cstheme="minorHAnsi"/>
                <w:b/>
                <w:szCs w:val="22"/>
              </w:rPr>
              <w:t>Total</w:t>
            </w:r>
            <w:r w:rsidRPr="00E86D05">
              <w:rPr>
                <w:rFonts w:asciiTheme="minorHAnsi" w:hAnsiTheme="minorHAnsi" w:cstheme="minorHAnsi"/>
                <w:b/>
                <w:szCs w:val="22"/>
                <w:vertAlign w:val="superscript"/>
              </w:rPr>
              <w:t>(a)</w:t>
            </w:r>
          </w:p>
        </w:tc>
      </w:tr>
      <w:tr w:rsidR="002265C7" w:rsidRPr="00B476FB" w:rsidTr="002265C7">
        <w:tc>
          <w:tcPr>
            <w:tcW w:w="2386" w:type="dxa"/>
          </w:tcPr>
          <w:p w:rsidR="002265C7" w:rsidRPr="00B476FB" w:rsidRDefault="002265C7" w:rsidP="002265C7">
            <w:pPr>
              <w:pStyle w:val="TableFigText"/>
              <w:keepNext/>
              <w:rPr>
                <w:rFonts w:asciiTheme="minorHAnsi" w:hAnsiTheme="minorHAnsi" w:cstheme="minorHAnsi"/>
                <w:szCs w:val="22"/>
              </w:rPr>
            </w:pPr>
            <w:r w:rsidRPr="00B476FB">
              <w:rPr>
                <w:rFonts w:asciiTheme="minorHAnsi" w:hAnsiTheme="minorHAnsi" w:cstheme="minorHAnsi"/>
                <w:szCs w:val="22"/>
              </w:rPr>
              <w:t>Consultant psychiatrists and psychiatrists</w:t>
            </w:r>
          </w:p>
        </w:tc>
        <w:tc>
          <w:tcPr>
            <w:tcW w:w="1165" w:type="dxa"/>
            <w:vAlign w:val="bottom"/>
          </w:tcPr>
          <w:p w:rsidR="002265C7" w:rsidRPr="0029323B" w:rsidRDefault="002265C7" w:rsidP="00D27F8A">
            <w:pPr>
              <w:pStyle w:val="TableFigText"/>
              <w:jc w:val="right"/>
            </w:pPr>
            <w:r w:rsidRPr="0029323B">
              <w:t>232.1</w:t>
            </w:r>
          </w:p>
        </w:tc>
        <w:tc>
          <w:tcPr>
            <w:tcW w:w="1361" w:type="dxa"/>
            <w:vAlign w:val="bottom"/>
          </w:tcPr>
          <w:p w:rsidR="002265C7" w:rsidRPr="0029323B" w:rsidRDefault="002265C7" w:rsidP="00D27F8A">
            <w:pPr>
              <w:pStyle w:val="TableFigText"/>
              <w:jc w:val="right"/>
            </w:pPr>
            <w:r w:rsidRPr="0029323B">
              <w:t>51.5</w:t>
            </w:r>
          </w:p>
        </w:tc>
        <w:tc>
          <w:tcPr>
            <w:tcW w:w="1227" w:type="dxa"/>
            <w:vAlign w:val="bottom"/>
          </w:tcPr>
          <w:p w:rsidR="002265C7" w:rsidRPr="0029323B" w:rsidRDefault="002265C7" w:rsidP="00D27F8A">
            <w:pPr>
              <w:pStyle w:val="TableFigText"/>
              <w:jc w:val="right"/>
            </w:pPr>
            <w:r w:rsidRPr="0029323B">
              <w:t>6.6</w:t>
            </w:r>
          </w:p>
        </w:tc>
        <w:tc>
          <w:tcPr>
            <w:tcW w:w="1017" w:type="dxa"/>
            <w:vAlign w:val="bottom"/>
          </w:tcPr>
          <w:p w:rsidR="002265C7" w:rsidRPr="0029323B" w:rsidRDefault="002265C7" w:rsidP="00D27F8A">
            <w:pPr>
              <w:pStyle w:val="TableFigText"/>
              <w:jc w:val="right"/>
            </w:pPr>
            <w:r w:rsidRPr="0029323B">
              <w:t>0.2</w:t>
            </w:r>
          </w:p>
        </w:tc>
        <w:tc>
          <w:tcPr>
            <w:tcW w:w="1063" w:type="dxa"/>
            <w:vAlign w:val="bottom"/>
          </w:tcPr>
          <w:p w:rsidR="002265C7" w:rsidRPr="0029323B" w:rsidRDefault="002265C7" w:rsidP="00D27F8A">
            <w:pPr>
              <w:pStyle w:val="TableFigText"/>
              <w:jc w:val="right"/>
            </w:pPr>
            <w:r w:rsidRPr="0029323B">
              <w:t>0.0</w:t>
            </w:r>
          </w:p>
        </w:tc>
        <w:tc>
          <w:tcPr>
            <w:tcW w:w="1067" w:type="dxa"/>
            <w:vAlign w:val="bottom"/>
          </w:tcPr>
          <w:p w:rsidR="002265C7" w:rsidRPr="0029323B" w:rsidRDefault="002265C7" w:rsidP="00D27F8A">
            <w:pPr>
              <w:pStyle w:val="TableFigText"/>
              <w:jc w:val="right"/>
            </w:pPr>
            <w:r w:rsidRPr="0029323B">
              <w:t>290.4</w:t>
            </w:r>
          </w:p>
        </w:tc>
      </w:tr>
      <w:tr w:rsidR="002265C7" w:rsidRPr="00B476FB" w:rsidTr="002265C7">
        <w:tc>
          <w:tcPr>
            <w:tcW w:w="2386" w:type="dxa"/>
          </w:tcPr>
          <w:p w:rsidR="002265C7" w:rsidRPr="00B476FB" w:rsidRDefault="002265C7" w:rsidP="002265C7">
            <w:pPr>
              <w:pStyle w:val="TableFigText"/>
              <w:keepNext/>
              <w:rPr>
                <w:rFonts w:asciiTheme="minorHAnsi" w:hAnsiTheme="minorHAnsi" w:cstheme="minorHAnsi"/>
                <w:szCs w:val="22"/>
              </w:rPr>
            </w:pPr>
            <w:r w:rsidRPr="00B476FB">
              <w:rPr>
                <w:rFonts w:asciiTheme="minorHAnsi" w:hAnsiTheme="minorHAnsi" w:cstheme="minorHAnsi"/>
                <w:szCs w:val="22"/>
              </w:rPr>
              <w:t>Psychiatry registrars and trainees</w:t>
            </w:r>
          </w:p>
        </w:tc>
        <w:tc>
          <w:tcPr>
            <w:tcW w:w="1165" w:type="dxa"/>
            <w:vAlign w:val="bottom"/>
          </w:tcPr>
          <w:p w:rsidR="002265C7" w:rsidRPr="0029323B" w:rsidRDefault="002265C7" w:rsidP="00D27F8A">
            <w:pPr>
              <w:pStyle w:val="TableFigText"/>
              <w:jc w:val="right"/>
            </w:pPr>
            <w:r w:rsidRPr="0029323B">
              <w:t>280.1</w:t>
            </w:r>
          </w:p>
        </w:tc>
        <w:tc>
          <w:tcPr>
            <w:tcW w:w="1361" w:type="dxa"/>
            <w:vAlign w:val="bottom"/>
          </w:tcPr>
          <w:p w:rsidR="002265C7" w:rsidRPr="0029323B" w:rsidRDefault="002265C7" w:rsidP="00D27F8A">
            <w:pPr>
              <w:pStyle w:val="TableFigText"/>
              <w:jc w:val="right"/>
            </w:pPr>
            <w:r w:rsidRPr="0029323B">
              <w:t>14.3</w:t>
            </w:r>
          </w:p>
        </w:tc>
        <w:tc>
          <w:tcPr>
            <w:tcW w:w="1227" w:type="dxa"/>
            <w:vAlign w:val="bottom"/>
          </w:tcPr>
          <w:p w:rsidR="002265C7" w:rsidRPr="0029323B" w:rsidRDefault="002265C7" w:rsidP="00D27F8A">
            <w:pPr>
              <w:pStyle w:val="TableFigText"/>
              <w:jc w:val="right"/>
            </w:pPr>
            <w:r w:rsidRPr="0029323B">
              <w:t>1.6</w:t>
            </w:r>
          </w:p>
        </w:tc>
        <w:tc>
          <w:tcPr>
            <w:tcW w:w="1017" w:type="dxa"/>
            <w:vAlign w:val="bottom"/>
          </w:tcPr>
          <w:p w:rsidR="002265C7" w:rsidRPr="0029323B" w:rsidRDefault="002265C7" w:rsidP="00D27F8A">
            <w:pPr>
              <w:pStyle w:val="TableFigText"/>
              <w:jc w:val="right"/>
            </w:pPr>
            <w:r w:rsidRPr="0029323B">
              <w:t>0.0</w:t>
            </w:r>
          </w:p>
        </w:tc>
        <w:tc>
          <w:tcPr>
            <w:tcW w:w="1063" w:type="dxa"/>
            <w:vAlign w:val="bottom"/>
          </w:tcPr>
          <w:p w:rsidR="002265C7" w:rsidRPr="0029323B" w:rsidRDefault="002265C7" w:rsidP="00D27F8A">
            <w:pPr>
              <w:pStyle w:val="TableFigText"/>
              <w:jc w:val="right"/>
            </w:pPr>
            <w:r w:rsidRPr="0029323B">
              <w:t>0.0</w:t>
            </w:r>
          </w:p>
        </w:tc>
        <w:tc>
          <w:tcPr>
            <w:tcW w:w="1067" w:type="dxa"/>
            <w:vAlign w:val="bottom"/>
          </w:tcPr>
          <w:p w:rsidR="002265C7" w:rsidRPr="0029323B" w:rsidRDefault="002265C7" w:rsidP="00D27F8A">
            <w:pPr>
              <w:pStyle w:val="TableFigText"/>
              <w:jc w:val="right"/>
            </w:pPr>
            <w:r w:rsidRPr="0029323B">
              <w:t>296.1</w:t>
            </w:r>
          </w:p>
        </w:tc>
      </w:tr>
      <w:tr w:rsidR="002265C7" w:rsidRPr="00B476FB" w:rsidTr="002265C7">
        <w:tc>
          <w:tcPr>
            <w:tcW w:w="2386" w:type="dxa"/>
          </w:tcPr>
          <w:p w:rsidR="002265C7" w:rsidRPr="00B476FB" w:rsidRDefault="002265C7" w:rsidP="002265C7">
            <w:pPr>
              <w:pStyle w:val="TableFigText"/>
              <w:keepNext/>
              <w:rPr>
                <w:rFonts w:asciiTheme="minorHAnsi" w:hAnsiTheme="minorHAnsi" w:cstheme="minorHAnsi"/>
                <w:szCs w:val="22"/>
              </w:rPr>
            </w:pPr>
            <w:r w:rsidRPr="00B476FB">
              <w:rPr>
                <w:rFonts w:asciiTheme="minorHAnsi" w:hAnsiTheme="minorHAnsi" w:cstheme="minorHAnsi"/>
                <w:szCs w:val="22"/>
              </w:rPr>
              <w:t>Other medical officers</w:t>
            </w:r>
          </w:p>
        </w:tc>
        <w:tc>
          <w:tcPr>
            <w:tcW w:w="1165" w:type="dxa"/>
            <w:vAlign w:val="bottom"/>
          </w:tcPr>
          <w:p w:rsidR="002265C7" w:rsidRPr="0029323B" w:rsidRDefault="002265C7" w:rsidP="00D27F8A">
            <w:pPr>
              <w:pStyle w:val="TableFigText"/>
              <w:jc w:val="right"/>
            </w:pPr>
            <w:r w:rsidRPr="0029323B">
              <w:t>83.7</w:t>
            </w:r>
          </w:p>
        </w:tc>
        <w:tc>
          <w:tcPr>
            <w:tcW w:w="1361" w:type="dxa"/>
            <w:vAlign w:val="bottom"/>
          </w:tcPr>
          <w:p w:rsidR="002265C7" w:rsidRPr="0029323B" w:rsidRDefault="002265C7" w:rsidP="00D27F8A">
            <w:pPr>
              <w:pStyle w:val="TableFigText"/>
              <w:jc w:val="right"/>
            </w:pPr>
            <w:r w:rsidRPr="0029323B">
              <w:t>12.5</w:t>
            </w:r>
          </w:p>
        </w:tc>
        <w:tc>
          <w:tcPr>
            <w:tcW w:w="1227" w:type="dxa"/>
            <w:vAlign w:val="bottom"/>
          </w:tcPr>
          <w:p w:rsidR="002265C7" w:rsidRPr="0029323B" w:rsidRDefault="002265C7" w:rsidP="00D27F8A">
            <w:pPr>
              <w:pStyle w:val="TableFigText"/>
              <w:jc w:val="right"/>
            </w:pPr>
            <w:r w:rsidRPr="0029323B">
              <w:t>1.0</w:t>
            </w:r>
          </w:p>
        </w:tc>
        <w:tc>
          <w:tcPr>
            <w:tcW w:w="1017" w:type="dxa"/>
            <w:vAlign w:val="bottom"/>
          </w:tcPr>
          <w:p w:rsidR="002265C7" w:rsidRPr="0029323B" w:rsidRDefault="002265C7" w:rsidP="00D27F8A">
            <w:pPr>
              <w:pStyle w:val="TableFigText"/>
              <w:jc w:val="right"/>
            </w:pPr>
            <w:r w:rsidRPr="0029323B">
              <w:t>0.0</w:t>
            </w:r>
          </w:p>
        </w:tc>
        <w:tc>
          <w:tcPr>
            <w:tcW w:w="1063" w:type="dxa"/>
            <w:vAlign w:val="bottom"/>
          </w:tcPr>
          <w:p w:rsidR="002265C7" w:rsidRPr="0029323B" w:rsidRDefault="002265C7" w:rsidP="00D27F8A">
            <w:pPr>
              <w:pStyle w:val="TableFigText"/>
              <w:jc w:val="right"/>
            </w:pPr>
            <w:r w:rsidRPr="0029323B">
              <w:t>0.0</w:t>
            </w:r>
          </w:p>
        </w:tc>
        <w:tc>
          <w:tcPr>
            <w:tcW w:w="1067" w:type="dxa"/>
            <w:vAlign w:val="bottom"/>
          </w:tcPr>
          <w:p w:rsidR="002265C7" w:rsidRPr="0029323B" w:rsidRDefault="002265C7" w:rsidP="00D27F8A">
            <w:pPr>
              <w:pStyle w:val="TableFigText"/>
              <w:jc w:val="right"/>
            </w:pPr>
            <w:r w:rsidRPr="0029323B">
              <w:t>97.2</w:t>
            </w:r>
          </w:p>
        </w:tc>
      </w:tr>
      <w:tr w:rsidR="002265C7" w:rsidRPr="00B476FB" w:rsidTr="002265C7">
        <w:tc>
          <w:tcPr>
            <w:tcW w:w="2386" w:type="dxa"/>
          </w:tcPr>
          <w:p w:rsidR="002265C7" w:rsidRPr="00B476FB" w:rsidRDefault="002265C7" w:rsidP="002265C7">
            <w:pPr>
              <w:pStyle w:val="TableFigText"/>
              <w:keepNext/>
              <w:rPr>
                <w:rFonts w:asciiTheme="minorHAnsi" w:hAnsiTheme="minorHAnsi" w:cstheme="minorHAnsi"/>
                <w:szCs w:val="22"/>
              </w:rPr>
            </w:pPr>
            <w:r w:rsidRPr="00B476FB">
              <w:rPr>
                <w:rFonts w:asciiTheme="minorHAnsi" w:hAnsiTheme="minorHAnsi" w:cstheme="minorHAnsi"/>
                <w:szCs w:val="22"/>
              </w:rPr>
              <w:t>Psychologists</w:t>
            </w:r>
          </w:p>
        </w:tc>
        <w:tc>
          <w:tcPr>
            <w:tcW w:w="1165" w:type="dxa"/>
            <w:vAlign w:val="bottom"/>
          </w:tcPr>
          <w:p w:rsidR="002265C7" w:rsidRPr="0029323B" w:rsidRDefault="002265C7" w:rsidP="00D27F8A">
            <w:pPr>
              <w:pStyle w:val="TableFigText"/>
              <w:jc w:val="right"/>
            </w:pPr>
            <w:r w:rsidRPr="0029323B">
              <w:t>297.0</w:t>
            </w:r>
          </w:p>
        </w:tc>
        <w:tc>
          <w:tcPr>
            <w:tcW w:w="1361" w:type="dxa"/>
            <w:vAlign w:val="bottom"/>
          </w:tcPr>
          <w:p w:rsidR="002265C7" w:rsidRPr="0029323B" w:rsidRDefault="002265C7" w:rsidP="00D27F8A">
            <w:pPr>
              <w:pStyle w:val="TableFigText"/>
              <w:jc w:val="right"/>
            </w:pPr>
            <w:r w:rsidRPr="0029323B">
              <w:t>106.8</w:t>
            </w:r>
          </w:p>
        </w:tc>
        <w:tc>
          <w:tcPr>
            <w:tcW w:w="1227" w:type="dxa"/>
            <w:vAlign w:val="bottom"/>
          </w:tcPr>
          <w:p w:rsidR="002265C7" w:rsidRPr="0029323B" w:rsidRDefault="002265C7" w:rsidP="00D27F8A">
            <w:pPr>
              <w:pStyle w:val="TableFigText"/>
              <w:jc w:val="right"/>
            </w:pPr>
            <w:r w:rsidRPr="0029323B">
              <w:t>17.5</w:t>
            </w:r>
          </w:p>
        </w:tc>
        <w:tc>
          <w:tcPr>
            <w:tcW w:w="1017" w:type="dxa"/>
            <w:vAlign w:val="bottom"/>
          </w:tcPr>
          <w:p w:rsidR="002265C7" w:rsidRPr="0029323B" w:rsidRDefault="002265C7" w:rsidP="00D27F8A">
            <w:pPr>
              <w:pStyle w:val="TableFigText"/>
              <w:jc w:val="right"/>
            </w:pPr>
            <w:r w:rsidRPr="0029323B">
              <w:t>0.6</w:t>
            </w:r>
          </w:p>
        </w:tc>
        <w:tc>
          <w:tcPr>
            <w:tcW w:w="1063" w:type="dxa"/>
            <w:vAlign w:val="bottom"/>
          </w:tcPr>
          <w:p w:rsidR="002265C7" w:rsidRPr="0029323B" w:rsidRDefault="002265C7" w:rsidP="00D27F8A">
            <w:pPr>
              <w:pStyle w:val="TableFigText"/>
              <w:jc w:val="right"/>
            </w:pPr>
            <w:r w:rsidRPr="0029323B">
              <w:t>0.0</w:t>
            </w:r>
          </w:p>
        </w:tc>
        <w:tc>
          <w:tcPr>
            <w:tcW w:w="1067" w:type="dxa"/>
            <w:vAlign w:val="bottom"/>
          </w:tcPr>
          <w:p w:rsidR="002265C7" w:rsidRPr="0029323B" w:rsidRDefault="002265C7" w:rsidP="00D27F8A">
            <w:pPr>
              <w:pStyle w:val="TableFigText"/>
              <w:jc w:val="right"/>
            </w:pPr>
            <w:r w:rsidRPr="0029323B">
              <w:t>422.0</w:t>
            </w:r>
          </w:p>
        </w:tc>
      </w:tr>
      <w:tr w:rsidR="002265C7" w:rsidRPr="00B476FB" w:rsidTr="002265C7">
        <w:tc>
          <w:tcPr>
            <w:tcW w:w="2386" w:type="dxa"/>
          </w:tcPr>
          <w:p w:rsidR="002265C7" w:rsidRPr="00B476FB" w:rsidRDefault="002265C7" w:rsidP="002265C7">
            <w:pPr>
              <w:pStyle w:val="TableFigText"/>
              <w:keepNext/>
              <w:rPr>
                <w:rFonts w:asciiTheme="minorHAnsi" w:hAnsiTheme="minorHAnsi" w:cstheme="minorHAnsi"/>
                <w:szCs w:val="22"/>
              </w:rPr>
            </w:pPr>
            <w:r w:rsidRPr="00B476FB">
              <w:rPr>
                <w:rFonts w:asciiTheme="minorHAnsi" w:hAnsiTheme="minorHAnsi" w:cstheme="minorHAnsi"/>
                <w:szCs w:val="22"/>
              </w:rPr>
              <w:t>Diagnostic and health professionals</w:t>
            </w:r>
            <w:r w:rsidRPr="00B476FB">
              <w:rPr>
                <w:rFonts w:asciiTheme="minorHAnsi" w:hAnsiTheme="minorHAnsi" w:cstheme="minorHAnsi"/>
                <w:szCs w:val="22"/>
                <w:vertAlign w:val="superscript"/>
              </w:rPr>
              <w:t>(b)</w:t>
            </w:r>
          </w:p>
        </w:tc>
        <w:tc>
          <w:tcPr>
            <w:tcW w:w="1165" w:type="dxa"/>
            <w:vAlign w:val="bottom"/>
          </w:tcPr>
          <w:p w:rsidR="002265C7" w:rsidRPr="0029323B" w:rsidRDefault="002265C7" w:rsidP="00D27F8A">
            <w:pPr>
              <w:pStyle w:val="TableFigText"/>
              <w:jc w:val="right"/>
            </w:pPr>
            <w:r w:rsidRPr="0029323B">
              <w:t>733.6</w:t>
            </w:r>
          </w:p>
        </w:tc>
        <w:tc>
          <w:tcPr>
            <w:tcW w:w="1361" w:type="dxa"/>
            <w:vAlign w:val="bottom"/>
          </w:tcPr>
          <w:p w:rsidR="002265C7" w:rsidRPr="0029323B" w:rsidRDefault="002265C7" w:rsidP="00D27F8A">
            <w:pPr>
              <w:pStyle w:val="TableFigText"/>
              <w:jc w:val="right"/>
            </w:pPr>
            <w:r w:rsidRPr="0029323B">
              <w:t>143.5</w:t>
            </w:r>
          </w:p>
        </w:tc>
        <w:tc>
          <w:tcPr>
            <w:tcW w:w="1227" w:type="dxa"/>
            <w:vAlign w:val="bottom"/>
          </w:tcPr>
          <w:p w:rsidR="002265C7" w:rsidRPr="0029323B" w:rsidRDefault="002265C7" w:rsidP="00D27F8A">
            <w:pPr>
              <w:pStyle w:val="TableFigText"/>
              <w:jc w:val="right"/>
            </w:pPr>
            <w:r w:rsidRPr="0029323B">
              <w:t>16.6</w:t>
            </w:r>
          </w:p>
        </w:tc>
        <w:tc>
          <w:tcPr>
            <w:tcW w:w="1017" w:type="dxa"/>
            <w:vAlign w:val="bottom"/>
          </w:tcPr>
          <w:p w:rsidR="002265C7" w:rsidRPr="0029323B" w:rsidRDefault="002265C7" w:rsidP="00D27F8A">
            <w:pPr>
              <w:pStyle w:val="TableFigText"/>
              <w:jc w:val="right"/>
            </w:pPr>
            <w:r w:rsidRPr="0029323B">
              <w:t>0.2</w:t>
            </w:r>
          </w:p>
        </w:tc>
        <w:tc>
          <w:tcPr>
            <w:tcW w:w="1063" w:type="dxa"/>
            <w:vAlign w:val="bottom"/>
          </w:tcPr>
          <w:p w:rsidR="002265C7" w:rsidRPr="0029323B" w:rsidRDefault="002265C7" w:rsidP="00D27F8A">
            <w:pPr>
              <w:pStyle w:val="TableFigText"/>
              <w:jc w:val="right"/>
            </w:pPr>
            <w:r w:rsidRPr="0029323B">
              <w:t>0.0</w:t>
            </w:r>
          </w:p>
        </w:tc>
        <w:tc>
          <w:tcPr>
            <w:tcW w:w="1067" w:type="dxa"/>
            <w:vAlign w:val="bottom"/>
          </w:tcPr>
          <w:p w:rsidR="002265C7" w:rsidRPr="0029323B" w:rsidRDefault="002265C7" w:rsidP="00D27F8A">
            <w:pPr>
              <w:pStyle w:val="TableFigText"/>
              <w:jc w:val="right"/>
            </w:pPr>
            <w:r w:rsidRPr="0029323B">
              <w:t>893.8</w:t>
            </w:r>
          </w:p>
        </w:tc>
      </w:tr>
      <w:tr w:rsidR="002265C7" w:rsidRPr="00B476FB" w:rsidTr="002265C7">
        <w:tc>
          <w:tcPr>
            <w:tcW w:w="2386" w:type="dxa"/>
          </w:tcPr>
          <w:p w:rsidR="002265C7" w:rsidRPr="00B476FB" w:rsidRDefault="002265C7" w:rsidP="002265C7">
            <w:pPr>
              <w:pStyle w:val="TableFigText"/>
              <w:keepNext/>
              <w:rPr>
                <w:rFonts w:asciiTheme="minorHAnsi" w:hAnsiTheme="minorHAnsi" w:cstheme="minorHAnsi"/>
                <w:szCs w:val="22"/>
              </w:rPr>
            </w:pPr>
            <w:r w:rsidRPr="00B476FB">
              <w:rPr>
                <w:rFonts w:asciiTheme="minorHAnsi" w:hAnsiTheme="minorHAnsi" w:cstheme="minorHAnsi"/>
                <w:szCs w:val="22"/>
              </w:rPr>
              <w:t>Nurses</w:t>
            </w:r>
            <w:r w:rsidRPr="00B476FB">
              <w:rPr>
                <w:rFonts w:asciiTheme="minorHAnsi" w:hAnsiTheme="minorHAnsi" w:cstheme="minorHAnsi"/>
                <w:szCs w:val="22"/>
                <w:vertAlign w:val="superscript"/>
              </w:rPr>
              <w:t>(c)</w:t>
            </w:r>
          </w:p>
        </w:tc>
        <w:tc>
          <w:tcPr>
            <w:tcW w:w="1165" w:type="dxa"/>
            <w:vAlign w:val="bottom"/>
          </w:tcPr>
          <w:p w:rsidR="002265C7" w:rsidRPr="0029323B" w:rsidRDefault="002265C7" w:rsidP="00D27F8A">
            <w:pPr>
              <w:pStyle w:val="TableFigText"/>
              <w:jc w:val="right"/>
            </w:pPr>
            <w:r w:rsidRPr="0029323B">
              <w:t>2,935.2</w:t>
            </w:r>
          </w:p>
        </w:tc>
        <w:tc>
          <w:tcPr>
            <w:tcW w:w="1361" w:type="dxa"/>
            <w:vAlign w:val="bottom"/>
          </w:tcPr>
          <w:p w:rsidR="002265C7" w:rsidRPr="0029323B" w:rsidRDefault="002265C7" w:rsidP="00D27F8A">
            <w:pPr>
              <w:pStyle w:val="TableFigText"/>
              <w:jc w:val="right"/>
            </w:pPr>
            <w:r w:rsidRPr="0029323B">
              <w:t>757.8</w:t>
            </w:r>
          </w:p>
        </w:tc>
        <w:tc>
          <w:tcPr>
            <w:tcW w:w="1227" w:type="dxa"/>
            <w:vAlign w:val="bottom"/>
          </w:tcPr>
          <w:p w:rsidR="002265C7" w:rsidRPr="0029323B" w:rsidRDefault="002265C7" w:rsidP="00D27F8A">
            <w:pPr>
              <w:pStyle w:val="TableFigText"/>
              <w:jc w:val="right"/>
            </w:pPr>
            <w:r w:rsidRPr="0029323B">
              <w:t>70.5</w:t>
            </w:r>
          </w:p>
        </w:tc>
        <w:tc>
          <w:tcPr>
            <w:tcW w:w="1017" w:type="dxa"/>
            <w:vAlign w:val="bottom"/>
          </w:tcPr>
          <w:p w:rsidR="002265C7" w:rsidRPr="0029323B" w:rsidRDefault="002265C7" w:rsidP="00D27F8A">
            <w:pPr>
              <w:pStyle w:val="TableFigText"/>
              <w:jc w:val="right"/>
            </w:pPr>
            <w:r w:rsidRPr="0029323B">
              <w:t>2.0</w:t>
            </w:r>
          </w:p>
        </w:tc>
        <w:tc>
          <w:tcPr>
            <w:tcW w:w="1063" w:type="dxa"/>
            <w:vAlign w:val="bottom"/>
          </w:tcPr>
          <w:p w:rsidR="002265C7" w:rsidRPr="0029323B" w:rsidRDefault="002265C7" w:rsidP="00D27F8A">
            <w:pPr>
              <w:pStyle w:val="TableFigText"/>
              <w:jc w:val="right"/>
            </w:pPr>
            <w:r w:rsidRPr="0029323B">
              <w:t>0.0</w:t>
            </w:r>
          </w:p>
        </w:tc>
        <w:tc>
          <w:tcPr>
            <w:tcW w:w="1067" w:type="dxa"/>
            <w:vAlign w:val="bottom"/>
          </w:tcPr>
          <w:p w:rsidR="002265C7" w:rsidRPr="0029323B" w:rsidRDefault="002265C7" w:rsidP="00D27F8A">
            <w:pPr>
              <w:pStyle w:val="TableFigText"/>
              <w:jc w:val="right"/>
            </w:pPr>
            <w:r w:rsidRPr="0029323B">
              <w:t>3,765.4</w:t>
            </w:r>
          </w:p>
        </w:tc>
      </w:tr>
      <w:tr w:rsidR="002265C7" w:rsidRPr="00B476FB" w:rsidTr="002265C7">
        <w:tc>
          <w:tcPr>
            <w:tcW w:w="2386" w:type="dxa"/>
          </w:tcPr>
          <w:p w:rsidR="002265C7" w:rsidRPr="00B476FB" w:rsidRDefault="002265C7" w:rsidP="002265C7">
            <w:pPr>
              <w:pStyle w:val="TableFigText"/>
              <w:keepNext/>
              <w:rPr>
                <w:rFonts w:asciiTheme="minorHAnsi" w:hAnsiTheme="minorHAnsi" w:cstheme="minorHAnsi"/>
                <w:szCs w:val="22"/>
              </w:rPr>
            </w:pPr>
            <w:r w:rsidRPr="00B476FB">
              <w:rPr>
                <w:rFonts w:asciiTheme="minorHAnsi" w:hAnsiTheme="minorHAnsi" w:cstheme="minorHAnsi"/>
                <w:szCs w:val="22"/>
              </w:rPr>
              <w:t>Carer workers</w:t>
            </w:r>
            <w:r w:rsidRPr="00B476FB">
              <w:rPr>
                <w:rFonts w:asciiTheme="minorHAnsi" w:hAnsiTheme="minorHAnsi" w:cstheme="minorHAnsi"/>
                <w:szCs w:val="22"/>
                <w:vertAlign w:val="superscript"/>
              </w:rPr>
              <w:t>(d)</w:t>
            </w:r>
          </w:p>
        </w:tc>
        <w:tc>
          <w:tcPr>
            <w:tcW w:w="1165" w:type="dxa"/>
            <w:vAlign w:val="bottom"/>
          </w:tcPr>
          <w:p w:rsidR="002265C7" w:rsidRPr="0029323B" w:rsidRDefault="002265C7" w:rsidP="00D27F8A">
            <w:pPr>
              <w:pStyle w:val="TableFigText"/>
              <w:jc w:val="right"/>
            </w:pPr>
            <w:r w:rsidRPr="0029323B">
              <w:t>12.1</w:t>
            </w:r>
          </w:p>
        </w:tc>
        <w:tc>
          <w:tcPr>
            <w:tcW w:w="1361" w:type="dxa"/>
            <w:vAlign w:val="bottom"/>
          </w:tcPr>
          <w:p w:rsidR="002265C7" w:rsidRPr="0029323B" w:rsidRDefault="002265C7" w:rsidP="00D27F8A">
            <w:pPr>
              <w:pStyle w:val="TableFigText"/>
              <w:jc w:val="right"/>
            </w:pPr>
            <w:r w:rsidRPr="0029323B">
              <w:t>5.0</w:t>
            </w:r>
          </w:p>
        </w:tc>
        <w:tc>
          <w:tcPr>
            <w:tcW w:w="1227" w:type="dxa"/>
            <w:vAlign w:val="bottom"/>
          </w:tcPr>
          <w:p w:rsidR="002265C7" w:rsidRPr="0029323B" w:rsidRDefault="002265C7" w:rsidP="00D27F8A">
            <w:pPr>
              <w:pStyle w:val="TableFigText"/>
              <w:jc w:val="right"/>
            </w:pPr>
            <w:r w:rsidRPr="0029323B">
              <w:t>1.4</w:t>
            </w:r>
          </w:p>
        </w:tc>
        <w:tc>
          <w:tcPr>
            <w:tcW w:w="1017" w:type="dxa"/>
            <w:vAlign w:val="bottom"/>
          </w:tcPr>
          <w:p w:rsidR="002265C7" w:rsidRPr="0029323B" w:rsidRDefault="002265C7" w:rsidP="00D27F8A">
            <w:pPr>
              <w:pStyle w:val="TableFigText"/>
              <w:jc w:val="right"/>
            </w:pPr>
            <w:r w:rsidRPr="0029323B">
              <w:t>0.0</w:t>
            </w:r>
          </w:p>
        </w:tc>
        <w:tc>
          <w:tcPr>
            <w:tcW w:w="1063" w:type="dxa"/>
            <w:vAlign w:val="bottom"/>
          </w:tcPr>
          <w:p w:rsidR="002265C7" w:rsidRPr="0029323B" w:rsidRDefault="002265C7" w:rsidP="00D27F8A">
            <w:pPr>
              <w:pStyle w:val="TableFigText"/>
              <w:jc w:val="right"/>
            </w:pPr>
            <w:r w:rsidRPr="0029323B">
              <w:t>0.0</w:t>
            </w:r>
          </w:p>
        </w:tc>
        <w:tc>
          <w:tcPr>
            <w:tcW w:w="1067" w:type="dxa"/>
            <w:vAlign w:val="bottom"/>
          </w:tcPr>
          <w:p w:rsidR="002265C7" w:rsidRPr="0029323B" w:rsidRDefault="002265C7" w:rsidP="00D27F8A">
            <w:pPr>
              <w:pStyle w:val="TableFigText"/>
              <w:jc w:val="right"/>
            </w:pPr>
            <w:r w:rsidRPr="0029323B">
              <w:t>18.5</w:t>
            </w:r>
          </w:p>
        </w:tc>
      </w:tr>
      <w:tr w:rsidR="002265C7" w:rsidRPr="00B476FB" w:rsidTr="002265C7">
        <w:tc>
          <w:tcPr>
            <w:tcW w:w="2386" w:type="dxa"/>
          </w:tcPr>
          <w:p w:rsidR="002265C7" w:rsidRPr="00B476FB" w:rsidRDefault="002265C7" w:rsidP="002265C7">
            <w:pPr>
              <w:pStyle w:val="TableFigText"/>
              <w:keepNext/>
              <w:rPr>
                <w:rFonts w:asciiTheme="minorHAnsi" w:hAnsiTheme="minorHAnsi" w:cstheme="minorHAnsi"/>
                <w:szCs w:val="22"/>
              </w:rPr>
            </w:pPr>
            <w:r w:rsidRPr="00B476FB">
              <w:rPr>
                <w:rFonts w:asciiTheme="minorHAnsi" w:hAnsiTheme="minorHAnsi" w:cstheme="minorHAnsi"/>
                <w:szCs w:val="22"/>
              </w:rPr>
              <w:t>Consumer workers</w:t>
            </w:r>
            <w:r w:rsidRPr="00B476FB">
              <w:rPr>
                <w:rFonts w:asciiTheme="minorHAnsi" w:hAnsiTheme="minorHAnsi" w:cstheme="minorHAnsi"/>
                <w:szCs w:val="22"/>
                <w:vertAlign w:val="superscript"/>
              </w:rPr>
              <w:t>(d)</w:t>
            </w:r>
          </w:p>
        </w:tc>
        <w:tc>
          <w:tcPr>
            <w:tcW w:w="1165" w:type="dxa"/>
            <w:vAlign w:val="bottom"/>
          </w:tcPr>
          <w:p w:rsidR="002265C7" w:rsidRPr="0029323B" w:rsidRDefault="002265C7" w:rsidP="00D27F8A">
            <w:pPr>
              <w:pStyle w:val="TableFigText"/>
              <w:jc w:val="right"/>
            </w:pPr>
            <w:r w:rsidRPr="0029323B">
              <w:t>12.1</w:t>
            </w:r>
          </w:p>
        </w:tc>
        <w:tc>
          <w:tcPr>
            <w:tcW w:w="1361" w:type="dxa"/>
            <w:vAlign w:val="bottom"/>
          </w:tcPr>
          <w:p w:rsidR="002265C7" w:rsidRPr="0029323B" w:rsidRDefault="002265C7" w:rsidP="00D27F8A">
            <w:pPr>
              <w:pStyle w:val="TableFigText"/>
              <w:jc w:val="right"/>
            </w:pPr>
            <w:r w:rsidRPr="0029323B">
              <w:t>5.8</w:t>
            </w:r>
          </w:p>
        </w:tc>
        <w:tc>
          <w:tcPr>
            <w:tcW w:w="1227" w:type="dxa"/>
            <w:vAlign w:val="bottom"/>
          </w:tcPr>
          <w:p w:rsidR="002265C7" w:rsidRPr="0029323B" w:rsidRDefault="002265C7" w:rsidP="00D27F8A">
            <w:pPr>
              <w:pStyle w:val="TableFigText"/>
              <w:jc w:val="right"/>
            </w:pPr>
            <w:r w:rsidRPr="0029323B">
              <w:t>1.1</w:t>
            </w:r>
          </w:p>
        </w:tc>
        <w:tc>
          <w:tcPr>
            <w:tcW w:w="1017" w:type="dxa"/>
            <w:vAlign w:val="bottom"/>
          </w:tcPr>
          <w:p w:rsidR="002265C7" w:rsidRPr="0029323B" w:rsidRDefault="002265C7" w:rsidP="00D27F8A">
            <w:pPr>
              <w:pStyle w:val="TableFigText"/>
              <w:jc w:val="right"/>
            </w:pPr>
            <w:r w:rsidRPr="0029323B">
              <w:t>0.0</w:t>
            </w:r>
          </w:p>
        </w:tc>
        <w:tc>
          <w:tcPr>
            <w:tcW w:w="1063" w:type="dxa"/>
            <w:vAlign w:val="bottom"/>
          </w:tcPr>
          <w:p w:rsidR="002265C7" w:rsidRPr="0029323B" w:rsidRDefault="002265C7" w:rsidP="00D27F8A">
            <w:pPr>
              <w:pStyle w:val="TableFigText"/>
              <w:jc w:val="right"/>
            </w:pPr>
            <w:r w:rsidRPr="0029323B">
              <w:t>0.0</w:t>
            </w:r>
          </w:p>
        </w:tc>
        <w:tc>
          <w:tcPr>
            <w:tcW w:w="1067" w:type="dxa"/>
            <w:vAlign w:val="bottom"/>
          </w:tcPr>
          <w:p w:rsidR="002265C7" w:rsidRPr="0029323B" w:rsidRDefault="002265C7" w:rsidP="00D27F8A">
            <w:pPr>
              <w:pStyle w:val="TableFigText"/>
              <w:jc w:val="right"/>
            </w:pPr>
            <w:r w:rsidRPr="0029323B">
              <w:t>19.1</w:t>
            </w:r>
          </w:p>
        </w:tc>
      </w:tr>
      <w:tr w:rsidR="002265C7" w:rsidRPr="00B476FB" w:rsidTr="002265C7">
        <w:tc>
          <w:tcPr>
            <w:tcW w:w="2386" w:type="dxa"/>
          </w:tcPr>
          <w:p w:rsidR="002265C7" w:rsidRPr="00B476FB" w:rsidRDefault="002265C7" w:rsidP="002265C7">
            <w:pPr>
              <w:pStyle w:val="TableFigText"/>
              <w:keepNext/>
              <w:rPr>
                <w:rFonts w:asciiTheme="minorHAnsi" w:hAnsiTheme="minorHAnsi" w:cstheme="minorHAnsi"/>
                <w:szCs w:val="22"/>
              </w:rPr>
            </w:pPr>
            <w:r w:rsidRPr="00B476FB">
              <w:rPr>
                <w:rFonts w:asciiTheme="minorHAnsi" w:hAnsiTheme="minorHAnsi" w:cstheme="minorHAnsi"/>
                <w:szCs w:val="22"/>
              </w:rPr>
              <w:t>Other personal care</w:t>
            </w:r>
            <w:r w:rsidRPr="00B476FB">
              <w:rPr>
                <w:rFonts w:asciiTheme="minorHAnsi" w:hAnsiTheme="minorHAnsi" w:cstheme="minorHAnsi"/>
                <w:szCs w:val="22"/>
                <w:vertAlign w:val="superscript"/>
              </w:rPr>
              <w:t>(e)</w:t>
            </w:r>
          </w:p>
        </w:tc>
        <w:tc>
          <w:tcPr>
            <w:tcW w:w="1165" w:type="dxa"/>
            <w:vAlign w:val="bottom"/>
          </w:tcPr>
          <w:p w:rsidR="002265C7" w:rsidRPr="0029323B" w:rsidRDefault="002265C7" w:rsidP="00D27F8A">
            <w:pPr>
              <w:pStyle w:val="TableFigText"/>
              <w:jc w:val="right"/>
            </w:pPr>
            <w:r w:rsidRPr="0029323B">
              <w:t>191.8</w:t>
            </w:r>
          </w:p>
        </w:tc>
        <w:tc>
          <w:tcPr>
            <w:tcW w:w="1361" w:type="dxa"/>
            <w:vAlign w:val="bottom"/>
          </w:tcPr>
          <w:p w:rsidR="002265C7" w:rsidRPr="0029323B" w:rsidRDefault="002265C7" w:rsidP="00D27F8A">
            <w:pPr>
              <w:pStyle w:val="TableFigText"/>
              <w:jc w:val="right"/>
            </w:pPr>
            <w:r w:rsidRPr="0029323B">
              <w:t>50.8</w:t>
            </w:r>
          </w:p>
        </w:tc>
        <w:tc>
          <w:tcPr>
            <w:tcW w:w="1227" w:type="dxa"/>
            <w:vAlign w:val="bottom"/>
          </w:tcPr>
          <w:p w:rsidR="002265C7" w:rsidRPr="0029323B" w:rsidRDefault="002265C7" w:rsidP="00D27F8A">
            <w:pPr>
              <w:pStyle w:val="TableFigText"/>
              <w:jc w:val="right"/>
            </w:pPr>
            <w:r w:rsidRPr="0029323B">
              <w:t>4.3</w:t>
            </w:r>
          </w:p>
        </w:tc>
        <w:tc>
          <w:tcPr>
            <w:tcW w:w="1017" w:type="dxa"/>
            <w:vAlign w:val="bottom"/>
          </w:tcPr>
          <w:p w:rsidR="002265C7" w:rsidRPr="0029323B" w:rsidRDefault="002265C7" w:rsidP="00D27F8A">
            <w:pPr>
              <w:pStyle w:val="TableFigText"/>
              <w:jc w:val="right"/>
            </w:pPr>
            <w:r w:rsidRPr="0029323B">
              <w:t>0.1</w:t>
            </w:r>
          </w:p>
        </w:tc>
        <w:tc>
          <w:tcPr>
            <w:tcW w:w="1063" w:type="dxa"/>
            <w:vAlign w:val="bottom"/>
          </w:tcPr>
          <w:p w:rsidR="002265C7" w:rsidRPr="0029323B" w:rsidRDefault="002265C7" w:rsidP="00D27F8A">
            <w:pPr>
              <w:pStyle w:val="TableFigText"/>
              <w:jc w:val="right"/>
            </w:pPr>
            <w:r w:rsidRPr="0029323B">
              <w:t>0.0</w:t>
            </w:r>
          </w:p>
        </w:tc>
        <w:tc>
          <w:tcPr>
            <w:tcW w:w="1067" w:type="dxa"/>
            <w:vAlign w:val="bottom"/>
          </w:tcPr>
          <w:p w:rsidR="002265C7" w:rsidRPr="0029323B" w:rsidRDefault="002265C7" w:rsidP="00D27F8A">
            <w:pPr>
              <w:pStyle w:val="TableFigText"/>
              <w:jc w:val="right"/>
            </w:pPr>
            <w:r w:rsidRPr="0029323B">
              <w:t>247.0</w:t>
            </w:r>
          </w:p>
        </w:tc>
      </w:tr>
      <w:tr w:rsidR="002265C7" w:rsidRPr="00B476FB" w:rsidTr="002265C7">
        <w:tc>
          <w:tcPr>
            <w:tcW w:w="2386" w:type="dxa"/>
          </w:tcPr>
          <w:p w:rsidR="002265C7" w:rsidRPr="00B476FB" w:rsidRDefault="002265C7" w:rsidP="002265C7">
            <w:pPr>
              <w:pStyle w:val="TableFigText"/>
              <w:keepNext/>
              <w:rPr>
                <w:rFonts w:asciiTheme="minorHAnsi" w:hAnsiTheme="minorHAnsi" w:cstheme="minorHAnsi"/>
                <w:szCs w:val="22"/>
              </w:rPr>
            </w:pPr>
            <w:r w:rsidRPr="00B476FB">
              <w:rPr>
                <w:rFonts w:asciiTheme="minorHAnsi" w:hAnsiTheme="minorHAnsi" w:cstheme="minorHAnsi"/>
                <w:szCs w:val="22"/>
              </w:rPr>
              <w:t>Other staffing categories</w:t>
            </w:r>
            <w:r w:rsidRPr="00B476FB">
              <w:rPr>
                <w:rFonts w:asciiTheme="minorHAnsi" w:hAnsiTheme="minorHAnsi" w:cstheme="minorHAnsi"/>
                <w:szCs w:val="22"/>
                <w:vertAlign w:val="superscript"/>
              </w:rPr>
              <w:t>(f)</w:t>
            </w:r>
          </w:p>
        </w:tc>
        <w:tc>
          <w:tcPr>
            <w:tcW w:w="1165" w:type="dxa"/>
            <w:vAlign w:val="bottom"/>
          </w:tcPr>
          <w:p w:rsidR="002265C7" w:rsidRPr="0029323B" w:rsidRDefault="002265C7" w:rsidP="00D27F8A">
            <w:pPr>
              <w:pStyle w:val="TableFigText"/>
              <w:jc w:val="right"/>
            </w:pPr>
            <w:r w:rsidRPr="0029323B">
              <w:t>520.4</w:t>
            </w:r>
          </w:p>
        </w:tc>
        <w:tc>
          <w:tcPr>
            <w:tcW w:w="1361" w:type="dxa"/>
            <w:vAlign w:val="bottom"/>
          </w:tcPr>
          <w:p w:rsidR="002265C7" w:rsidRPr="0029323B" w:rsidRDefault="002265C7" w:rsidP="00D27F8A">
            <w:pPr>
              <w:pStyle w:val="TableFigText"/>
              <w:jc w:val="right"/>
            </w:pPr>
            <w:r w:rsidRPr="0029323B">
              <w:t>142.9</w:t>
            </w:r>
          </w:p>
        </w:tc>
        <w:tc>
          <w:tcPr>
            <w:tcW w:w="1227" w:type="dxa"/>
            <w:vAlign w:val="bottom"/>
          </w:tcPr>
          <w:p w:rsidR="002265C7" w:rsidRPr="0029323B" w:rsidRDefault="002265C7" w:rsidP="00D27F8A">
            <w:pPr>
              <w:pStyle w:val="TableFigText"/>
              <w:jc w:val="right"/>
            </w:pPr>
            <w:r w:rsidRPr="0029323B">
              <w:t>32.5</w:t>
            </w:r>
          </w:p>
        </w:tc>
        <w:tc>
          <w:tcPr>
            <w:tcW w:w="1017" w:type="dxa"/>
            <w:vAlign w:val="bottom"/>
          </w:tcPr>
          <w:p w:rsidR="002265C7" w:rsidRPr="0029323B" w:rsidRDefault="002265C7" w:rsidP="00D27F8A">
            <w:pPr>
              <w:pStyle w:val="TableFigText"/>
              <w:jc w:val="right"/>
            </w:pPr>
            <w:r w:rsidRPr="0029323B">
              <w:t>0.2</w:t>
            </w:r>
          </w:p>
        </w:tc>
        <w:tc>
          <w:tcPr>
            <w:tcW w:w="1063" w:type="dxa"/>
            <w:vAlign w:val="bottom"/>
          </w:tcPr>
          <w:p w:rsidR="002265C7" w:rsidRPr="0029323B" w:rsidRDefault="002265C7" w:rsidP="00D27F8A">
            <w:pPr>
              <w:pStyle w:val="TableFigText"/>
              <w:jc w:val="right"/>
            </w:pPr>
            <w:r w:rsidRPr="0029323B">
              <w:t>0.0</w:t>
            </w:r>
          </w:p>
        </w:tc>
        <w:tc>
          <w:tcPr>
            <w:tcW w:w="1067" w:type="dxa"/>
            <w:vAlign w:val="bottom"/>
          </w:tcPr>
          <w:p w:rsidR="002265C7" w:rsidRPr="0029323B" w:rsidRDefault="002265C7" w:rsidP="00D27F8A">
            <w:pPr>
              <w:pStyle w:val="TableFigText"/>
              <w:jc w:val="right"/>
            </w:pPr>
            <w:r w:rsidRPr="0029323B">
              <w:t>696.0</w:t>
            </w:r>
          </w:p>
        </w:tc>
      </w:tr>
      <w:tr w:rsidR="002265C7" w:rsidRPr="00B476FB" w:rsidTr="002265C7">
        <w:tc>
          <w:tcPr>
            <w:tcW w:w="2386" w:type="dxa"/>
          </w:tcPr>
          <w:p w:rsidR="002265C7" w:rsidRPr="00B476FB" w:rsidRDefault="002265C7" w:rsidP="002265C7">
            <w:pPr>
              <w:pStyle w:val="TableFigText"/>
              <w:keepNext/>
              <w:rPr>
                <w:rFonts w:asciiTheme="minorHAnsi" w:hAnsiTheme="minorHAnsi" w:cstheme="minorHAnsi"/>
                <w:b/>
                <w:szCs w:val="22"/>
              </w:rPr>
            </w:pPr>
            <w:r w:rsidRPr="00B476FB">
              <w:rPr>
                <w:rFonts w:asciiTheme="minorHAnsi" w:hAnsiTheme="minorHAnsi" w:cstheme="minorHAnsi"/>
                <w:b/>
                <w:szCs w:val="22"/>
              </w:rPr>
              <w:t>Total</w:t>
            </w:r>
            <w:r w:rsidRPr="00B476FB">
              <w:rPr>
                <w:rFonts w:asciiTheme="minorHAnsi" w:hAnsiTheme="minorHAnsi" w:cstheme="minorHAnsi"/>
                <w:b/>
                <w:szCs w:val="22"/>
                <w:vertAlign w:val="superscript"/>
              </w:rPr>
              <w:t>(a)</w:t>
            </w:r>
          </w:p>
        </w:tc>
        <w:tc>
          <w:tcPr>
            <w:tcW w:w="1165" w:type="dxa"/>
            <w:vAlign w:val="bottom"/>
          </w:tcPr>
          <w:p w:rsidR="002265C7" w:rsidRPr="00D27F8A" w:rsidRDefault="002265C7" w:rsidP="00D27F8A">
            <w:pPr>
              <w:pStyle w:val="TableFigText"/>
              <w:jc w:val="right"/>
              <w:rPr>
                <w:b/>
              </w:rPr>
            </w:pPr>
            <w:r w:rsidRPr="00D27F8A">
              <w:rPr>
                <w:b/>
              </w:rPr>
              <w:t>5,298.2</w:t>
            </w:r>
          </w:p>
        </w:tc>
        <w:tc>
          <w:tcPr>
            <w:tcW w:w="1361" w:type="dxa"/>
            <w:vAlign w:val="bottom"/>
          </w:tcPr>
          <w:p w:rsidR="002265C7" w:rsidRPr="00D27F8A" w:rsidRDefault="002265C7" w:rsidP="00D27F8A">
            <w:pPr>
              <w:pStyle w:val="TableFigText"/>
              <w:jc w:val="right"/>
              <w:rPr>
                <w:b/>
              </w:rPr>
            </w:pPr>
            <w:r w:rsidRPr="00D27F8A">
              <w:rPr>
                <w:b/>
              </w:rPr>
              <w:t>1,290.9</w:t>
            </w:r>
          </w:p>
        </w:tc>
        <w:tc>
          <w:tcPr>
            <w:tcW w:w="1227" w:type="dxa"/>
            <w:vAlign w:val="bottom"/>
          </w:tcPr>
          <w:p w:rsidR="002265C7" w:rsidRPr="00D27F8A" w:rsidRDefault="002265C7" w:rsidP="00D27F8A">
            <w:pPr>
              <w:pStyle w:val="TableFigText"/>
              <w:jc w:val="right"/>
              <w:rPr>
                <w:b/>
              </w:rPr>
            </w:pPr>
            <w:r w:rsidRPr="00D27F8A">
              <w:rPr>
                <w:b/>
              </w:rPr>
              <w:t>153.1</w:t>
            </w:r>
          </w:p>
        </w:tc>
        <w:tc>
          <w:tcPr>
            <w:tcW w:w="1017" w:type="dxa"/>
            <w:vAlign w:val="bottom"/>
          </w:tcPr>
          <w:p w:rsidR="002265C7" w:rsidRPr="00D27F8A" w:rsidRDefault="002265C7" w:rsidP="00D27F8A">
            <w:pPr>
              <w:pStyle w:val="TableFigText"/>
              <w:jc w:val="right"/>
              <w:rPr>
                <w:b/>
              </w:rPr>
            </w:pPr>
            <w:r w:rsidRPr="00D27F8A">
              <w:rPr>
                <w:b/>
              </w:rPr>
              <w:t>3.3</w:t>
            </w:r>
          </w:p>
        </w:tc>
        <w:tc>
          <w:tcPr>
            <w:tcW w:w="1063" w:type="dxa"/>
            <w:vAlign w:val="bottom"/>
          </w:tcPr>
          <w:p w:rsidR="002265C7" w:rsidRPr="00D27F8A" w:rsidRDefault="002265C7" w:rsidP="00D27F8A">
            <w:pPr>
              <w:pStyle w:val="TableFigText"/>
              <w:jc w:val="right"/>
              <w:rPr>
                <w:b/>
              </w:rPr>
            </w:pPr>
            <w:r w:rsidRPr="00D27F8A">
              <w:rPr>
                <w:b/>
              </w:rPr>
              <w:t>0.0</w:t>
            </w:r>
          </w:p>
        </w:tc>
        <w:tc>
          <w:tcPr>
            <w:tcW w:w="1067" w:type="dxa"/>
            <w:vAlign w:val="bottom"/>
          </w:tcPr>
          <w:p w:rsidR="002265C7" w:rsidRPr="00D27F8A" w:rsidRDefault="002265C7" w:rsidP="00D27F8A">
            <w:pPr>
              <w:pStyle w:val="TableFigText"/>
              <w:jc w:val="right"/>
              <w:rPr>
                <w:b/>
              </w:rPr>
            </w:pPr>
            <w:r w:rsidRPr="00D27F8A">
              <w:rPr>
                <w:b/>
              </w:rPr>
              <w:t>6,745.4</w:t>
            </w:r>
          </w:p>
        </w:tc>
      </w:tr>
    </w:tbl>
    <w:p w:rsidR="002265C7" w:rsidRPr="00541ED8" w:rsidRDefault="002265C7" w:rsidP="00540186">
      <w:pPr>
        <w:pStyle w:val="TableFigNotesnumbered"/>
        <w:numPr>
          <w:ilvl w:val="0"/>
          <w:numId w:val="68"/>
        </w:numPr>
        <w:rPr>
          <w:rStyle w:val="table-note"/>
        </w:rPr>
      </w:pPr>
      <w:r w:rsidRPr="00541ED8">
        <w:rPr>
          <w:rStyle w:val="table-note"/>
        </w:rPr>
        <w:t>Totals may not add due to rounding.</w:t>
      </w:r>
    </w:p>
    <w:p w:rsidR="002265C7" w:rsidRPr="00541ED8" w:rsidRDefault="002265C7" w:rsidP="00540186">
      <w:pPr>
        <w:pStyle w:val="TableFigNotesnumbered"/>
        <w:numPr>
          <w:ilvl w:val="0"/>
          <w:numId w:val="68"/>
        </w:numPr>
        <w:rPr>
          <w:rStyle w:val="table-note"/>
        </w:rPr>
      </w:pPr>
      <w:r w:rsidRPr="00541ED8">
        <w:rPr>
          <w:rStyle w:val="table-note"/>
        </w:rPr>
        <w:t>Diagnostic and health professionals includes qualified staff (other than qualified medical or nursing staff) engaged in duties of a diagnostic, professional or technical nature and covers all allied health professionals and laboratory technicians, including Social Workers, Occupational Therapists and others  (</w:t>
      </w:r>
      <w:proofErr w:type="spellStart"/>
      <w:r w:rsidRPr="00541ED8">
        <w:rPr>
          <w:rStyle w:val="table-note"/>
        </w:rPr>
        <w:t>METeOR</w:t>
      </w:r>
      <w:proofErr w:type="spellEnd"/>
      <w:r w:rsidRPr="00541ED8">
        <w:rPr>
          <w:rStyle w:val="table-note"/>
        </w:rPr>
        <w:t xml:space="preserve"> identifier 287611).</w:t>
      </w:r>
    </w:p>
    <w:p w:rsidR="002265C7" w:rsidRPr="00541ED8" w:rsidRDefault="002265C7" w:rsidP="00540186">
      <w:pPr>
        <w:pStyle w:val="TableFigNotesnumbered"/>
        <w:numPr>
          <w:ilvl w:val="0"/>
          <w:numId w:val="68"/>
        </w:numPr>
        <w:rPr>
          <w:rStyle w:val="table-note"/>
        </w:rPr>
      </w:pPr>
      <w:r w:rsidRPr="00541ED8">
        <w:rPr>
          <w:rStyle w:val="table-note"/>
        </w:rPr>
        <w:t>Includes registered and enrolled nurses.</w:t>
      </w:r>
    </w:p>
    <w:p w:rsidR="002265C7" w:rsidRPr="00541ED8" w:rsidRDefault="002265C7" w:rsidP="00540186">
      <w:pPr>
        <w:pStyle w:val="TableFigNotesnumbered"/>
        <w:numPr>
          <w:ilvl w:val="0"/>
          <w:numId w:val="68"/>
        </w:numPr>
        <w:rPr>
          <w:rStyle w:val="table-note"/>
        </w:rPr>
      </w:pPr>
      <w:r w:rsidRPr="00541ED8">
        <w:rPr>
          <w:rStyle w:val="table-note"/>
        </w:rPr>
        <w:t xml:space="preserve">The definition of these categories was modified from 'consultants' to 'mental health workers' for the 2010–11 collection, in order to capture a variety of contemporary roles. </w:t>
      </w:r>
    </w:p>
    <w:p w:rsidR="002265C7" w:rsidRPr="00541ED8" w:rsidRDefault="002265C7" w:rsidP="00540186">
      <w:pPr>
        <w:pStyle w:val="TableFigNotesnumbered"/>
        <w:numPr>
          <w:ilvl w:val="0"/>
          <w:numId w:val="68"/>
        </w:numPr>
        <w:rPr>
          <w:rStyle w:val="table-note"/>
        </w:rPr>
      </w:pPr>
      <w:r w:rsidRPr="00541ED8">
        <w:rPr>
          <w:rStyle w:val="table-note"/>
        </w:rPr>
        <w:t>Other personal care staff includes staff engaged primarily in the provision of personal care to patients or residents, not formally qualified, for example attendants, assistants of home assistance, home companions, family aides, ward helpers, warders, orderlies, ward assistants and nursing assistants (</w:t>
      </w:r>
      <w:proofErr w:type="spellStart"/>
      <w:r w:rsidRPr="00541ED8">
        <w:rPr>
          <w:rStyle w:val="table-note"/>
        </w:rPr>
        <w:t>METeOR</w:t>
      </w:r>
      <w:proofErr w:type="spellEnd"/>
      <w:r w:rsidRPr="00541ED8">
        <w:rPr>
          <w:rStyle w:val="table-note"/>
        </w:rPr>
        <w:t xml:space="preserve"> 270171).</w:t>
      </w:r>
    </w:p>
    <w:p w:rsidR="002265C7" w:rsidRPr="00541ED8" w:rsidRDefault="002265C7" w:rsidP="00540186">
      <w:pPr>
        <w:pStyle w:val="TableFigNotesnumbered"/>
        <w:numPr>
          <w:ilvl w:val="0"/>
          <w:numId w:val="68"/>
        </w:numPr>
        <w:rPr>
          <w:rStyle w:val="table-note"/>
        </w:rPr>
      </w:pPr>
      <w:r w:rsidRPr="00541ED8">
        <w:rPr>
          <w:rStyle w:val="table-note"/>
        </w:rPr>
        <w:t xml:space="preserve">Other </w:t>
      </w:r>
      <w:proofErr w:type="gramStart"/>
      <w:r w:rsidRPr="00541ED8">
        <w:rPr>
          <w:rStyle w:val="table-note"/>
        </w:rPr>
        <w:t>staff</w:t>
      </w:r>
      <w:proofErr w:type="gramEnd"/>
      <w:r w:rsidRPr="00541ED8">
        <w:rPr>
          <w:rStyle w:val="table-note"/>
        </w:rPr>
        <w:t xml:space="preserve"> includes administrative and clerical and domestic and other staff categories. </w:t>
      </w:r>
    </w:p>
    <w:p w:rsidR="002265C7" w:rsidRPr="00207B28" w:rsidRDefault="002265C7" w:rsidP="002265C7">
      <w:pPr>
        <w:spacing w:before="0" w:after="0" w:line="240" w:lineRule="auto"/>
        <w:rPr>
          <w:rFonts w:asciiTheme="minorHAnsi" w:hAnsiTheme="minorHAnsi" w:cstheme="minorHAnsi"/>
        </w:rPr>
      </w:pPr>
    </w:p>
    <w:p w:rsidR="002265C7" w:rsidRPr="00541ED8" w:rsidRDefault="002265C7" w:rsidP="002265C7">
      <w:pPr>
        <w:spacing w:before="0" w:after="0" w:line="240" w:lineRule="auto"/>
        <w:rPr>
          <w:rStyle w:val="table-note"/>
          <w:rFonts w:ascii="Arial" w:hAnsi="Arial"/>
          <w:sz w:val="14"/>
          <w:szCs w:val="20"/>
          <w:lang w:eastAsia="en-US"/>
        </w:rPr>
      </w:pPr>
      <w:r w:rsidRPr="00541ED8">
        <w:rPr>
          <w:rStyle w:val="table-note"/>
          <w:rFonts w:ascii="Arial" w:hAnsi="Arial"/>
          <w:sz w:val="14"/>
          <w:szCs w:val="20"/>
          <w:lang w:eastAsia="en-US"/>
        </w:rPr>
        <w:t>Notes:</w:t>
      </w:r>
      <w:r w:rsidRPr="00541ED8">
        <w:rPr>
          <w:rStyle w:val="table-note"/>
          <w:rFonts w:ascii="Arial" w:hAnsi="Arial"/>
          <w:sz w:val="14"/>
          <w:szCs w:val="20"/>
          <w:lang w:eastAsia="en-US"/>
        </w:rPr>
        <w:tab/>
      </w:r>
    </w:p>
    <w:p w:rsidR="002265C7" w:rsidRPr="00541ED8" w:rsidRDefault="002265C7" w:rsidP="00591D14">
      <w:pPr>
        <w:pStyle w:val="ListParagraph"/>
        <w:numPr>
          <w:ilvl w:val="0"/>
          <w:numId w:val="20"/>
        </w:numPr>
        <w:spacing w:after="0" w:line="240" w:lineRule="auto"/>
        <w:rPr>
          <w:rStyle w:val="table-note"/>
          <w:rFonts w:ascii="Arial" w:eastAsia="Times New Roman" w:hAnsi="Arial" w:cs="Times New Roman"/>
          <w:sz w:val="14"/>
          <w:szCs w:val="20"/>
          <w:lang w:eastAsia="en-US"/>
        </w:rPr>
      </w:pPr>
      <w:r w:rsidRPr="00541ED8">
        <w:rPr>
          <w:rStyle w:val="table-note"/>
          <w:rFonts w:ascii="Arial" w:eastAsia="Times New Roman" w:hAnsi="Arial" w:cs="Times New Roman"/>
          <w:sz w:val="14"/>
          <w:szCs w:val="20"/>
          <w:lang w:eastAsia="en-US"/>
        </w:rPr>
        <w:t xml:space="preserve">Includes consumer and carer workers and staff employed at a higher organisational level. Excludes staff employed at regional or state level in mental health policy units of the associated relevant health department or equivalent. </w:t>
      </w:r>
    </w:p>
    <w:p w:rsidR="002265C7" w:rsidRPr="00207B28" w:rsidRDefault="002265C7" w:rsidP="002265C7">
      <w:pPr>
        <w:pStyle w:val="AIHWbodytext"/>
        <w:rPr>
          <w:rFonts w:asciiTheme="minorHAnsi" w:hAnsiTheme="minorHAnsi"/>
        </w:rPr>
      </w:pPr>
    </w:p>
    <w:p w:rsidR="002265C7" w:rsidRPr="0096114C" w:rsidRDefault="0096114C" w:rsidP="002265C7">
      <w:pPr>
        <w:pStyle w:val="TableCaption"/>
        <w:rPr>
          <w:rStyle w:val="table-note"/>
        </w:rPr>
      </w:pPr>
      <w:r w:rsidRPr="0096114C">
        <w:rPr>
          <w:rStyle w:val="table-note"/>
        </w:rPr>
        <w:lastRenderedPageBreak/>
        <w:t xml:space="preserve">Table 20: </w:t>
      </w:r>
      <w:r w:rsidR="002265C7" w:rsidRPr="0096114C">
        <w:rPr>
          <w:rStyle w:val="table-note"/>
        </w:rPr>
        <w:t xml:space="preserve">VIC: State and territory specialised mental health service activity, by service type, 2007–08 </w:t>
      </w:r>
    </w:p>
    <w:tbl>
      <w:tblPr>
        <w:tblStyle w:val="TableGrid"/>
        <w:tblW w:w="0" w:type="auto"/>
        <w:tblLook w:val="04A0" w:firstRow="1" w:lastRow="0" w:firstColumn="1" w:lastColumn="0" w:noHBand="0" w:noVBand="1"/>
        <w:tblCaption w:val="VIC: State and territory specialised mental health service activity, by service type, 2007–08 "/>
        <w:tblDescription w:val="Table showing that, in 2007-08, community mental health care contacts was the highest specialised mental health service activity type recorded across all region types in VIC at 2,134,658. This was followed by residential mental health care days at 466,445 and hospital days at 385,515. "/>
      </w:tblPr>
      <w:tblGrid>
        <w:gridCol w:w="2047"/>
        <w:gridCol w:w="1350"/>
        <w:gridCol w:w="1326"/>
        <w:gridCol w:w="1201"/>
        <w:gridCol w:w="1011"/>
        <w:gridCol w:w="1001"/>
        <w:gridCol w:w="1350"/>
      </w:tblGrid>
      <w:tr w:rsidR="002265C7" w:rsidRPr="00B476FB" w:rsidTr="000C3DEA">
        <w:trPr>
          <w:tblHeader/>
        </w:trPr>
        <w:tc>
          <w:tcPr>
            <w:tcW w:w="2138" w:type="dxa"/>
          </w:tcPr>
          <w:p w:rsidR="002265C7" w:rsidRPr="00B476FB" w:rsidRDefault="002265C7" w:rsidP="002265C7">
            <w:pPr>
              <w:pStyle w:val="TableFigText"/>
              <w:keepNext/>
              <w:rPr>
                <w:rFonts w:asciiTheme="minorHAnsi" w:hAnsiTheme="minorHAnsi" w:cstheme="minorHAnsi"/>
                <w:szCs w:val="22"/>
              </w:rPr>
            </w:pPr>
          </w:p>
        </w:tc>
        <w:tc>
          <w:tcPr>
            <w:tcW w:w="1385" w:type="dxa"/>
          </w:tcPr>
          <w:p w:rsidR="002265C7" w:rsidRPr="00B476FB" w:rsidRDefault="002265C7" w:rsidP="002265C7">
            <w:pPr>
              <w:pStyle w:val="TableFigText"/>
              <w:keepNext/>
              <w:jc w:val="right"/>
              <w:rPr>
                <w:rFonts w:asciiTheme="minorHAnsi" w:hAnsiTheme="minorHAnsi" w:cstheme="minorHAnsi"/>
                <w:b/>
                <w:szCs w:val="22"/>
              </w:rPr>
            </w:pPr>
            <w:r w:rsidRPr="00B476FB">
              <w:rPr>
                <w:rFonts w:asciiTheme="minorHAnsi" w:hAnsiTheme="minorHAnsi" w:cstheme="minorHAnsi"/>
                <w:b/>
                <w:szCs w:val="22"/>
              </w:rPr>
              <w:t>Major cities</w:t>
            </w:r>
          </w:p>
        </w:tc>
        <w:tc>
          <w:tcPr>
            <w:tcW w:w="1370" w:type="dxa"/>
          </w:tcPr>
          <w:p w:rsidR="002265C7" w:rsidRPr="00B476FB" w:rsidRDefault="002265C7" w:rsidP="002265C7">
            <w:pPr>
              <w:pStyle w:val="TableFigText"/>
              <w:keepNext/>
              <w:jc w:val="right"/>
              <w:rPr>
                <w:rFonts w:asciiTheme="minorHAnsi" w:hAnsiTheme="minorHAnsi" w:cstheme="minorHAnsi"/>
                <w:b/>
                <w:szCs w:val="22"/>
              </w:rPr>
            </w:pPr>
            <w:r w:rsidRPr="00B476FB">
              <w:rPr>
                <w:rFonts w:asciiTheme="minorHAnsi" w:hAnsiTheme="minorHAnsi" w:cstheme="minorHAnsi"/>
                <w:b/>
                <w:szCs w:val="22"/>
              </w:rPr>
              <w:t>Inner regional</w:t>
            </w:r>
          </w:p>
        </w:tc>
        <w:tc>
          <w:tcPr>
            <w:tcW w:w="1238" w:type="dxa"/>
          </w:tcPr>
          <w:p w:rsidR="002265C7" w:rsidRPr="00B476FB" w:rsidRDefault="002265C7" w:rsidP="002265C7">
            <w:pPr>
              <w:pStyle w:val="TableFigText"/>
              <w:keepNext/>
              <w:jc w:val="right"/>
              <w:rPr>
                <w:rFonts w:asciiTheme="minorHAnsi" w:hAnsiTheme="minorHAnsi" w:cstheme="minorHAnsi"/>
                <w:b/>
                <w:szCs w:val="22"/>
              </w:rPr>
            </w:pPr>
            <w:r w:rsidRPr="00B476FB">
              <w:rPr>
                <w:rFonts w:asciiTheme="minorHAnsi" w:hAnsiTheme="minorHAnsi" w:cstheme="minorHAnsi"/>
                <w:b/>
                <w:szCs w:val="22"/>
              </w:rPr>
              <w:t>Outer regional</w:t>
            </w:r>
          </w:p>
        </w:tc>
        <w:tc>
          <w:tcPr>
            <w:tcW w:w="1034" w:type="dxa"/>
          </w:tcPr>
          <w:p w:rsidR="002265C7" w:rsidRPr="00B476FB" w:rsidRDefault="002265C7" w:rsidP="002265C7">
            <w:pPr>
              <w:pStyle w:val="TableFigText"/>
              <w:keepNext/>
              <w:jc w:val="right"/>
              <w:rPr>
                <w:rFonts w:asciiTheme="minorHAnsi" w:hAnsiTheme="minorHAnsi" w:cstheme="minorHAnsi"/>
                <w:b/>
                <w:szCs w:val="22"/>
              </w:rPr>
            </w:pPr>
            <w:r w:rsidRPr="00B476FB">
              <w:rPr>
                <w:rFonts w:asciiTheme="minorHAnsi" w:hAnsiTheme="minorHAnsi" w:cstheme="minorHAnsi"/>
                <w:b/>
                <w:szCs w:val="22"/>
              </w:rPr>
              <w:t>Remote</w:t>
            </w:r>
          </w:p>
        </w:tc>
        <w:tc>
          <w:tcPr>
            <w:tcW w:w="1026" w:type="dxa"/>
          </w:tcPr>
          <w:p w:rsidR="002265C7" w:rsidRPr="00B476FB" w:rsidRDefault="002265C7" w:rsidP="002265C7">
            <w:pPr>
              <w:pStyle w:val="TableFigText"/>
              <w:keepNext/>
              <w:jc w:val="right"/>
              <w:rPr>
                <w:rFonts w:asciiTheme="minorHAnsi" w:hAnsiTheme="minorHAnsi" w:cstheme="minorHAnsi"/>
                <w:b/>
                <w:szCs w:val="22"/>
              </w:rPr>
            </w:pPr>
            <w:r w:rsidRPr="00B476FB">
              <w:rPr>
                <w:rFonts w:asciiTheme="minorHAnsi" w:hAnsiTheme="minorHAnsi" w:cstheme="minorHAnsi"/>
                <w:b/>
                <w:szCs w:val="22"/>
              </w:rPr>
              <w:t>Very remote</w:t>
            </w:r>
          </w:p>
        </w:tc>
        <w:tc>
          <w:tcPr>
            <w:tcW w:w="1385" w:type="dxa"/>
          </w:tcPr>
          <w:p w:rsidR="002265C7" w:rsidRPr="00B476FB" w:rsidRDefault="002265C7" w:rsidP="002265C7">
            <w:pPr>
              <w:pStyle w:val="TableFigText"/>
              <w:keepNext/>
              <w:jc w:val="right"/>
              <w:rPr>
                <w:rFonts w:asciiTheme="minorHAnsi" w:hAnsiTheme="minorHAnsi" w:cstheme="minorHAnsi"/>
                <w:b/>
                <w:szCs w:val="22"/>
              </w:rPr>
            </w:pPr>
            <w:r w:rsidRPr="00B476FB">
              <w:rPr>
                <w:rFonts w:asciiTheme="minorHAnsi" w:hAnsiTheme="minorHAnsi" w:cstheme="minorHAnsi"/>
                <w:b/>
                <w:szCs w:val="22"/>
              </w:rPr>
              <w:t>Total</w:t>
            </w:r>
          </w:p>
        </w:tc>
      </w:tr>
      <w:tr w:rsidR="002265C7" w:rsidRPr="00B476FB" w:rsidTr="002265C7">
        <w:tc>
          <w:tcPr>
            <w:tcW w:w="2138" w:type="dxa"/>
          </w:tcPr>
          <w:p w:rsidR="002265C7" w:rsidRPr="00B476FB" w:rsidRDefault="002265C7" w:rsidP="002265C7">
            <w:pPr>
              <w:pStyle w:val="TableFigText"/>
              <w:keepNext/>
              <w:rPr>
                <w:rFonts w:asciiTheme="minorHAnsi" w:hAnsiTheme="minorHAnsi" w:cstheme="minorHAnsi"/>
                <w:szCs w:val="22"/>
              </w:rPr>
            </w:pPr>
            <w:r w:rsidRPr="00B476FB">
              <w:rPr>
                <w:rFonts w:asciiTheme="minorHAnsi" w:hAnsiTheme="minorHAnsi" w:cstheme="minorHAnsi"/>
                <w:szCs w:val="22"/>
              </w:rPr>
              <w:t>Hospital days</w:t>
            </w:r>
            <w:r w:rsidRPr="00B476FB">
              <w:rPr>
                <w:rFonts w:asciiTheme="minorHAnsi" w:hAnsiTheme="minorHAnsi" w:cstheme="minorHAnsi"/>
                <w:szCs w:val="22"/>
                <w:vertAlign w:val="superscript"/>
              </w:rPr>
              <w:t>(a)</w:t>
            </w:r>
          </w:p>
        </w:tc>
        <w:tc>
          <w:tcPr>
            <w:tcW w:w="1385" w:type="dxa"/>
            <w:vAlign w:val="center"/>
          </w:tcPr>
          <w:p w:rsidR="002265C7" w:rsidRPr="0029323B" w:rsidRDefault="002265C7" w:rsidP="00D27F8A">
            <w:pPr>
              <w:pStyle w:val="TableFigText"/>
              <w:jc w:val="right"/>
            </w:pPr>
            <w:r w:rsidRPr="0029323B">
              <w:t>323,754</w:t>
            </w:r>
          </w:p>
        </w:tc>
        <w:tc>
          <w:tcPr>
            <w:tcW w:w="1370" w:type="dxa"/>
            <w:vAlign w:val="center"/>
          </w:tcPr>
          <w:p w:rsidR="002265C7" w:rsidRPr="0029323B" w:rsidRDefault="002265C7" w:rsidP="00D27F8A">
            <w:pPr>
              <w:pStyle w:val="TableFigText"/>
              <w:jc w:val="right"/>
            </w:pPr>
            <w:r w:rsidRPr="0029323B">
              <w:t>57,990</w:t>
            </w:r>
          </w:p>
        </w:tc>
        <w:tc>
          <w:tcPr>
            <w:tcW w:w="1238" w:type="dxa"/>
            <w:vAlign w:val="center"/>
          </w:tcPr>
          <w:p w:rsidR="002265C7" w:rsidRPr="0029323B" w:rsidRDefault="002265C7" w:rsidP="00D27F8A">
            <w:pPr>
              <w:pStyle w:val="TableFigText"/>
              <w:jc w:val="right"/>
            </w:pPr>
            <w:r w:rsidRPr="0029323B">
              <w:t>3,771</w:t>
            </w:r>
          </w:p>
        </w:tc>
        <w:tc>
          <w:tcPr>
            <w:tcW w:w="1034" w:type="dxa"/>
            <w:vAlign w:val="center"/>
          </w:tcPr>
          <w:p w:rsidR="002265C7" w:rsidRPr="0029323B" w:rsidRDefault="002265C7" w:rsidP="00D27F8A">
            <w:pPr>
              <w:pStyle w:val="TableFigText"/>
              <w:jc w:val="right"/>
            </w:pPr>
            <w:r w:rsidRPr="0029323B">
              <w:t>0</w:t>
            </w:r>
          </w:p>
        </w:tc>
        <w:tc>
          <w:tcPr>
            <w:tcW w:w="1026" w:type="dxa"/>
            <w:vAlign w:val="center"/>
          </w:tcPr>
          <w:p w:rsidR="002265C7" w:rsidRPr="00B476FB" w:rsidRDefault="002265C7" w:rsidP="00D27F8A">
            <w:pPr>
              <w:pStyle w:val="TableFigText"/>
              <w:jc w:val="right"/>
            </w:pPr>
            <w:r w:rsidRPr="0029323B">
              <w:t>n/a</w:t>
            </w:r>
          </w:p>
        </w:tc>
        <w:tc>
          <w:tcPr>
            <w:tcW w:w="1385" w:type="dxa"/>
            <w:vAlign w:val="center"/>
          </w:tcPr>
          <w:p w:rsidR="002265C7" w:rsidRPr="0029323B" w:rsidRDefault="002265C7" w:rsidP="00D27F8A">
            <w:pPr>
              <w:pStyle w:val="TableFigText"/>
              <w:jc w:val="right"/>
            </w:pPr>
            <w:r w:rsidRPr="0029323B">
              <w:t>385,515</w:t>
            </w:r>
          </w:p>
        </w:tc>
      </w:tr>
      <w:tr w:rsidR="002265C7" w:rsidRPr="00B476FB" w:rsidTr="002265C7">
        <w:tc>
          <w:tcPr>
            <w:tcW w:w="2138" w:type="dxa"/>
          </w:tcPr>
          <w:p w:rsidR="002265C7" w:rsidRPr="00B476FB" w:rsidRDefault="002265C7" w:rsidP="002265C7">
            <w:pPr>
              <w:pStyle w:val="TableFigText"/>
              <w:keepNext/>
              <w:rPr>
                <w:rFonts w:asciiTheme="minorHAnsi" w:hAnsiTheme="minorHAnsi" w:cstheme="minorHAnsi"/>
                <w:szCs w:val="22"/>
              </w:rPr>
            </w:pPr>
            <w:r w:rsidRPr="00B476FB">
              <w:rPr>
                <w:rFonts w:asciiTheme="minorHAnsi" w:hAnsiTheme="minorHAnsi" w:cstheme="minorHAnsi"/>
                <w:szCs w:val="22"/>
              </w:rPr>
              <w:t>Community mental health care contacts</w:t>
            </w:r>
            <w:r w:rsidRPr="00B476FB">
              <w:rPr>
                <w:rFonts w:asciiTheme="minorHAnsi" w:hAnsiTheme="minorHAnsi" w:cstheme="minorHAnsi"/>
                <w:szCs w:val="22"/>
                <w:vertAlign w:val="superscript"/>
              </w:rPr>
              <w:t>(b)</w:t>
            </w:r>
            <w:r w:rsidRPr="00B476FB">
              <w:rPr>
                <w:rFonts w:asciiTheme="minorHAnsi" w:hAnsiTheme="minorHAnsi" w:cstheme="minorHAnsi"/>
                <w:szCs w:val="22"/>
              </w:rPr>
              <w:t xml:space="preserve"> </w:t>
            </w:r>
          </w:p>
        </w:tc>
        <w:tc>
          <w:tcPr>
            <w:tcW w:w="1385" w:type="dxa"/>
            <w:vAlign w:val="center"/>
          </w:tcPr>
          <w:p w:rsidR="002265C7" w:rsidRPr="0029323B" w:rsidRDefault="002265C7" w:rsidP="00D27F8A">
            <w:pPr>
              <w:pStyle w:val="TableFigText"/>
              <w:jc w:val="right"/>
            </w:pPr>
            <w:r w:rsidRPr="0029323B">
              <w:t>1,553,678</w:t>
            </w:r>
          </w:p>
        </w:tc>
        <w:tc>
          <w:tcPr>
            <w:tcW w:w="1370" w:type="dxa"/>
            <w:vAlign w:val="center"/>
          </w:tcPr>
          <w:p w:rsidR="002265C7" w:rsidRPr="0029323B" w:rsidRDefault="002265C7" w:rsidP="00D27F8A">
            <w:pPr>
              <w:pStyle w:val="TableFigText"/>
              <w:jc w:val="right"/>
            </w:pPr>
            <w:r w:rsidRPr="0029323B">
              <w:t>522,233</w:t>
            </w:r>
          </w:p>
        </w:tc>
        <w:tc>
          <w:tcPr>
            <w:tcW w:w="1238" w:type="dxa"/>
            <w:vAlign w:val="center"/>
          </w:tcPr>
          <w:p w:rsidR="002265C7" w:rsidRPr="0029323B" w:rsidRDefault="002265C7" w:rsidP="00D27F8A">
            <w:pPr>
              <w:pStyle w:val="TableFigText"/>
              <w:jc w:val="right"/>
            </w:pPr>
            <w:r w:rsidRPr="0029323B">
              <w:t>57,518</w:t>
            </w:r>
          </w:p>
        </w:tc>
        <w:tc>
          <w:tcPr>
            <w:tcW w:w="1034" w:type="dxa"/>
            <w:vAlign w:val="center"/>
          </w:tcPr>
          <w:p w:rsidR="002265C7" w:rsidRPr="0029323B" w:rsidRDefault="002265C7" w:rsidP="00D27F8A">
            <w:pPr>
              <w:pStyle w:val="TableFigText"/>
              <w:jc w:val="right"/>
            </w:pPr>
            <w:r w:rsidRPr="0029323B">
              <w:t>1,229</w:t>
            </w:r>
          </w:p>
        </w:tc>
        <w:tc>
          <w:tcPr>
            <w:tcW w:w="1026" w:type="dxa"/>
            <w:vAlign w:val="center"/>
          </w:tcPr>
          <w:p w:rsidR="002265C7" w:rsidRPr="00B476FB" w:rsidRDefault="002265C7" w:rsidP="00D27F8A">
            <w:pPr>
              <w:pStyle w:val="TableFigText"/>
              <w:jc w:val="right"/>
            </w:pPr>
            <w:r w:rsidRPr="0029323B">
              <w:t>n/a</w:t>
            </w:r>
          </w:p>
        </w:tc>
        <w:tc>
          <w:tcPr>
            <w:tcW w:w="1385" w:type="dxa"/>
            <w:vAlign w:val="center"/>
          </w:tcPr>
          <w:p w:rsidR="002265C7" w:rsidRPr="0029323B" w:rsidRDefault="002265C7" w:rsidP="00D27F8A">
            <w:pPr>
              <w:pStyle w:val="TableFigText"/>
              <w:jc w:val="right"/>
            </w:pPr>
            <w:r w:rsidRPr="0029323B">
              <w:t>2,134,658</w:t>
            </w:r>
          </w:p>
        </w:tc>
      </w:tr>
      <w:tr w:rsidR="002265C7" w:rsidRPr="00B476FB" w:rsidTr="002265C7">
        <w:tc>
          <w:tcPr>
            <w:tcW w:w="2138" w:type="dxa"/>
          </w:tcPr>
          <w:p w:rsidR="002265C7" w:rsidRPr="00B476FB" w:rsidRDefault="002265C7" w:rsidP="002265C7">
            <w:pPr>
              <w:pStyle w:val="TableFigText"/>
              <w:keepNext/>
              <w:rPr>
                <w:rFonts w:asciiTheme="minorHAnsi" w:hAnsiTheme="minorHAnsi" w:cstheme="minorHAnsi"/>
                <w:szCs w:val="22"/>
              </w:rPr>
            </w:pPr>
            <w:r w:rsidRPr="00B476FB">
              <w:rPr>
                <w:rFonts w:asciiTheme="minorHAnsi" w:hAnsiTheme="minorHAnsi" w:cstheme="minorHAnsi"/>
                <w:szCs w:val="22"/>
              </w:rPr>
              <w:t>Residential mental health care days</w:t>
            </w:r>
            <w:r w:rsidRPr="00B476FB">
              <w:rPr>
                <w:rFonts w:asciiTheme="minorHAnsi" w:hAnsiTheme="minorHAnsi" w:cstheme="minorHAnsi"/>
                <w:szCs w:val="22"/>
                <w:vertAlign w:val="superscript"/>
              </w:rPr>
              <w:t>(c)</w:t>
            </w:r>
          </w:p>
        </w:tc>
        <w:tc>
          <w:tcPr>
            <w:tcW w:w="1385" w:type="dxa"/>
            <w:vAlign w:val="center"/>
          </w:tcPr>
          <w:p w:rsidR="002265C7" w:rsidRPr="0029323B" w:rsidRDefault="002265C7" w:rsidP="00D27F8A">
            <w:pPr>
              <w:pStyle w:val="TableFigText"/>
              <w:jc w:val="right"/>
            </w:pPr>
            <w:r w:rsidRPr="0029323B">
              <w:t>376,774</w:t>
            </w:r>
          </w:p>
        </w:tc>
        <w:tc>
          <w:tcPr>
            <w:tcW w:w="1370" w:type="dxa"/>
            <w:vAlign w:val="center"/>
          </w:tcPr>
          <w:p w:rsidR="002265C7" w:rsidRPr="0029323B" w:rsidRDefault="002265C7" w:rsidP="00D27F8A">
            <w:pPr>
              <w:pStyle w:val="TableFigText"/>
              <w:jc w:val="right"/>
            </w:pPr>
            <w:r w:rsidRPr="0029323B">
              <w:t>87,030</w:t>
            </w:r>
          </w:p>
        </w:tc>
        <w:tc>
          <w:tcPr>
            <w:tcW w:w="1238" w:type="dxa"/>
            <w:vAlign w:val="center"/>
          </w:tcPr>
          <w:p w:rsidR="002265C7" w:rsidRPr="0029323B" w:rsidRDefault="002265C7" w:rsidP="00D27F8A">
            <w:pPr>
              <w:pStyle w:val="TableFigText"/>
              <w:jc w:val="right"/>
            </w:pPr>
            <w:r w:rsidRPr="0029323B">
              <w:t>2,380</w:t>
            </w:r>
          </w:p>
        </w:tc>
        <w:tc>
          <w:tcPr>
            <w:tcW w:w="1034" w:type="dxa"/>
            <w:vAlign w:val="center"/>
          </w:tcPr>
          <w:p w:rsidR="002265C7" w:rsidRPr="0029323B" w:rsidRDefault="002265C7" w:rsidP="00D27F8A">
            <w:pPr>
              <w:pStyle w:val="TableFigText"/>
              <w:jc w:val="right"/>
            </w:pPr>
            <w:r w:rsidRPr="0029323B">
              <w:t>260</w:t>
            </w:r>
          </w:p>
        </w:tc>
        <w:tc>
          <w:tcPr>
            <w:tcW w:w="1026" w:type="dxa"/>
            <w:vAlign w:val="center"/>
          </w:tcPr>
          <w:p w:rsidR="002265C7" w:rsidRPr="00B476FB" w:rsidRDefault="002265C7" w:rsidP="00D27F8A">
            <w:pPr>
              <w:pStyle w:val="TableFigText"/>
              <w:jc w:val="right"/>
            </w:pPr>
            <w:r w:rsidRPr="0029323B">
              <w:t>n/a</w:t>
            </w:r>
          </w:p>
        </w:tc>
        <w:tc>
          <w:tcPr>
            <w:tcW w:w="1385" w:type="dxa"/>
            <w:vAlign w:val="center"/>
          </w:tcPr>
          <w:p w:rsidR="002265C7" w:rsidRPr="00B476FB" w:rsidRDefault="002265C7" w:rsidP="00D27F8A">
            <w:pPr>
              <w:pStyle w:val="TableFigText"/>
              <w:jc w:val="right"/>
            </w:pPr>
            <w:r w:rsidRPr="00B476FB">
              <w:t>466,445</w:t>
            </w:r>
          </w:p>
        </w:tc>
      </w:tr>
    </w:tbl>
    <w:p w:rsidR="002265C7" w:rsidRPr="00541ED8" w:rsidRDefault="002265C7" w:rsidP="006B2ED0">
      <w:pPr>
        <w:pStyle w:val="TableFigNotesnumbered"/>
        <w:ind w:left="294" w:hanging="294"/>
        <w:rPr>
          <w:rStyle w:val="table-note"/>
        </w:rPr>
      </w:pPr>
      <w:proofErr w:type="gramStart"/>
      <w:r w:rsidRPr="00541ED8">
        <w:rPr>
          <w:rStyle w:val="table-note"/>
        </w:rPr>
        <w:t>n/a</w:t>
      </w:r>
      <w:proofErr w:type="gramEnd"/>
      <w:r w:rsidRPr="00541ED8">
        <w:rPr>
          <w:rStyle w:val="table-note"/>
        </w:rPr>
        <w:tab/>
        <w:t>Not applicable.</w:t>
      </w:r>
    </w:p>
    <w:p w:rsidR="002265C7" w:rsidRPr="00541ED8" w:rsidRDefault="002265C7" w:rsidP="00540186">
      <w:pPr>
        <w:pStyle w:val="TableFigNotesnumbered"/>
        <w:numPr>
          <w:ilvl w:val="0"/>
          <w:numId w:val="69"/>
        </w:numPr>
        <w:rPr>
          <w:rStyle w:val="table-note"/>
        </w:rPr>
      </w:pPr>
      <w:r w:rsidRPr="00541ED8">
        <w:rPr>
          <w:rStyle w:val="table-note"/>
        </w:rPr>
        <w:t xml:space="preserve">Hospital days, also known as accrued mental health care days for public hospital services, will not equal figures reported from the National hospital morbidity database due to scope differences between the two collections.  </w:t>
      </w:r>
    </w:p>
    <w:p w:rsidR="002265C7" w:rsidRPr="00541ED8" w:rsidRDefault="002265C7" w:rsidP="00540186">
      <w:pPr>
        <w:pStyle w:val="TableFigNotesnumbered"/>
        <w:numPr>
          <w:ilvl w:val="0"/>
          <w:numId w:val="69"/>
        </w:numPr>
        <w:rPr>
          <w:rStyle w:val="table-note"/>
        </w:rPr>
      </w:pPr>
      <w:r w:rsidRPr="00541ED8">
        <w:rPr>
          <w:rStyle w:val="table-note"/>
        </w:rPr>
        <w:t xml:space="preserve">Community mental health care contacts will not equate to those reported from the Community mental health care database due to differing scope. </w:t>
      </w:r>
    </w:p>
    <w:p w:rsidR="002265C7" w:rsidRPr="00541ED8" w:rsidRDefault="002265C7" w:rsidP="00540186">
      <w:pPr>
        <w:pStyle w:val="TableFigNotesnumbered"/>
        <w:numPr>
          <w:ilvl w:val="0"/>
          <w:numId w:val="69"/>
        </w:numPr>
        <w:rPr>
          <w:rStyle w:val="table-note"/>
        </w:rPr>
      </w:pPr>
      <w:proofErr w:type="gramStart"/>
      <w:r w:rsidRPr="00541ED8">
        <w:rPr>
          <w:rStyle w:val="table-note"/>
        </w:rPr>
        <w:t>Residential mental health care days comprises</w:t>
      </w:r>
      <w:proofErr w:type="gramEnd"/>
      <w:r w:rsidRPr="00541ED8">
        <w:rPr>
          <w:rStyle w:val="table-note"/>
        </w:rPr>
        <w:t xml:space="preserve"> the number of care days provided by all services, including government and non-government operated services, and 24-hour and non-24-hour staffed services. Figures will not equate to those reported from the Residential mental health care database due to differing collection scopes.</w:t>
      </w:r>
    </w:p>
    <w:p w:rsidR="002265C7" w:rsidRPr="00207B28" w:rsidRDefault="002265C7" w:rsidP="002265C7">
      <w:pPr>
        <w:pStyle w:val="AIHWbodytext"/>
        <w:rPr>
          <w:rFonts w:asciiTheme="minorHAnsi" w:hAnsiTheme="minorHAnsi"/>
        </w:rPr>
      </w:pPr>
    </w:p>
    <w:p w:rsidR="002265C7" w:rsidRPr="0096114C" w:rsidRDefault="0096114C" w:rsidP="002265C7">
      <w:pPr>
        <w:pStyle w:val="TableCaption"/>
        <w:rPr>
          <w:rStyle w:val="table-note"/>
        </w:rPr>
      </w:pPr>
      <w:r w:rsidRPr="0096114C">
        <w:rPr>
          <w:rStyle w:val="table-note"/>
        </w:rPr>
        <w:t xml:space="preserve">Table 21: </w:t>
      </w:r>
      <w:r w:rsidR="002265C7" w:rsidRPr="0096114C">
        <w:rPr>
          <w:rStyle w:val="table-note"/>
        </w:rPr>
        <w:t>VIC: State and territory specialised mental health service activity, by service type, 2011–12</w:t>
      </w:r>
    </w:p>
    <w:tbl>
      <w:tblPr>
        <w:tblStyle w:val="TableGrid"/>
        <w:tblW w:w="0" w:type="auto"/>
        <w:tblLook w:val="04A0" w:firstRow="1" w:lastRow="0" w:firstColumn="1" w:lastColumn="0" w:noHBand="0" w:noVBand="1"/>
        <w:tblCaption w:val="VIC: State and territory specialised mental health service activity, by service type, 2011–12"/>
        <w:tblDescription w:val="Table showing that, in 2011-2012, community mental health care data are not available for VIC due to protected industrial action. Residential mental health care days (474,656) were higher than hospital days (394,841) overall, across region types with the highest numbers being in major cities (386,905) and (332,545) respectively."/>
      </w:tblPr>
      <w:tblGrid>
        <w:gridCol w:w="2382"/>
        <w:gridCol w:w="1059"/>
        <w:gridCol w:w="1379"/>
        <w:gridCol w:w="1251"/>
        <w:gridCol w:w="1047"/>
        <w:gridCol w:w="1093"/>
        <w:gridCol w:w="1075"/>
      </w:tblGrid>
      <w:tr w:rsidR="002265C7" w:rsidRPr="00B476FB" w:rsidTr="000C3DEA">
        <w:trPr>
          <w:tblHeader/>
        </w:trPr>
        <w:tc>
          <w:tcPr>
            <w:tcW w:w="2490" w:type="dxa"/>
          </w:tcPr>
          <w:p w:rsidR="002265C7" w:rsidRPr="00B476FB" w:rsidRDefault="002265C7" w:rsidP="002265C7">
            <w:pPr>
              <w:pStyle w:val="TableFigText"/>
              <w:rPr>
                <w:rFonts w:asciiTheme="minorHAnsi" w:hAnsiTheme="minorHAnsi" w:cstheme="minorHAnsi"/>
                <w:szCs w:val="22"/>
              </w:rPr>
            </w:pPr>
          </w:p>
        </w:tc>
        <w:tc>
          <w:tcPr>
            <w:tcW w:w="1079" w:type="dxa"/>
          </w:tcPr>
          <w:p w:rsidR="002265C7" w:rsidRPr="00B476FB" w:rsidRDefault="002265C7" w:rsidP="002265C7">
            <w:pPr>
              <w:pStyle w:val="TableFigText"/>
              <w:jc w:val="right"/>
              <w:rPr>
                <w:rFonts w:asciiTheme="minorHAnsi" w:hAnsiTheme="minorHAnsi" w:cstheme="minorHAnsi"/>
                <w:b/>
                <w:szCs w:val="22"/>
              </w:rPr>
            </w:pPr>
            <w:r w:rsidRPr="00B476FB">
              <w:rPr>
                <w:rFonts w:asciiTheme="minorHAnsi" w:hAnsiTheme="minorHAnsi" w:cstheme="minorHAnsi"/>
                <w:b/>
                <w:szCs w:val="22"/>
              </w:rPr>
              <w:t>Major cities</w:t>
            </w:r>
          </w:p>
        </w:tc>
        <w:tc>
          <w:tcPr>
            <w:tcW w:w="1427" w:type="dxa"/>
          </w:tcPr>
          <w:p w:rsidR="002265C7" w:rsidRPr="00B476FB" w:rsidRDefault="002265C7" w:rsidP="002265C7">
            <w:pPr>
              <w:pStyle w:val="TableFigText"/>
              <w:jc w:val="right"/>
              <w:rPr>
                <w:rFonts w:asciiTheme="minorHAnsi" w:hAnsiTheme="minorHAnsi" w:cstheme="minorHAnsi"/>
                <w:b/>
                <w:szCs w:val="22"/>
              </w:rPr>
            </w:pPr>
            <w:r w:rsidRPr="00B476FB">
              <w:rPr>
                <w:rFonts w:asciiTheme="minorHAnsi" w:hAnsiTheme="minorHAnsi" w:cstheme="minorHAnsi"/>
                <w:b/>
                <w:szCs w:val="22"/>
              </w:rPr>
              <w:t>Inner regional</w:t>
            </w:r>
          </w:p>
        </w:tc>
        <w:tc>
          <w:tcPr>
            <w:tcW w:w="1289" w:type="dxa"/>
          </w:tcPr>
          <w:p w:rsidR="002265C7" w:rsidRPr="00B476FB" w:rsidRDefault="002265C7" w:rsidP="002265C7">
            <w:pPr>
              <w:pStyle w:val="TableFigText"/>
              <w:jc w:val="right"/>
              <w:rPr>
                <w:rFonts w:asciiTheme="minorHAnsi" w:hAnsiTheme="minorHAnsi" w:cstheme="minorHAnsi"/>
                <w:b/>
                <w:szCs w:val="22"/>
              </w:rPr>
            </w:pPr>
            <w:r w:rsidRPr="00B476FB">
              <w:rPr>
                <w:rFonts w:asciiTheme="minorHAnsi" w:hAnsiTheme="minorHAnsi" w:cstheme="minorHAnsi"/>
                <w:b/>
                <w:szCs w:val="22"/>
              </w:rPr>
              <w:t>Outer regional</w:t>
            </w:r>
          </w:p>
        </w:tc>
        <w:tc>
          <w:tcPr>
            <w:tcW w:w="1071" w:type="dxa"/>
          </w:tcPr>
          <w:p w:rsidR="002265C7" w:rsidRPr="00B476FB" w:rsidRDefault="002265C7" w:rsidP="002265C7">
            <w:pPr>
              <w:pStyle w:val="TableFigText"/>
              <w:jc w:val="right"/>
              <w:rPr>
                <w:rFonts w:asciiTheme="minorHAnsi" w:hAnsiTheme="minorHAnsi" w:cstheme="minorHAnsi"/>
                <w:b/>
                <w:szCs w:val="22"/>
              </w:rPr>
            </w:pPr>
            <w:r w:rsidRPr="00B476FB">
              <w:rPr>
                <w:rFonts w:asciiTheme="minorHAnsi" w:hAnsiTheme="minorHAnsi" w:cstheme="minorHAnsi"/>
                <w:b/>
                <w:szCs w:val="22"/>
              </w:rPr>
              <w:t>Remote</w:t>
            </w:r>
          </w:p>
        </w:tc>
        <w:tc>
          <w:tcPr>
            <w:tcW w:w="1123" w:type="dxa"/>
          </w:tcPr>
          <w:p w:rsidR="002265C7" w:rsidRPr="00B476FB" w:rsidRDefault="002265C7" w:rsidP="002265C7">
            <w:pPr>
              <w:pStyle w:val="TableFigText"/>
              <w:jc w:val="right"/>
              <w:rPr>
                <w:rFonts w:asciiTheme="minorHAnsi" w:hAnsiTheme="minorHAnsi" w:cstheme="minorHAnsi"/>
                <w:b/>
                <w:szCs w:val="22"/>
              </w:rPr>
            </w:pPr>
            <w:r w:rsidRPr="00B476FB">
              <w:rPr>
                <w:rFonts w:asciiTheme="minorHAnsi" w:hAnsiTheme="minorHAnsi" w:cstheme="minorHAnsi"/>
                <w:b/>
                <w:szCs w:val="22"/>
              </w:rPr>
              <w:t>Very remote</w:t>
            </w:r>
          </w:p>
        </w:tc>
        <w:tc>
          <w:tcPr>
            <w:tcW w:w="1097" w:type="dxa"/>
          </w:tcPr>
          <w:p w:rsidR="002265C7" w:rsidRPr="00B476FB" w:rsidRDefault="002265C7" w:rsidP="002265C7">
            <w:pPr>
              <w:pStyle w:val="TableFigText"/>
              <w:jc w:val="right"/>
              <w:rPr>
                <w:rFonts w:asciiTheme="minorHAnsi" w:hAnsiTheme="minorHAnsi" w:cstheme="minorHAnsi"/>
                <w:b/>
                <w:szCs w:val="22"/>
              </w:rPr>
            </w:pPr>
            <w:r w:rsidRPr="00B476FB">
              <w:rPr>
                <w:rFonts w:asciiTheme="minorHAnsi" w:hAnsiTheme="minorHAnsi" w:cstheme="minorHAnsi"/>
                <w:b/>
                <w:szCs w:val="22"/>
              </w:rPr>
              <w:t>Total</w:t>
            </w:r>
          </w:p>
        </w:tc>
      </w:tr>
      <w:tr w:rsidR="002265C7" w:rsidRPr="00B476FB" w:rsidTr="002265C7">
        <w:tc>
          <w:tcPr>
            <w:tcW w:w="2490" w:type="dxa"/>
          </w:tcPr>
          <w:p w:rsidR="002265C7" w:rsidRPr="00B476FB" w:rsidRDefault="002265C7" w:rsidP="002265C7">
            <w:pPr>
              <w:pStyle w:val="TableFigText"/>
              <w:rPr>
                <w:rFonts w:asciiTheme="minorHAnsi" w:hAnsiTheme="minorHAnsi" w:cstheme="minorHAnsi"/>
                <w:szCs w:val="22"/>
              </w:rPr>
            </w:pPr>
            <w:r w:rsidRPr="00B476FB">
              <w:rPr>
                <w:rFonts w:asciiTheme="minorHAnsi" w:hAnsiTheme="minorHAnsi" w:cstheme="minorHAnsi"/>
                <w:szCs w:val="22"/>
              </w:rPr>
              <w:t>Hospital days</w:t>
            </w:r>
            <w:r w:rsidRPr="00B476FB">
              <w:rPr>
                <w:rFonts w:asciiTheme="minorHAnsi" w:hAnsiTheme="minorHAnsi" w:cstheme="minorHAnsi"/>
                <w:szCs w:val="22"/>
                <w:vertAlign w:val="superscript"/>
              </w:rPr>
              <w:t>(a)</w:t>
            </w:r>
          </w:p>
        </w:tc>
        <w:tc>
          <w:tcPr>
            <w:tcW w:w="1079" w:type="dxa"/>
            <w:vAlign w:val="center"/>
          </w:tcPr>
          <w:p w:rsidR="002265C7" w:rsidRPr="0029323B" w:rsidRDefault="002265C7" w:rsidP="00D27F8A">
            <w:pPr>
              <w:pStyle w:val="TableFigText"/>
              <w:jc w:val="right"/>
            </w:pPr>
            <w:r w:rsidRPr="0029323B">
              <w:t>332,545</w:t>
            </w:r>
          </w:p>
        </w:tc>
        <w:tc>
          <w:tcPr>
            <w:tcW w:w="1427" w:type="dxa"/>
            <w:vAlign w:val="center"/>
          </w:tcPr>
          <w:p w:rsidR="002265C7" w:rsidRPr="0029323B" w:rsidRDefault="002265C7" w:rsidP="00D27F8A">
            <w:pPr>
              <w:pStyle w:val="TableFigText"/>
              <w:jc w:val="right"/>
            </w:pPr>
            <w:r w:rsidRPr="0029323B">
              <w:t>58,453</w:t>
            </w:r>
          </w:p>
        </w:tc>
        <w:tc>
          <w:tcPr>
            <w:tcW w:w="1289" w:type="dxa"/>
            <w:vAlign w:val="center"/>
          </w:tcPr>
          <w:p w:rsidR="002265C7" w:rsidRPr="0029323B" w:rsidRDefault="002265C7" w:rsidP="00D27F8A">
            <w:pPr>
              <w:pStyle w:val="TableFigText"/>
              <w:jc w:val="right"/>
            </w:pPr>
            <w:r w:rsidRPr="0029323B">
              <w:t>3,843</w:t>
            </w:r>
          </w:p>
        </w:tc>
        <w:tc>
          <w:tcPr>
            <w:tcW w:w="1071" w:type="dxa"/>
            <w:vAlign w:val="center"/>
          </w:tcPr>
          <w:p w:rsidR="002265C7" w:rsidRPr="0029323B" w:rsidRDefault="002265C7" w:rsidP="00D27F8A">
            <w:pPr>
              <w:pStyle w:val="TableFigText"/>
              <w:jc w:val="right"/>
            </w:pPr>
            <w:r w:rsidRPr="0029323B">
              <w:t>0</w:t>
            </w:r>
          </w:p>
        </w:tc>
        <w:tc>
          <w:tcPr>
            <w:tcW w:w="1123" w:type="dxa"/>
            <w:vAlign w:val="center"/>
          </w:tcPr>
          <w:p w:rsidR="002265C7" w:rsidRPr="00B476FB" w:rsidRDefault="002265C7" w:rsidP="00D27F8A">
            <w:pPr>
              <w:pStyle w:val="TableFigText"/>
              <w:jc w:val="right"/>
            </w:pPr>
            <w:r w:rsidRPr="0029323B">
              <w:t>n/a</w:t>
            </w:r>
          </w:p>
        </w:tc>
        <w:tc>
          <w:tcPr>
            <w:tcW w:w="1097" w:type="dxa"/>
            <w:vAlign w:val="center"/>
          </w:tcPr>
          <w:p w:rsidR="002265C7" w:rsidRPr="0029323B" w:rsidRDefault="002265C7" w:rsidP="00D27F8A">
            <w:pPr>
              <w:pStyle w:val="TableFigText"/>
              <w:jc w:val="right"/>
            </w:pPr>
            <w:r w:rsidRPr="0029323B">
              <w:t>394,841</w:t>
            </w:r>
          </w:p>
        </w:tc>
      </w:tr>
      <w:tr w:rsidR="002265C7" w:rsidRPr="00B476FB" w:rsidTr="002265C7">
        <w:tc>
          <w:tcPr>
            <w:tcW w:w="2490" w:type="dxa"/>
          </w:tcPr>
          <w:p w:rsidR="002265C7" w:rsidRPr="00B476FB" w:rsidRDefault="002265C7" w:rsidP="002265C7">
            <w:pPr>
              <w:pStyle w:val="TableFigText"/>
              <w:rPr>
                <w:rFonts w:asciiTheme="minorHAnsi" w:hAnsiTheme="minorHAnsi" w:cstheme="minorHAnsi"/>
                <w:szCs w:val="22"/>
              </w:rPr>
            </w:pPr>
            <w:r w:rsidRPr="00B476FB">
              <w:rPr>
                <w:rFonts w:asciiTheme="minorHAnsi" w:hAnsiTheme="minorHAnsi" w:cstheme="minorHAnsi"/>
                <w:szCs w:val="22"/>
              </w:rPr>
              <w:t>Community mental health care contacts</w:t>
            </w:r>
            <w:r w:rsidRPr="00B476FB">
              <w:rPr>
                <w:rFonts w:asciiTheme="minorHAnsi" w:hAnsiTheme="minorHAnsi" w:cstheme="minorHAnsi"/>
                <w:szCs w:val="22"/>
                <w:vertAlign w:val="superscript"/>
              </w:rPr>
              <w:t>(b)</w:t>
            </w:r>
            <w:r w:rsidRPr="00B476FB">
              <w:rPr>
                <w:rFonts w:asciiTheme="minorHAnsi" w:hAnsiTheme="minorHAnsi" w:cstheme="minorHAnsi"/>
                <w:szCs w:val="22"/>
              </w:rPr>
              <w:t xml:space="preserve"> </w:t>
            </w:r>
          </w:p>
        </w:tc>
        <w:tc>
          <w:tcPr>
            <w:tcW w:w="1079" w:type="dxa"/>
            <w:vAlign w:val="center"/>
          </w:tcPr>
          <w:p w:rsidR="002265C7" w:rsidRPr="00B476FB" w:rsidRDefault="002265C7" w:rsidP="00D27F8A">
            <w:pPr>
              <w:pStyle w:val="TableFigText"/>
              <w:jc w:val="right"/>
            </w:pPr>
            <w:r w:rsidRPr="00B476FB">
              <w:t>0</w:t>
            </w:r>
          </w:p>
        </w:tc>
        <w:tc>
          <w:tcPr>
            <w:tcW w:w="1427" w:type="dxa"/>
            <w:vAlign w:val="center"/>
          </w:tcPr>
          <w:p w:rsidR="002265C7" w:rsidRPr="00B476FB" w:rsidRDefault="002265C7" w:rsidP="00D27F8A">
            <w:pPr>
              <w:pStyle w:val="TableFigText"/>
              <w:jc w:val="right"/>
            </w:pPr>
            <w:r w:rsidRPr="00B476FB">
              <w:t>0</w:t>
            </w:r>
          </w:p>
        </w:tc>
        <w:tc>
          <w:tcPr>
            <w:tcW w:w="1289" w:type="dxa"/>
            <w:vAlign w:val="center"/>
          </w:tcPr>
          <w:p w:rsidR="002265C7" w:rsidRPr="00B476FB" w:rsidRDefault="002265C7" w:rsidP="00D27F8A">
            <w:pPr>
              <w:pStyle w:val="TableFigText"/>
              <w:jc w:val="right"/>
            </w:pPr>
            <w:r w:rsidRPr="00B476FB">
              <w:t>0</w:t>
            </w:r>
          </w:p>
        </w:tc>
        <w:tc>
          <w:tcPr>
            <w:tcW w:w="1071" w:type="dxa"/>
            <w:vAlign w:val="center"/>
          </w:tcPr>
          <w:p w:rsidR="002265C7" w:rsidRPr="00B476FB" w:rsidRDefault="002265C7" w:rsidP="00D27F8A">
            <w:pPr>
              <w:pStyle w:val="TableFigText"/>
              <w:jc w:val="right"/>
            </w:pPr>
            <w:r w:rsidRPr="00B476FB">
              <w:t>0</w:t>
            </w:r>
          </w:p>
        </w:tc>
        <w:tc>
          <w:tcPr>
            <w:tcW w:w="1123" w:type="dxa"/>
            <w:vAlign w:val="center"/>
          </w:tcPr>
          <w:p w:rsidR="002265C7" w:rsidRPr="00B476FB" w:rsidRDefault="002265C7" w:rsidP="00D27F8A">
            <w:pPr>
              <w:pStyle w:val="TableFigText"/>
              <w:jc w:val="right"/>
            </w:pPr>
            <w:r w:rsidRPr="0029323B">
              <w:t>n/a</w:t>
            </w:r>
          </w:p>
        </w:tc>
        <w:tc>
          <w:tcPr>
            <w:tcW w:w="1097" w:type="dxa"/>
            <w:vAlign w:val="center"/>
          </w:tcPr>
          <w:p w:rsidR="002265C7" w:rsidRPr="00B476FB" w:rsidRDefault="002265C7" w:rsidP="00D27F8A">
            <w:pPr>
              <w:pStyle w:val="TableFigText"/>
              <w:jc w:val="right"/>
            </w:pPr>
            <w:r w:rsidRPr="00B476FB">
              <w:t>0</w:t>
            </w:r>
          </w:p>
        </w:tc>
      </w:tr>
      <w:tr w:rsidR="002265C7" w:rsidRPr="00B476FB" w:rsidTr="002265C7">
        <w:tc>
          <w:tcPr>
            <w:tcW w:w="2490" w:type="dxa"/>
          </w:tcPr>
          <w:p w:rsidR="002265C7" w:rsidRPr="00B476FB" w:rsidRDefault="002265C7" w:rsidP="002265C7">
            <w:pPr>
              <w:pStyle w:val="TableFigText"/>
              <w:rPr>
                <w:rFonts w:asciiTheme="minorHAnsi" w:hAnsiTheme="minorHAnsi" w:cstheme="minorHAnsi"/>
                <w:szCs w:val="22"/>
              </w:rPr>
            </w:pPr>
            <w:r w:rsidRPr="00B476FB">
              <w:rPr>
                <w:rFonts w:asciiTheme="minorHAnsi" w:hAnsiTheme="minorHAnsi" w:cstheme="minorHAnsi"/>
                <w:szCs w:val="22"/>
              </w:rPr>
              <w:t>Residential mental health care days</w:t>
            </w:r>
            <w:r w:rsidRPr="00B476FB">
              <w:rPr>
                <w:rFonts w:asciiTheme="minorHAnsi" w:hAnsiTheme="minorHAnsi" w:cstheme="minorHAnsi"/>
                <w:szCs w:val="22"/>
                <w:vertAlign w:val="superscript"/>
              </w:rPr>
              <w:t>(c)</w:t>
            </w:r>
          </w:p>
        </w:tc>
        <w:tc>
          <w:tcPr>
            <w:tcW w:w="1079" w:type="dxa"/>
            <w:vAlign w:val="center"/>
          </w:tcPr>
          <w:p w:rsidR="002265C7" w:rsidRPr="0029323B" w:rsidRDefault="002265C7" w:rsidP="00D27F8A">
            <w:pPr>
              <w:pStyle w:val="TableFigText"/>
              <w:jc w:val="right"/>
            </w:pPr>
            <w:r w:rsidRPr="0029323B">
              <w:t>386,905</w:t>
            </w:r>
          </w:p>
        </w:tc>
        <w:tc>
          <w:tcPr>
            <w:tcW w:w="1427" w:type="dxa"/>
            <w:vAlign w:val="center"/>
          </w:tcPr>
          <w:p w:rsidR="002265C7" w:rsidRPr="0029323B" w:rsidRDefault="002265C7" w:rsidP="00D27F8A">
            <w:pPr>
              <w:pStyle w:val="TableFigText"/>
              <w:jc w:val="right"/>
            </w:pPr>
            <w:r w:rsidRPr="0029323B">
              <w:t>85,073</w:t>
            </w:r>
          </w:p>
        </w:tc>
        <w:tc>
          <w:tcPr>
            <w:tcW w:w="1289" w:type="dxa"/>
            <w:vAlign w:val="center"/>
          </w:tcPr>
          <w:p w:rsidR="002265C7" w:rsidRPr="0029323B" w:rsidRDefault="002265C7" w:rsidP="00D27F8A">
            <w:pPr>
              <w:pStyle w:val="TableFigText"/>
              <w:jc w:val="right"/>
            </w:pPr>
            <w:r w:rsidRPr="0029323B">
              <w:t>2,416</w:t>
            </w:r>
          </w:p>
        </w:tc>
        <w:tc>
          <w:tcPr>
            <w:tcW w:w="1071" w:type="dxa"/>
            <w:vAlign w:val="center"/>
          </w:tcPr>
          <w:p w:rsidR="002265C7" w:rsidRPr="0029323B" w:rsidRDefault="002265C7" w:rsidP="00D27F8A">
            <w:pPr>
              <w:pStyle w:val="TableFigText"/>
              <w:jc w:val="right"/>
            </w:pPr>
            <w:r w:rsidRPr="0029323B">
              <w:t>261</w:t>
            </w:r>
          </w:p>
        </w:tc>
        <w:tc>
          <w:tcPr>
            <w:tcW w:w="1123" w:type="dxa"/>
            <w:vAlign w:val="center"/>
          </w:tcPr>
          <w:p w:rsidR="002265C7" w:rsidRPr="00B476FB" w:rsidRDefault="002265C7" w:rsidP="00D27F8A">
            <w:pPr>
              <w:pStyle w:val="TableFigText"/>
              <w:jc w:val="right"/>
            </w:pPr>
            <w:r w:rsidRPr="0029323B">
              <w:t>n/a</w:t>
            </w:r>
          </w:p>
        </w:tc>
        <w:tc>
          <w:tcPr>
            <w:tcW w:w="1097" w:type="dxa"/>
            <w:vAlign w:val="center"/>
          </w:tcPr>
          <w:p w:rsidR="002265C7" w:rsidRPr="0029323B" w:rsidRDefault="002265C7" w:rsidP="00D27F8A">
            <w:pPr>
              <w:pStyle w:val="TableFigText"/>
              <w:jc w:val="right"/>
            </w:pPr>
            <w:r w:rsidRPr="0029323B">
              <w:t>474,656</w:t>
            </w:r>
          </w:p>
        </w:tc>
      </w:tr>
    </w:tbl>
    <w:p w:rsidR="002265C7" w:rsidRPr="006876F2" w:rsidRDefault="002265C7" w:rsidP="006B2ED0">
      <w:pPr>
        <w:pStyle w:val="TableFigNotesnumbered"/>
        <w:ind w:left="294" w:hanging="294"/>
        <w:rPr>
          <w:rStyle w:val="table-note"/>
        </w:rPr>
      </w:pPr>
      <w:proofErr w:type="gramStart"/>
      <w:r w:rsidRPr="006876F2">
        <w:rPr>
          <w:rStyle w:val="table-note"/>
        </w:rPr>
        <w:t>n/a</w:t>
      </w:r>
      <w:proofErr w:type="gramEnd"/>
      <w:r w:rsidRPr="006876F2">
        <w:rPr>
          <w:rStyle w:val="table-note"/>
        </w:rPr>
        <w:tab/>
        <w:t>Not applicable.</w:t>
      </w:r>
    </w:p>
    <w:p w:rsidR="002265C7" w:rsidRPr="006876F2" w:rsidRDefault="002265C7" w:rsidP="00540186">
      <w:pPr>
        <w:pStyle w:val="TableFigNotesnumbered"/>
        <w:numPr>
          <w:ilvl w:val="0"/>
          <w:numId w:val="70"/>
        </w:numPr>
        <w:rPr>
          <w:rStyle w:val="table-note"/>
        </w:rPr>
      </w:pPr>
      <w:r w:rsidRPr="006876F2">
        <w:rPr>
          <w:rStyle w:val="table-note"/>
        </w:rPr>
        <w:t xml:space="preserve">Hospital days, also known as accrued mental health care days for public hospital services, will not equal figures reported from the National hospital morbidity database due to scope differences between the two collections.  </w:t>
      </w:r>
    </w:p>
    <w:p w:rsidR="002265C7" w:rsidRPr="006876F2" w:rsidRDefault="002265C7" w:rsidP="00540186">
      <w:pPr>
        <w:pStyle w:val="TableFigNotesnumbered"/>
        <w:numPr>
          <w:ilvl w:val="0"/>
          <w:numId w:val="70"/>
        </w:numPr>
        <w:rPr>
          <w:rStyle w:val="table-note"/>
        </w:rPr>
      </w:pPr>
      <w:r w:rsidRPr="006876F2">
        <w:rPr>
          <w:rStyle w:val="table-note"/>
        </w:rPr>
        <w:t>Community mental health care data are not available for Victoria in 2011–12 due to service level collection gaps resulting from protected industrial action during this period.</w:t>
      </w:r>
    </w:p>
    <w:p w:rsidR="002265C7" w:rsidRPr="006876F2" w:rsidRDefault="002265C7" w:rsidP="00540186">
      <w:pPr>
        <w:pStyle w:val="TableFigNotesnumbered"/>
        <w:numPr>
          <w:ilvl w:val="0"/>
          <w:numId w:val="70"/>
        </w:numPr>
        <w:rPr>
          <w:rStyle w:val="table-note"/>
        </w:rPr>
      </w:pPr>
      <w:proofErr w:type="gramStart"/>
      <w:r w:rsidRPr="006876F2">
        <w:rPr>
          <w:rStyle w:val="table-note"/>
        </w:rPr>
        <w:t>Residential mental health care days comprises</w:t>
      </w:r>
      <w:proofErr w:type="gramEnd"/>
      <w:r w:rsidRPr="006876F2">
        <w:rPr>
          <w:rStyle w:val="table-note"/>
        </w:rPr>
        <w:t xml:space="preserve"> the number of care days provided by all services, including government and non-government operated services, and 24-hour and non-24-hour staffed services. Figures will not equate to those reported from the Residential mental health care database due to differing collection scopes.</w:t>
      </w:r>
    </w:p>
    <w:p w:rsidR="002265C7" w:rsidRPr="00AF5F7E" w:rsidRDefault="002265C7" w:rsidP="002265C7">
      <w:pPr>
        <w:pStyle w:val="AIHWbodytext"/>
      </w:pPr>
    </w:p>
    <w:p w:rsidR="002265C7" w:rsidRDefault="002265C7">
      <w:pPr>
        <w:spacing w:before="0" w:after="0" w:line="240" w:lineRule="auto"/>
      </w:pPr>
      <w:r>
        <w:br w:type="page"/>
      </w:r>
    </w:p>
    <w:p w:rsidR="002265C7" w:rsidRPr="008B7E34" w:rsidRDefault="002265C7" w:rsidP="00157EBD">
      <w:pPr>
        <w:pStyle w:val="Heading3"/>
        <w:tabs>
          <w:tab w:val="left" w:pos="756"/>
        </w:tabs>
      </w:pPr>
      <w:bookmarkStart w:id="13" w:name="_Toc403057864"/>
      <w:r>
        <w:lastRenderedPageBreak/>
        <w:t>Queensland</w:t>
      </w:r>
      <w:bookmarkEnd w:id="13"/>
    </w:p>
    <w:p w:rsidR="002265C7" w:rsidRPr="0096114C" w:rsidRDefault="0096114C" w:rsidP="002265C7">
      <w:pPr>
        <w:pStyle w:val="TableCaption"/>
        <w:rPr>
          <w:rStyle w:val="table-note"/>
        </w:rPr>
      </w:pPr>
      <w:r w:rsidRPr="0096114C">
        <w:rPr>
          <w:rStyle w:val="table-note"/>
        </w:rPr>
        <w:t xml:space="preserve">Table 22: </w:t>
      </w:r>
      <w:r w:rsidR="002265C7" w:rsidRPr="0096114C">
        <w:rPr>
          <w:rStyle w:val="table-note"/>
        </w:rPr>
        <w:t xml:space="preserve">QLD: Recurrent </w:t>
      </w:r>
      <w:proofErr w:type="gramStart"/>
      <w:r w:rsidR="002265C7" w:rsidRPr="0096114C">
        <w:rPr>
          <w:rStyle w:val="table-note"/>
        </w:rPr>
        <w:t>expenditure</w:t>
      </w:r>
      <w:r w:rsidR="002265C7" w:rsidRPr="0096114C">
        <w:rPr>
          <w:rStyle w:val="table-note"/>
          <w:vertAlign w:val="superscript"/>
        </w:rPr>
        <w:t>(</w:t>
      </w:r>
      <w:proofErr w:type="gramEnd"/>
      <w:r w:rsidR="002265C7" w:rsidRPr="0096114C">
        <w:rPr>
          <w:rStyle w:val="table-note"/>
          <w:vertAlign w:val="superscript"/>
        </w:rPr>
        <w:t>a)(b)</w:t>
      </w:r>
      <w:r w:rsidR="002265C7" w:rsidRPr="0096114C">
        <w:rPr>
          <w:rStyle w:val="table-note"/>
        </w:rPr>
        <w:t xml:space="preserve"> ($’000) on state and territory specialised mental health services, by service type, 2007–08 (constant prices)</w:t>
      </w:r>
      <w:r w:rsidR="002265C7" w:rsidRPr="0096114C">
        <w:rPr>
          <w:rStyle w:val="table-note"/>
          <w:vertAlign w:val="superscript"/>
        </w:rPr>
        <w:t>(c)</w:t>
      </w:r>
    </w:p>
    <w:tbl>
      <w:tblPr>
        <w:tblStyle w:val="TableGrid"/>
        <w:tblW w:w="0" w:type="auto"/>
        <w:tblLook w:val="04A0" w:firstRow="1" w:lastRow="0" w:firstColumn="1" w:lastColumn="0" w:noHBand="0" w:noVBand="1"/>
        <w:tblCaption w:val="QLD: Recurrent expenditure(a)(b) ($’000) on state and territory specialised mental health services, by service type, 2007–08 (constant prices)(c)"/>
        <w:tblDescription w:val="Table showing that, in 2007-2008, major cities in QLD have the highest recurrent expenditure for specialised mental health services at $415,535,000. Recurrent expenditure decreased as regions became more remote. Public hospital services had the highest overall recurrent expenditure, over region types, at $341,159,000. Queensland does not fund residential mental health services."/>
      </w:tblPr>
      <w:tblGrid>
        <w:gridCol w:w="2381"/>
        <w:gridCol w:w="1054"/>
        <w:gridCol w:w="1375"/>
        <w:gridCol w:w="1245"/>
        <w:gridCol w:w="1043"/>
        <w:gridCol w:w="1088"/>
        <w:gridCol w:w="1100"/>
      </w:tblGrid>
      <w:tr w:rsidR="002265C7" w:rsidRPr="001B1E83" w:rsidTr="000C3DEA">
        <w:trPr>
          <w:tblHeader/>
        </w:trPr>
        <w:tc>
          <w:tcPr>
            <w:tcW w:w="2490" w:type="dxa"/>
          </w:tcPr>
          <w:p w:rsidR="002265C7" w:rsidRPr="001B1E83" w:rsidRDefault="002265C7" w:rsidP="002265C7">
            <w:pPr>
              <w:pStyle w:val="TableFigText"/>
              <w:rPr>
                <w:rFonts w:asciiTheme="minorHAnsi" w:hAnsiTheme="minorHAnsi" w:cstheme="minorHAnsi"/>
                <w:szCs w:val="22"/>
              </w:rPr>
            </w:pPr>
          </w:p>
        </w:tc>
        <w:tc>
          <w:tcPr>
            <w:tcW w:w="1074" w:type="dxa"/>
          </w:tcPr>
          <w:p w:rsidR="002265C7" w:rsidRPr="001B1E83" w:rsidRDefault="002265C7" w:rsidP="002265C7">
            <w:pPr>
              <w:pStyle w:val="TableFigText"/>
              <w:jc w:val="right"/>
              <w:rPr>
                <w:rFonts w:asciiTheme="minorHAnsi" w:hAnsiTheme="minorHAnsi" w:cstheme="minorHAnsi"/>
                <w:b/>
                <w:szCs w:val="22"/>
              </w:rPr>
            </w:pPr>
            <w:r w:rsidRPr="001B1E83">
              <w:rPr>
                <w:rFonts w:asciiTheme="minorHAnsi" w:hAnsiTheme="minorHAnsi" w:cstheme="minorHAnsi"/>
                <w:b/>
                <w:szCs w:val="22"/>
              </w:rPr>
              <w:t>Major cities</w:t>
            </w:r>
          </w:p>
        </w:tc>
        <w:tc>
          <w:tcPr>
            <w:tcW w:w="1420" w:type="dxa"/>
          </w:tcPr>
          <w:p w:rsidR="002265C7" w:rsidRPr="001B1E83" w:rsidRDefault="002265C7" w:rsidP="002265C7">
            <w:pPr>
              <w:pStyle w:val="TableFigText"/>
              <w:jc w:val="right"/>
              <w:rPr>
                <w:rFonts w:asciiTheme="minorHAnsi" w:hAnsiTheme="minorHAnsi" w:cstheme="minorHAnsi"/>
                <w:b/>
                <w:szCs w:val="22"/>
              </w:rPr>
            </w:pPr>
            <w:r w:rsidRPr="001B1E83">
              <w:rPr>
                <w:rFonts w:asciiTheme="minorHAnsi" w:hAnsiTheme="minorHAnsi" w:cstheme="minorHAnsi"/>
                <w:b/>
                <w:szCs w:val="22"/>
              </w:rPr>
              <w:t>Inner regional</w:t>
            </w:r>
          </w:p>
        </w:tc>
        <w:tc>
          <w:tcPr>
            <w:tcW w:w="1283" w:type="dxa"/>
          </w:tcPr>
          <w:p w:rsidR="002265C7" w:rsidRPr="001B1E83" w:rsidRDefault="002265C7" w:rsidP="002265C7">
            <w:pPr>
              <w:pStyle w:val="TableFigText"/>
              <w:jc w:val="right"/>
              <w:rPr>
                <w:rFonts w:asciiTheme="minorHAnsi" w:hAnsiTheme="minorHAnsi" w:cstheme="minorHAnsi"/>
                <w:b/>
                <w:szCs w:val="22"/>
              </w:rPr>
            </w:pPr>
            <w:r w:rsidRPr="001B1E83">
              <w:rPr>
                <w:rFonts w:asciiTheme="minorHAnsi" w:hAnsiTheme="minorHAnsi" w:cstheme="minorHAnsi"/>
                <w:b/>
                <w:szCs w:val="22"/>
              </w:rPr>
              <w:t>Outer regional</w:t>
            </w:r>
          </w:p>
        </w:tc>
        <w:tc>
          <w:tcPr>
            <w:tcW w:w="1067" w:type="dxa"/>
          </w:tcPr>
          <w:p w:rsidR="002265C7" w:rsidRPr="001B1E83" w:rsidRDefault="002265C7" w:rsidP="002265C7">
            <w:pPr>
              <w:pStyle w:val="TableFigText"/>
              <w:jc w:val="right"/>
              <w:rPr>
                <w:rFonts w:asciiTheme="minorHAnsi" w:hAnsiTheme="minorHAnsi" w:cstheme="minorHAnsi"/>
                <w:b/>
                <w:szCs w:val="22"/>
              </w:rPr>
            </w:pPr>
            <w:r w:rsidRPr="001B1E83">
              <w:rPr>
                <w:rFonts w:asciiTheme="minorHAnsi" w:hAnsiTheme="minorHAnsi" w:cstheme="minorHAnsi"/>
                <w:b/>
                <w:szCs w:val="22"/>
              </w:rPr>
              <w:t>Remote</w:t>
            </w:r>
          </w:p>
        </w:tc>
        <w:tc>
          <w:tcPr>
            <w:tcW w:w="1118" w:type="dxa"/>
          </w:tcPr>
          <w:p w:rsidR="002265C7" w:rsidRPr="001B1E83" w:rsidRDefault="002265C7" w:rsidP="002265C7">
            <w:pPr>
              <w:pStyle w:val="TableFigText"/>
              <w:jc w:val="right"/>
              <w:rPr>
                <w:rFonts w:asciiTheme="minorHAnsi" w:hAnsiTheme="minorHAnsi" w:cstheme="minorHAnsi"/>
                <w:b/>
                <w:szCs w:val="22"/>
              </w:rPr>
            </w:pPr>
            <w:r w:rsidRPr="001B1E83">
              <w:rPr>
                <w:rFonts w:asciiTheme="minorHAnsi" w:hAnsiTheme="minorHAnsi" w:cstheme="minorHAnsi"/>
                <w:b/>
                <w:szCs w:val="22"/>
              </w:rPr>
              <w:t>Very remote</w:t>
            </w:r>
          </w:p>
        </w:tc>
        <w:tc>
          <w:tcPr>
            <w:tcW w:w="1124" w:type="dxa"/>
          </w:tcPr>
          <w:p w:rsidR="002265C7" w:rsidRPr="001B1E83" w:rsidRDefault="002265C7" w:rsidP="002265C7">
            <w:pPr>
              <w:pStyle w:val="TableFigText"/>
              <w:jc w:val="right"/>
              <w:rPr>
                <w:rFonts w:asciiTheme="minorHAnsi" w:hAnsiTheme="minorHAnsi" w:cstheme="minorHAnsi"/>
                <w:b/>
                <w:szCs w:val="22"/>
              </w:rPr>
            </w:pPr>
            <w:r w:rsidRPr="001B1E83">
              <w:rPr>
                <w:rFonts w:asciiTheme="minorHAnsi" w:hAnsiTheme="minorHAnsi" w:cstheme="minorHAnsi"/>
                <w:b/>
                <w:szCs w:val="22"/>
              </w:rPr>
              <w:t>Total</w:t>
            </w:r>
            <w:r w:rsidRPr="001B1E83">
              <w:rPr>
                <w:rFonts w:asciiTheme="minorHAnsi" w:hAnsiTheme="minorHAnsi" w:cstheme="minorHAnsi"/>
                <w:szCs w:val="22"/>
                <w:vertAlign w:val="superscript"/>
              </w:rPr>
              <w:t>(d)</w:t>
            </w:r>
          </w:p>
        </w:tc>
      </w:tr>
      <w:tr w:rsidR="002265C7" w:rsidRPr="001B1E83" w:rsidTr="002265C7">
        <w:tc>
          <w:tcPr>
            <w:tcW w:w="2490" w:type="dxa"/>
          </w:tcPr>
          <w:p w:rsidR="002265C7" w:rsidRPr="001B1E83" w:rsidRDefault="002265C7" w:rsidP="002265C7">
            <w:pPr>
              <w:pStyle w:val="TableFigText"/>
              <w:rPr>
                <w:rFonts w:asciiTheme="minorHAnsi" w:hAnsiTheme="minorHAnsi" w:cstheme="minorHAnsi"/>
                <w:szCs w:val="22"/>
              </w:rPr>
            </w:pPr>
            <w:r w:rsidRPr="001B1E83">
              <w:rPr>
                <w:rFonts w:asciiTheme="minorHAnsi" w:hAnsiTheme="minorHAnsi" w:cstheme="minorHAnsi"/>
                <w:szCs w:val="22"/>
              </w:rPr>
              <w:t>Public hospital services</w:t>
            </w:r>
            <w:r w:rsidRPr="001B1E83">
              <w:rPr>
                <w:rFonts w:asciiTheme="minorHAnsi" w:hAnsiTheme="minorHAnsi" w:cstheme="minorHAnsi"/>
                <w:szCs w:val="22"/>
                <w:vertAlign w:val="superscript"/>
              </w:rPr>
              <w:t>(e)(f)</w:t>
            </w:r>
          </w:p>
        </w:tc>
        <w:tc>
          <w:tcPr>
            <w:tcW w:w="1074" w:type="dxa"/>
          </w:tcPr>
          <w:p w:rsidR="002265C7" w:rsidRPr="001B1E83" w:rsidRDefault="002265C7" w:rsidP="00D27F8A">
            <w:pPr>
              <w:pStyle w:val="TableFigText"/>
              <w:jc w:val="right"/>
            </w:pPr>
            <w:r w:rsidRPr="001B1E83">
              <w:t>228,002</w:t>
            </w:r>
          </w:p>
        </w:tc>
        <w:tc>
          <w:tcPr>
            <w:tcW w:w="1420" w:type="dxa"/>
          </w:tcPr>
          <w:p w:rsidR="002265C7" w:rsidRPr="001B1E83" w:rsidRDefault="002265C7" w:rsidP="00D27F8A">
            <w:pPr>
              <w:pStyle w:val="TableFigText"/>
              <w:jc w:val="right"/>
            </w:pPr>
            <w:r w:rsidRPr="001B1E83">
              <w:t>70,744</w:t>
            </w:r>
          </w:p>
        </w:tc>
        <w:tc>
          <w:tcPr>
            <w:tcW w:w="1283" w:type="dxa"/>
          </w:tcPr>
          <w:p w:rsidR="002265C7" w:rsidRPr="001B1E83" w:rsidRDefault="002265C7" w:rsidP="00D27F8A">
            <w:pPr>
              <w:pStyle w:val="TableFigText"/>
              <w:jc w:val="right"/>
            </w:pPr>
            <w:r w:rsidRPr="001B1E83">
              <w:t>41,155</w:t>
            </w:r>
          </w:p>
        </w:tc>
        <w:tc>
          <w:tcPr>
            <w:tcW w:w="1067" w:type="dxa"/>
          </w:tcPr>
          <w:p w:rsidR="002265C7" w:rsidRPr="001B1E83" w:rsidRDefault="002265C7" w:rsidP="00D27F8A">
            <w:pPr>
              <w:pStyle w:val="TableFigText"/>
              <w:jc w:val="right"/>
            </w:pPr>
            <w:r w:rsidRPr="001B1E83">
              <w:t>1,042</w:t>
            </w:r>
          </w:p>
        </w:tc>
        <w:tc>
          <w:tcPr>
            <w:tcW w:w="1118" w:type="dxa"/>
          </w:tcPr>
          <w:p w:rsidR="002265C7" w:rsidRPr="001B1E83" w:rsidRDefault="002265C7" w:rsidP="00D27F8A">
            <w:pPr>
              <w:pStyle w:val="TableFigText"/>
              <w:jc w:val="right"/>
            </w:pPr>
            <w:r w:rsidRPr="001B1E83">
              <w:t>215</w:t>
            </w:r>
          </w:p>
        </w:tc>
        <w:tc>
          <w:tcPr>
            <w:tcW w:w="1124" w:type="dxa"/>
          </w:tcPr>
          <w:p w:rsidR="002265C7" w:rsidRPr="001B1E83" w:rsidRDefault="002265C7" w:rsidP="00D27F8A">
            <w:pPr>
              <w:pStyle w:val="TableFigText"/>
              <w:jc w:val="right"/>
            </w:pPr>
            <w:r w:rsidRPr="001B1E83">
              <w:t>341,159</w:t>
            </w:r>
          </w:p>
        </w:tc>
      </w:tr>
      <w:tr w:rsidR="002265C7" w:rsidRPr="001B1E83" w:rsidTr="002265C7">
        <w:tc>
          <w:tcPr>
            <w:tcW w:w="2490" w:type="dxa"/>
          </w:tcPr>
          <w:p w:rsidR="002265C7" w:rsidRPr="001B1E83" w:rsidRDefault="002265C7" w:rsidP="002265C7">
            <w:pPr>
              <w:pStyle w:val="TableFigText"/>
              <w:rPr>
                <w:rFonts w:asciiTheme="minorHAnsi" w:hAnsiTheme="minorHAnsi" w:cstheme="minorHAnsi"/>
                <w:szCs w:val="22"/>
              </w:rPr>
            </w:pPr>
            <w:r w:rsidRPr="001B1E83">
              <w:rPr>
                <w:rFonts w:asciiTheme="minorHAnsi" w:hAnsiTheme="minorHAnsi" w:cstheme="minorHAnsi"/>
                <w:szCs w:val="22"/>
              </w:rPr>
              <w:t>Community mental health services</w:t>
            </w:r>
          </w:p>
        </w:tc>
        <w:tc>
          <w:tcPr>
            <w:tcW w:w="1074" w:type="dxa"/>
          </w:tcPr>
          <w:p w:rsidR="002265C7" w:rsidRPr="001B1E83" w:rsidRDefault="002265C7" w:rsidP="00D27F8A">
            <w:pPr>
              <w:pStyle w:val="TableFigText"/>
              <w:jc w:val="right"/>
            </w:pPr>
            <w:r w:rsidRPr="001B1E83">
              <w:t>187,533</w:t>
            </w:r>
          </w:p>
        </w:tc>
        <w:tc>
          <w:tcPr>
            <w:tcW w:w="1420" w:type="dxa"/>
          </w:tcPr>
          <w:p w:rsidR="002265C7" w:rsidRPr="001B1E83" w:rsidRDefault="002265C7" w:rsidP="00D27F8A">
            <w:pPr>
              <w:pStyle w:val="TableFigText"/>
              <w:jc w:val="right"/>
            </w:pPr>
            <w:r w:rsidRPr="001B1E83">
              <w:t>45,857</w:t>
            </w:r>
          </w:p>
        </w:tc>
        <w:tc>
          <w:tcPr>
            <w:tcW w:w="1283" w:type="dxa"/>
          </w:tcPr>
          <w:p w:rsidR="002265C7" w:rsidRPr="001B1E83" w:rsidRDefault="002265C7" w:rsidP="00D27F8A">
            <w:pPr>
              <w:pStyle w:val="TableFigText"/>
              <w:jc w:val="right"/>
            </w:pPr>
            <w:r w:rsidRPr="001B1E83">
              <w:t>54,943</w:t>
            </w:r>
          </w:p>
        </w:tc>
        <w:tc>
          <w:tcPr>
            <w:tcW w:w="1067" w:type="dxa"/>
          </w:tcPr>
          <w:p w:rsidR="002265C7" w:rsidRPr="001B1E83" w:rsidRDefault="002265C7" w:rsidP="00D27F8A">
            <w:pPr>
              <w:pStyle w:val="TableFigText"/>
              <w:jc w:val="right"/>
            </w:pPr>
            <w:r w:rsidRPr="001B1E83">
              <w:t>3,523</w:t>
            </w:r>
          </w:p>
        </w:tc>
        <w:tc>
          <w:tcPr>
            <w:tcW w:w="1118" w:type="dxa"/>
          </w:tcPr>
          <w:p w:rsidR="002265C7" w:rsidRPr="001B1E83" w:rsidRDefault="002265C7" w:rsidP="00D27F8A">
            <w:pPr>
              <w:pStyle w:val="TableFigText"/>
              <w:jc w:val="right"/>
            </w:pPr>
            <w:r w:rsidRPr="001B1E83">
              <w:t>3,169</w:t>
            </w:r>
          </w:p>
        </w:tc>
        <w:tc>
          <w:tcPr>
            <w:tcW w:w="1124" w:type="dxa"/>
          </w:tcPr>
          <w:p w:rsidR="002265C7" w:rsidRPr="001B1E83" w:rsidRDefault="002265C7" w:rsidP="00D27F8A">
            <w:pPr>
              <w:pStyle w:val="TableFigText"/>
              <w:jc w:val="right"/>
            </w:pPr>
            <w:r w:rsidRPr="001B1E83">
              <w:t>295,025</w:t>
            </w:r>
          </w:p>
        </w:tc>
      </w:tr>
      <w:tr w:rsidR="002265C7" w:rsidRPr="001B1E83" w:rsidTr="002265C7">
        <w:tc>
          <w:tcPr>
            <w:tcW w:w="2490" w:type="dxa"/>
          </w:tcPr>
          <w:p w:rsidR="002265C7" w:rsidRPr="001B1E83" w:rsidRDefault="002265C7" w:rsidP="002265C7">
            <w:pPr>
              <w:pStyle w:val="TableFigText"/>
              <w:rPr>
                <w:rFonts w:asciiTheme="minorHAnsi" w:hAnsiTheme="minorHAnsi" w:cstheme="minorHAnsi"/>
                <w:szCs w:val="22"/>
              </w:rPr>
            </w:pPr>
            <w:r w:rsidRPr="001B1E83">
              <w:rPr>
                <w:rFonts w:asciiTheme="minorHAnsi" w:hAnsiTheme="minorHAnsi" w:cstheme="minorHAnsi"/>
                <w:szCs w:val="22"/>
              </w:rPr>
              <w:t>Residential mental health services</w:t>
            </w:r>
            <w:r w:rsidRPr="001B1E83">
              <w:rPr>
                <w:rFonts w:asciiTheme="minorHAnsi" w:hAnsiTheme="minorHAnsi" w:cstheme="minorHAnsi"/>
                <w:szCs w:val="22"/>
                <w:vertAlign w:val="superscript"/>
              </w:rPr>
              <w:t>(g)</w:t>
            </w:r>
          </w:p>
        </w:tc>
        <w:tc>
          <w:tcPr>
            <w:tcW w:w="1074" w:type="dxa"/>
          </w:tcPr>
          <w:p w:rsidR="002265C7" w:rsidRPr="001B1E83" w:rsidRDefault="002265C7" w:rsidP="00D27F8A">
            <w:pPr>
              <w:pStyle w:val="TableFigText"/>
              <w:jc w:val="right"/>
            </w:pPr>
            <w:r w:rsidRPr="001B1E83">
              <w:t>0</w:t>
            </w:r>
          </w:p>
        </w:tc>
        <w:tc>
          <w:tcPr>
            <w:tcW w:w="1420" w:type="dxa"/>
          </w:tcPr>
          <w:p w:rsidR="002265C7" w:rsidRPr="001B1E83" w:rsidRDefault="002265C7" w:rsidP="00D27F8A">
            <w:pPr>
              <w:pStyle w:val="TableFigText"/>
              <w:jc w:val="right"/>
            </w:pPr>
            <w:r w:rsidRPr="001B1E83">
              <w:t>0</w:t>
            </w:r>
          </w:p>
        </w:tc>
        <w:tc>
          <w:tcPr>
            <w:tcW w:w="1283" w:type="dxa"/>
          </w:tcPr>
          <w:p w:rsidR="002265C7" w:rsidRPr="001B1E83" w:rsidRDefault="002265C7" w:rsidP="00D27F8A">
            <w:pPr>
              <w:pStyle w:val="TableFigText"/>
              <w:jc w:val="right"/>
            </w:pPr>
            <w:r w:rsidRPr="001B1E83">
              <w:t>0</w:t>
            </w:r>
          </w:p>
        </w:tc>
        <w:tc>
          <w:tcPr>
            <w:tcW w:w="1067" w:type="dxa"/>
          </w:tcPr>
          <w:p w:rsidR="002265C7" w:rsidRPr="001B1E83" w:rsidRDefault="002265C7" w:rsidP="00D27F8A">
            <w:pPr>
              <w:pStyle w:val="TableFigText"/>
              <w:jc w:val="right"/>
            </w:pPr>
            <w:r w:rsidRPr="001B1E83">
              <w:t>0</w:t>
            </w:r>
          </w:p>
        </w:tc>
        <w:tc>
          <w:tcPr>
            <w:tcW w:w="1118" w:type="dxa"/>
          </w:tcPr>
          <w:p w:rsidR="002265C7" w:rsidRPr="001B1E83" w:rsidRDefault="002265C7" w:rsidP="00D27F8A">
            <w:pPr>
              <w:pStyle w:val="TableFigText"/>
              <w:jc w:val="right"/>
            </w:pPr>
            <w:r w:rsidRPr="001B1E83">
              <w:t>0</w:t>
            </w:r>
          </w:p>
        </w:tc>
        <w:tc>
          <w:tcPr>
            <w:tcW w:w="1124" w:type="dxa"/>
          </w:tcPr>
          <w:p w:rsidR="002265C7" w:rsidRPr="001B1E83" w:rsidRDefault="002265C7" w:rsidP="00D27F8A">
            <w:pPr>
              <w:pStyle w:val="TableFigText"/>
              <w:jc w:val="right"/>
            </w:pPr>
            <w:r w:rsidRPr="001B1E83">
              <w:t>0</w:t>
            </w:r>
          </w:p>
        </w:tc>
      </w:tr>
      <w:tr w:rsidR="002265C7" w:rsidRPr="001B1E83" w:rsidTr="002265C7">
        <w:tc>
          <w:tcPr>
            <w:tcW w:w="2490" w:type="dxa"/>
          </w:tcPr>
          <w:p w:rsidR="002265C7" w:rsidRPr="00D27F8A" w:rsidRDefault="002265C7" w:rsidP="002265C7">
            <w:pPr>
              <w:pStyle w:val="TableFigText"/>
              <w:rPr>
                <w:rFonts w:asciiTheme="minorHAnsi" w:hAnsiTheme="minorHAnsi" w:cstheme="minorHAnsi"/>
                <w:b/>
                <w:szCs w:val="22"/>
              </w:rPr>
            </w:pPr>
            <w:r w:rsidRPr="00D27F8A">
              <w:rPr>
                <w:rFonts w:asciiTheme="minorHAnsi" w:hAnsiTheme="minorHAnsi" w:cstheme="minorHAnsi"/>
                <w:b/>
                <w:szCs w:val="22"/>
              </w:rPr>
              <w:t>All mental health service types</w:t>
            </w:r>
            <w:r w:rsidRPr="00D27F8A">
              <w:rPr>
                <w:rFonts w:asciiTheme="minorHAnsi" w:hAnsiTheme="minorHAnsi" w:cstheme="minorHAnsi"/>
                <w:b/>
                <w:szCs w:val="22"/>
                <w:vertAlign w:val="superscript"/>
              </w:rPr>
              <w:t>(d)</w:t>
            </w:r>
          </w:p>
        </w:tc>
        <w:tc>
          <w:tcPr>
            <w:tcW w:w="1074" w:type="dxa"/>
          </w:tcPr>
          <w:p w:rsidR="002265C7" w:rsidRPr="00D27F8A" w:rsidRDefault="002265C7" w:rsidP="00D27F8A">
            <w:pPr>
              <w:pStyle w:val="TableFigText"/>
              <w:jc w:val="right"/>
              <w:rPr>
                <w:b/>
              </w:rPr>
            </w:pPr>
            <w:r w:rsidRPr="00D27F8A">
              <w:rPr>
                <w:b/>
              </w:rPr>
              <w:t>415,535</w:t>
            </w:r>
          </w:p>
        </w:tc>
        <w:tc>
          <w:tcPr>
            <w:tcW w:w="1420" w:type="dxa"/>
          </w:tcPr>
          <w:p w:rsidR="002265C7" w:rsidRPr="00D27F8A" w:rsidRDefault="002265C7" w:rsidP="00D27F8A">
            <w:pPr>
              <w:pStyle w:val="TableFigText"/>
              <w:jc w:val="right"/>
              <w:rPr>
                <w:b/>
              </w:rPr>
            </w:pPr>
            <w:r w:rsidRPr="00D27F8A">
              <w:rPr>
                <w:b/>
              </w:rPr>
              <w:t>116,601</w:t>
            </w:r>
          </w:p>
        </w:tc>
        <w:tc>
          <w:tcPr>
            <w:tcW w:w="1283" w:type="dxa"/>
          </w:tcPr>
          <w:p w:rsidR="002265C7" w:rsidRPr="00D27F8A" w:rsidRDefault="002265C7" w:rsidP="00D27F8A">
            <w:pPr>
              <w:pStyle w:val="TableFigText"/>
              <w:jc w:val="right"/>
              <w:rPr>
                <w:b/>
              </w:rPr>
            </w:pPr>
            <w:r w:rsidRPr="00D27F8A">
              <w:rPr>
                <w:b/>
              </w:rPr>
              <w:t>96,099</w:t>
            </w:r>
          </w:p>
        </w:tc>
        <w:tc>
          <w:tcPr>
            <w:tcW w:w="1067" w:type="dxa"/>
          </w:tcPr>
          <w:p w:rsidR="002265C7" w:rsidRPr="00D27F8A" w:rsidRDefault="002265C7" w:rsidP="00D27F8A">
            <w:pPr>
              <w:pStyle w:val="TableFigText"/>
              <w:jc w:val="right"/>
              <w:rPr>
                <w:b/>
              </w:rPr>
            </w:pPr>
            <w:r w:rsidRPr="00D27F8A">
              <w:rPr>
                <w:b/>
              </w:rPr>
              <w:t>4,565</w:t>
            </w:r>
          </w:p>
        </w:tc>
        <w:tc>
          <w:tcPr>
            <w:tcW w:w="1118" w:type="dxa"/>
          </w:tcPr>
          <w:p w:rsidR="002265C7" w:rsidRPr="00D27F8A" w:rsidRDefault="002265C7" w:rsidP="00D27F8A">
            <w:pPr>
              <w:pStyle w:val="TableFigText"/>
              <w:jc w:val="right"/>
              <w:rPr>
                <w:b/>
              </w:rPr>
            </w:pPr>
            <w:r w:rsidRPr="00D27F8A">
              <w:rPr>
                <w:b/>
              </w:rPr>
              <w:t>3,384</w:t>
            </w:r>
          </w:p>
        </w:tc>
        <w:tc>
          <w:tcPr>
            <w:tcW w:w="1124" w:type="dxa"/>
          </w:tcPr>
          <w:p w:rsidR="002265C7" w:rsidRPr="00D27F8A" w:rsidRDefault="002265C7" w:rsidP="00D27F8A">
            <w:pPr>
              <w:pStyle w:val="TableFigText"/>
              <w:jc w:val="right"/>
              <w:rPr>
                <w:b/>
              </w:rPr>
            </w:pPr>
            <w:r w:rsidRPr="00D27F8A">
              <w:rPr>
                <w:b/>
              </w:rPr>
              <w:t>636,184</w:t>
            </w:r>
          </w:p>
        </w:tc>
      </w:tr>
    </w:tbl>
    <w:p w:rsidR="002265C7" w:rsidRPr="006876F2" w:rsidRDefault="002265C7" w:rsidP="00540186">
      <w:pPr>
        <w:pStyle w:val="TableFigNotesnumbered"/>
        <w:numPr>
          <w:ilvl w:val="0"/>
          <w:numId w:val="71"/>
        </w:numPr>
        <w:rPr>
          <w:rStyle w:val="table-note"/>
        </w:rPr>
      </w:pPr>
      <w:r w:rsidRPr="006876F2">
        <w:rPr>
          <w:rStyle w:val="table-note"/>
        </w:rPr>
        <w:t>Expenditure excludes depreciation.</w:t>
      </w:r>
    </w:p>
    <w:p w:rsidR="002265C7" w:rsidRPr="006876F2" w:rsidRDefault="002265C7" w:rsidP="00540186">
      <w:pPr>
        <w:pStyle w:val="TableFigNotesnumbered"/>
        <w:numPr>
          <w:ilvl w:val="0"/>
          <w:numId w:val="71"/>
        </w:numPr>
        <w:rPr>
          <w:rStyle w:val="table-note"/>
        </w:rPr>
      </w:pPr>
      <w:r w:rsidRPr="006876F2">
        <w:rPr>
          <w:rStyle w:val="table-note"/>
        </w:rPr>
        <w:t xml:space="preserve">Expenditure excludes grants to non-government organisations and indirect expenditure at the state/territory, region and organisation levels not apportioned to service units. </w:t>
      </w:r>
    </w:p>
    <w:p w:rsidR="002265C7" w:rsidRPr="006876F2" w:rsidRDefault="002265C7" w:rsidP="00540186">
      <w:pPr>
        <w:pStyle w:val="TableFigNotesnumbered"/>
        <w:numPr>
          <w:ilvl w:val="0"/>
          <w:numId w:val="71"/>
        </w:numPr>
        <w:rPr>
          <w:rStyle w:val="table-note"/>
        </w:rPr>
      </w:pPr>
      <w:r w:rsidRPr="006876F2">
        <w:rPr>
          <w:rStyle w:val="table-note"/>
        </w:rPr>
        <w:t>Constant prices are referenced to 2011–12 and are adjusted for inflation.</w:t>
      </w:r>
    </w:p>
    <w:p w:rsidR="002265C7" w:rsidRPr="006876F2" w:rsidRDefault="002265C7" w:rsidP="00540186">
      <w:pPr>
        <w:pStyle w:val="TableFigNotesnumbered"/>
        <w:numPr>
          <w:ilvl w:val="0"/>
          <w:numId w:val="71"/>
        </w:numPr>
        <w:rPr>
          <w:rStyle w:val="table-note"/>
        </w:rPr>
      </w:pPr>
      <w:r w:rsidRPr="006876F2">
        <w:rPr>
          <w:rStyle w:val="table-note"/>
        </w:rPr>
        <w:t>Totals may not add due to rounding to the nearest $'000.</w:t>
      </w:r>
    </w:p>
    <w:p w:rsidR="002265C7" w:rsidRPr="006876F2" w:rsidRDefault="002265C7" w:rsidP="00540186">
      <w:pPr>
        <w:pStyle w:val="TableFigNotesnumbered"/>
        <w:numPr>
          <w:ilvl w:val="0"/>
          <w:numId w:val="71"/>
        </w:numPr>
        <w:rPr>
          <w:rStyle w:val="table-note"/>
        </w:rPr>
      </w:pPr>
      <w:r w:rsidRPr="006876F2">
        <w:rPr>
          <w:rStyle w:val="table-note"/>
        </w:rPr>
        <w:t>Includes public hospital services managed and operated by private and non-government entities.</w:t>
      </w:r>
    </w:p>
    <w:p w:rsidR="002265C7" w:rsidRPr="006876F2" w:rsidRDefault="002265C7" w:rsidP="00540186">
      <w:pPr>
        <w:pStyle w:val="TableFigNotesnumbered"/>
        <w:numPr>
          <w:ilvl w:val="0"/>
          <w:numId w:val="71"/>
        </w:numPr>
        <w:rPr>
          <w:rStyle w:val="table-note"/>
        </w:rPr>
      </w:pPr>
      <w:r w:rsidRPr="006876F2">
        <w:rPr>
          <w:rStyle w:val="table-note"/>
        </w:rPr>
        <w:t>Public psychiatric hospitals and specialised psychiatric units or wards in public acute hospitals include expenditure on admitted patient services only. Public hospitals outpatient departments are included in community mental health care services.</w:t>
      </w:r>
      <w:r w:rsidRPr="006876F2">
        <w:rPr>
          <w:rStyle w:val="table-note"/>
        </w:rPr>
        <w:tab/>
      </w:r>
      <w:r w:rsidRPr="006876F2">
        <w:rPr>
          <w:rStyle w:val="table-note"/>
        </w:rPr>
        <w:tab/>
      </w:r>
    </w:p>
    <w:p w:rsidR="002265C7" w:rsidRPr="006876F2" w:rsidRDefault="002265C7" w:rsidP="00540186">
      <w:pPr>
        <w:pStyle w:val="TableFigNotesnumbered"/>
        <w:numPr>
          <w:ilvl w:val="0"/>
          <w:numId w:val="71"/>
        </w:numPr>
        <w:rPr>
          <w:rStyle w:val="table-note"/>
        </w:rPr>
      </w:pPr>
      <w:r w:rsidRPr="006876F2">
        <w:rPr>
          <w:rStyle w:val="table-note"/>
        </w:rPr>
        <w:t>Queensland does not fund community residential services, however, it funds a number of extended treatment services, both campus and non-campus based, which provide longer term inpatient treatment and rehabilitation services with a full clinical staffing 24 hours a day seven days a week.</w:t>
      </w:r>
    </w:p>
    <w:p w:rsidR="00E53420" w:rsidRPr="0096114C" w:rsidRDefault="0096114C" w:rsidP="00E53420">
      <w:pPr>
        <w:pStyle w:val="TableCaption"/>
        <w:spacing w:line="240" w:lineRule="auto"/>
        <w:rPr>
          <w:rStyle w:val="table-note"/>
        </w:rPr>
      </w:pPr>
      <w:r w:rsidRPr="0096114C">
        <w:rPr>
          <w:rStyle w:val="table-note"/>
        </w:rPr>
        <w:t xml:space="preserve">Table 23: </w:t>
      </w:r>
      <w:r w:rsidR="00E53420" w:rsidRPr="0096114C">
        <w:rPr>
          <w:rStyle w:val="table-note"/>
        </w:rPr>
        <w:t xml:space="preserve">QLD: Recurrent </w:t>
      </w:r>
      <w:proofErr w:type="gramStart"/>
      <w:r w:rsidR="00E53420" w:rsidRPr="0096114C">
        <w:rPr>
          <w:rStyle w:val="table-note"/>
        </w:rPr>
        <w:t>expenditure</w:t>
      </w:r>
      <w:r w:rsidR="00E53420" w:rsidRPr="0096114C">
        <w:rPr>
          <w:rStyle w:val="table-note"/>
          <w:vertAlign w:val="superscript"/>
        </w:rPr>
        <w:t>(</w:t>
      </w:r>
      <w:proofErr w:type="gramEnd"/>
      <w:r w:rsidR="00E53420" w:rsidRPr="0096114C">
        <w:rPr>
          <w:rStyle w:val="table-note"/>
          <w:vertAlign w:val="superscript"/>
        </w:rPr>
        <w:t>a)(b)</w:t>
      </w:r>
      <w:r w:rsidR="00E53420" w:rsidRPr="0096114C">
        <w:rPr>
          <w:rStyle w:val="table-note"/>
        </w:rPr>
        <w:t xml:space="preserve"> ($) per capita</w:t>
      </w:r>
      <w:r w:rsidR="00E53420" w:rsidRPr="0096114C">
        <w:rPr>
          <w:rStyle w:val="table-note"/>
          <w:vertAlign w:val="superscript"/>
        </w:rPr>
        <w:t>(c)</w:t>
      </w:r>
      <w:r w:rsidR="00E53420" w:rsidRPr="0096114C">
        <w:rPr>
          <w:rStyle w:val="table-note"/>
        </w:rPr>
        <w:t xml:space="preserve"> on state and territory specialised mental health services, by service type, 2007–08 (constant prices)</w:t>
      </w:r>
      <w:r w:rsidR="00E53420" w:rsidRPr="0096114C">
        <w:rPr>
          <w:rStyle w:val="table-note"/>
          <w:vertAlign w:val="superscript"/>
        </w:rPr>
        <w:t>(d)</w:t>
      </w:r>
    </w:p>
    <w:tbl>
      <w:tblPr>
        <w:tblStyle w:val="TableGrid"/>
        <w:tblW w:w="9286" w:type="dxa"/>
        <w:tblLook w:val="04A0" w:firstRow="1" w:lastRow="0" w:firstColumn="1" w:lastColumn="0" w:noHBand="0" w:noVBand="1"/>
        <w:tblCaption w:val="QLD: Recurrent expenditure(a)(b) ($) per capita(c) on state and territory specialised mental health services, by service type, 2007–08 (constant prices)(d)"/>
        <w:tblDescription w:val="Table showing that, in 2007-2008, major cities in QLD had the highest recurrent expenditure per capita overall, for mental health services, at $164.53. This was followed by outer regional areas at $157.29. Public hospital services had the highest recurrent expenditure overall, across region types, at $82.99. Queensland does not fund residential mental health services."/>
      </w:tblPr>
      <w:tblGrid>
        <w:gridCol w:w="2388"/>
        <w:gridCol w:w="1044"/>
        <w:gridCol w:w="1376"/>
        <w:gridCol w:w="1248"/>
        <w:gridCol w:w="1045"/>
        <w:gridCol w:w="1091"/>
        <w:gridCol w:w="1094"/>
      </w:tblGrid>
      <w:tr w:rsidR="001B1E83" w:rsidRPr="001B1E83" w:rsidTr="000C3DEA">
        <w:trPr>
          <w:tblHeader/>
        </w:trPr>
        <w:tc>
          <w:tcPr>
            <w:tcW w:w="2388" w:type="dxa"/>
          </w:tcPr>
          <w:p w:rsidR="001B1E83" w:rsidRPr="001B1E83" w:rsidRDefault="001B1E83" w:rsidP="001B1E83">
            <w:pPr>
              <w:pStyle w:val="TableFigText"/>
              <w:rPr>
                <w:rFonts w:asciiTheme="minorHAnsi" w:hAnsiTheme="minorHAnsi" w:cstheme="minorHAnsi"/>
                <w:szCs w:val="22"/>
              </w:rPr>
            </w:pPr>
          </w:p>
        </w:tc>
        <w:tc>
          <w:tcPr>
            <w:tcW w:w="1044" w:type="dxa"/>
          </w:tcPr>
          <w:p w:rsidR="001B1E83" w:rsidRPr="001B1E83" w:rsidRDefault="001B1E83" w:rsidP="00E53420">
            <w:pPr>
              <w:pStyle w:val="TableFigText"/>
              <w:jc w:val="right"/>
              <w:rPr>
                <w:rFonts w:asciiTheme="minorHAnsi" w:hAnsiTheme="minorHAnsi" w:cstheme="minorHAnsi"/>
                <w:b/>
                <w:szCs w:val="22"/>
              </w:rPr>
            </w:pPr>
            <w:r w:rsidRPr="001B1E83">
              <w:rPr>
                <w:rFonts w:asciiTheme="minorHAnsi" w:hAnsiTheme="minorHAnsi" w:cstheme="minorHAnsi"/>
                <w:b/>
                <w:szCs w:val="22"/>
              </w:rPr>
              <w:t>Major cities</w:t>
            </w:r>
          </w:p>
        </w:tc>
        <w:tc>
          <w:tcPr>
            <w:tcW w:w="1376" w:type="dxa"/>
          </w:tcPr>
          <w:p w:rsidR="001B1E83" w:rsidRPr="001B1E83" w:rsidRDefault="001B1E83" w:rsidP="00E53420">
            <w:pPr>
              <w:pStyle w:val="TableFigText"/>
              <w:jc w:val="right"/>
              <w:rPr>
                <w:rFonts w:asciiTheme="minorHAnsi" w:hAnsiTheme="minorHAnsi" w:cstheme="minorHAnsi"/>
                <w:b/>
                <w:szCs w:val="22"/>
              </w:rPr>
            </w:pPr>
            <w:r w:rsidRPr="001B1E83">
              <w:rPr>
                <w:rFonts w:asciiTheme="minorHAnsi" w:hAnsiTheme="minorHAnsi" w:cstheme="minorHAnsi"/>
                <w:b/>
                <w:szCs w:val="22"/>
              </w:rPr>
              <w:t>Inner regional</w:t>
            </w:r>
          </w:p>
        </w:tc>
        <w:tc>
          <w:tcPr>
            <w:tcW w:w="1248" w:type="dxa"/>
          </w:tcPr>
          <w:p w:rsidR="001B1E83" w:rsidRPr="001B1E83" w:rsidRDefault="001B1E83" w:rsidP="00E53420">
            <w:pPr>
              <w:pStyle w:val="TableFigText"/>
              <w:jc w:val="right"/>
              <w:rPr>
                <w:rFonts w:asciiTheme="minorHAnsi" w:hAnsiTheme="minorHAnsi" w:cstheme="minorHAnsi"/>
                <w:b/>
                <w:szCs w:val="22"/>
              </w:rPr>
            </w:pPr>
            <w:r w:rsidRPr="001B1E83">
              <w:rPr>
                <w:rFonts w:asciiTheme="minorHAnsi" w:hAnsiTheme="minorHAnsi" w:cstheme="minorHAnsi"/>
                <w:b/>
                <w:szCs w:val="22"/>
              </w:rPr>
              <w:t>Outer regional</w:t>
            </w:r>
          </w:p>
        </w:tc>
        <w:tc>
          <w:tcPr>
            <w:tcW w:w="1045" w:type="dxa"/>
          </w:tcPr>
          <w:p w:rsidR="001B1E83" w:rsidRPr="001B1E83" w:rsidRDefault="001B1E83" w:rsidP="00E53420">
            <w:pPr>
              <w:pStyle w:val="TableFigText"/>
              <w:jc w:val="right"/>
              <w:rPr>
                <w:rFonts w:asciiTheme="minorHAnsi" w:hAnsiTheme="minorHAnsi" w:cstheme="minorHAnsi"/>
                <w:b/>
                <w:szCs w:val="22"/>
              </w:rPr>
            </w:pPr>
            <w:r w:rsidRPr="001B1E83">
              <w:rPr>
                <w:rFonts w:asciiTheme="minorHAnsi" w:hAnsiTheme="minorHAnsi" w:cstheme="minorHAnsi"/>
                <w:b/>
                <w:szCs w:val="22"/>
              </w:rPr>
              <w:t>Remote</w:t>
            </w:r>
          </w:p>
        </w:tc>
        <w:tc>
          <w:tcPr>
            <w:tcW w:w="1091" w:type="dxa"/>
          </w:tcPr>
          <w:p w:rsidR="001B1E83" w:rsidRPr="001B1E83" w:rsidRDefault="001B1E83" w:rsidP="00E53420">
            <w:pPr>
              <w:pStyle w:val="TableFigText"/>
              <w:jc w:val="right"/>
              <w:rPr>
                <w:rFonts w:asciiTheme="minorHAnsi" w:hAnsiTheme="minorHAnsi" w:cstheme="minorHAnsi"/>
                <w:b/>
                <w:szCs w:val="22"/>
              </w:rPr>
            </w:pPr>
            <w:r w:rsidRPr="001B1E83">
              <w:rPr>
                <w:rFonts w:asciiTheme="minorHAnsi" w:hAnsiTheme="minorHAnsi" w:cstheme="minorHAnsi"/>
                <w:b/>
                <w:szCs w:val="22"/>
              </w:rPr>
              <w:t>Very remote</w:t>
            </w:r>
          </w:p>
        </w:tc>
        <w:tc>
          <w:tcPr>
            <w:tcW w:w="1094" w:type="dxa"/>
          </w:tcPr>
          <w:p w:rsidR="001B1E83" w:rsidRPr="001B1E83" w:rsidRDefault="001B1E83" w:rsidP="001B1E83">
            <w:pPr>
              <w:pStyle w:val="TableFigText"/>
              <w:jc w:val="right"/>
              <w:rPr>
                <w:rFonts w:asciiTheme="minorHAnsi" w:hAnsiTheme="minorHAnsi" w:cstheme="minorHAnsi"/>
                <w:b/>
                <w:szCs w:val="22"/>
              </w:rPr>
            </w:pPr>
            <w:r w:rsidRPr="001B1E83">
              <w:rPr>
                <w:rFonts w:asciiTheme="minorHAnsi" w:hAnsiTheme="minorHAnsi" w:cstheme="minorHAnsi"/>
                <w:b/>
                <w:szCs w:val="22"/>
              </w:rPr>
              <w:t>Total</w:t>
            </w:r>
          </w:p>
        </w:tc>
      </w:tr>
      <w:tr w:rsidR="001B1E83" w:rsidRPr="001B1E83" w:rsidTr="001B1E83">
        <w:tc>
          <w:tcPr>
            <w:tcW w:w="2388" w:type="dxa"/>
          </w:tcPr>
          <w:p w:rsidR="001B1E83" w:rsidRPr="001B1E83" w:rsidRDefault="001B1E83" w:rsidP="001B1E83">
            <w:pPr>
              <w:pStyle w:val="TableFigText"/>
              <w:rPr>
                <w:rFonts w:asciiTheme="minorHAnsi" w:hAnsiTheme="minorHAnsi" w:cstheme="minorHAnsi"/>
                <w:szCs w:val="22"/>
              </w:rPr>
            </w:pPr>
            <w:r w:rsidRPr="001B1E83">
              <w:rPr>
                <w:rFonts w:asciiTheme="minorHAnsi" w:hAnsiTheme="minorHAnsi" w:cstheme="minorHAnsi"/>
                <w:szCs w:val="22"/>
              </w:rPr>
              <w:t>Public hospital services</w:t>
            </w:r>
            <w:r w:rsidRPr="001B1E83">
              <w:rPr>
                <w:rFonts w:asciiTheme="minorHAnsi" w:hAnsiTheme="minorHAnsi" w:cstheme="minorHAnsi"/>
                <w:szCs w:val="22"/>
                <w:vertAlign w:val="superscript"/>
              </w:rPr>
              <w:t>(e)(f)</w:t>
            </w:r>
          </w:p>
        </w:tc>
        <w:tc>
          <w:tcPr>
            <w:tcW w:w="1044" w:type="dxa"/>
            <w:vAlign w:val="bottom"/>
          </w:tcPr>
          <w:p w:rsidR="001B1E83" w:rsidRPr="001B1E83" w:rsidRDefault="001B1E83" w:rsidP="00BC2119">
            <w:pPr>
              <w:pStyle w:val="TableFigText"/>
              <w:jc w:val="right"/>
            </w:pPr>
            <w:r w:rsidRPr="001B1E83">
              <w:t>90.28</w:t>
            </w:r>
          </w:p>
        </w:tc>
        <w:tc>
          <w:tcPr>
            <w:tcW w:w="1376" w:type="dxa"/>
            <w:vAlign w:val="bottom"/>
          </w:tcPr>
          <w:p w:rsidR="001B1E83" w:rsidRPr="001B1E83" w:rsidRDefault="001B1E83" w:rsidP="00BC2119">
            <w:pPr>
              <w:pStyle w:val="TableFigText"/>
              <w:jc w:val="right"/>
            </w:pPr>
            <w:r w:rsidRPr="001B1E83">
              <w:t>83.89</w:t>
            </w:r>
          </w:p>
        </w:tc>
        <w:tc>
          <w:tcPr>
            <w:tcW w:w="1248" w:type="dxa"/>
            <w:vAlign w:val="bottom"/>
          </w:tcPr>
          <w:p w:rsidR="001B1E83" w:rsidRPr="001B1E83" w:rsidRDefault="001B1E83" w:rsidP="00BC2119">
            <w:pPr>
              <w:pStyle w:val="TableFigText"/>
              <w:jc w:val="right"/>
            </w:pPr>
            <w:r w:rsidRPr="001B1E83">
              <w:t>67.36</w:t>
            </w:r>
          </w:p>
        </w:tc>
        <w:tc>
          <w:tcPr>
            <w:tcW w:w="1045" w:type="dxa"/>
            <w:vAlign w:val="bottom"/>
          </w:tcPr>
          <w:p w:rsidR="001B1E83" w:rsidRPr="001B1E83" w:rsidRDefault="001B1E83" w:rsidP="00BC2119">
            <w:pPr>
              <w:pStyle w:val="TableFigText"/>
              <w:jc w:val="right"/>
            </w:pPr>
            <w:r w:rsidRPr="001B1E83">
              <w:t>13.76</w:t>
            </w:r>
          </w:p>
        </w:tc>
        <w:tc>
          <w:tcPr>
            <w:tcW w:w="1091" w:type="dxa"/>
            <w:vAlign w:val="bottom"/>
          </w:tcPr>
          <w:p w:rsidR="001B1E83" w:rsidRPr="001B1E83" w:rsidRDefault="001B1E83" w:rsidP="00BC2119">
            <w:pPr>
              <w:pStyle w:val="TableFigText"/>
              <w:jc w:val="right"/>
            </w:pPr>
            <w:r w:rsidRPr="001B1E83">
              <w:t>3.88</w:t>
            </w:r>
          </w:p>
        </w:tc>
        <w:tc>
          <w:tcPr>
            <w:tcW w:w="1094" w:type="dxa"/>
            <w:vAlign w:val="bottom"/>
          </w:tcPr>
          <w:p w:rsidR="001B1E83" w:rsidRPr="001B1E83" w:rsidRDefault="001B1E83" w:rsidP="00BC2119">
            <w:pPr>
              <w:pStyle w:val="TableFigText"/>
              <w:jc w:val="right"/>
            </w:pPr>
            <w:r w:rsidRPr="001B1E83">
              <w:t>82.99</w:t>
            </w:r>
          </w:p>
        </w:tc>
      </w:tr>
      <w:tr w:rsidR="001B1E83" w:rsidRPr="001B1E83" w:rsidTr="001B1E83">
        <w:tc>
          <w:tcPr>
            <w:tcW w:w="2388" w:type="dxa"/>
          </w:tcPr>
          <w:p w:rsidR="001B1E83" w:rsidRPr="001B1E83" w:rsidRDefault="001B1E83" w:rsidP="001B1E83">
            <w:pPr>
              <w:pStyle w:val="TableFigText"/>
              <w:rPr>
                <w:rFonts w:asciiTheme="minorHAnsi" w:hAnsiTheme="minorHAnsi" w:cstheme="minorHAnsi"/>
                <w:szCs w:val="22"/>
              </w:rPr>
            </w:pPr>
            <w:r w:rsidRPr="001B1E83">
              <w:rPr>
                <w:rFonts w:asciiTheme="minorHAnsi" w:hAnsiTheme="minorHAnsi" w:cstheme="minorHAnsi"/>
                <w:szCs w:val="22"/>
              </w:rPr>
              <w:t>Community mental health services</w:t>
            </w:r>
          </w:p>
        </w:tc>
        <w:tc>
          <w:tcPr>
            <w:tcW w:w="1044" w:type="dxa"/>
            <w:vAlign w:val="bottom"/>
          </w:tcPr>
          <w:p w:rsidR="001B1E83" w:rsidRPr="001B1E83" w:rsidRDefault="001B1E83" w:rsidP="00BC2119">
            <w:pPr>
              <w:pStyle w:val="TableFigText"/>
              <w:jc w:val="right"/>
            </w:pPr>
            <w:r w:rsidRPr="001B1E83">
              <w:t>74.26</w:t>
            </w:r>
          </w:p>
        </w:tc>
        <w:tc>
          <w:tcPr>
            <w:tcW w:w="1376" w:type="dxa"/>
            <w:vAlign w:val="bottom"/>
          </w:tcPr>
          <w:p w:rsidR="001B1E83" w:rsidRPr="001B1E83" w:rsidRDefault="001B1E83" w:rsidP="00BC2119">
            <w:pPr>
              <w:pStyle w:val="TableFigText"/>
              <w:jc w:val="right"/>
            </w:pPr>
            <w:r w:rsidRPr="001B1E83">
              <w:t>54.38</w:t>
            </w:r>
          </w:p>
        </w:tc>
        <w:tc>
          <w:tcPr>
            <w:tcW w:w="1248" w:type="dxa"/>
            <w:vAlign w:val="bottom"/>
          </w:tcPr>
          <w:p w:rsidR="001B1E83" w:rsidRPr="001B1E83" w:rsidRDefault="001B1E83" w:rsidP="00BC2119">
            <w:pPr>
              <w:pStyle w:val="TableFigText"/>
              <w:jc w:val="right"/>
            </w:pPr>
            <w:r w:rsidRPr="001B1E83">
              <w:t>89.93</w:t>
            </w:r>
          </w:p>
        </w:tc>
        <w:tc>
          <w:tcPr>
            <w:tcW w:w="1045" w:type="dxa"/>
            <w:vAlign w:val="bottom"/>
          </w:tcPr>
          <w:p w:rsidR="001B1E83" w:rsidRPr="001B1E83" w:rsidRDefault="001B1E83" w:rsidP="00BC2119">
            <w:pPr>
              <w:pStyle w:val="TableFigText"/>
              <w:jc w:val="right"/>
            </w:pPr>
            <w:r w:rsidRPr="001B1E83">
              <w:t>46.49</w:t>
            </w:r>
          </w:p>
        </w:tc>
        <w:tc>
          <w:tcPr>
            <w:tcW w:w="1091" w:type="dxa"/>
            <w:vAlign w:val="bottom"/>
          </w:tcPr>
          <w:p w:rsidR="001B1E83" w:rsidRPr="001B1E83" w:rsidRDefault="001B1E83" w:rsidP="00BC2119">
            <w:pPr>
              <w:pStyle w:val="TableFigText"/>
              <w:jc w:val="right"/>
            </w:pPr>
            <w:r w:rsidRPr="001B1E83">
              <w:t>57.16</w:t>
            </w:r>
          </w:p>
        </w:tc>
        <w:tc>
          <w:tcPr>
            <w:tcW w:w="1094" w:type="dxa"/>
            <w:vAlign w:val="bottom"/>
          </w:tcPr>
          <w:p w:rsidR="001B1E83" w:rsidRPr="001B1E83" w:rsidRDefault="001B1E83" w:rsidP="00BC2119">
            <w:pPr>
              <w:pStyle w:val="TableFigText"/>
              <w:jc w:val="right"/>
            </w:pPr>
            <w:r w:rsidRPr="001B1E83">
              <w:t>71.76</w:t>
            </w:r>
          </w:p>
        </w:tc>
      </w:tr>
      <w:tr w:rsidR="001B1E83" w:rsidRPr="001B1E83" w:rsidTr="001B1E83">
        <w:tc>
          <w:tcPr>
            <w:tcW w:w="2388" w:type="dxa"/>
          </w:tcPr>
          <w:p w:rsidR="001B1E83" w:rsidRPr="001B1E83" w:rsidRDefault="001B1E83" w:rsidP="001B1E83">
            <w:pPr>
              <w:pStyle w:val="TableFigText"/>
              <w:rPr>
                <w:rFonts w:asciiTheme="minorHAnsi" w:hAnsiTheme="minorHAnsi" w:cstheme="minorHAnsi"/>
                <w:szCs w:val="22"/>
              </w:rPr>
            </w:pPr>
            <w:r w:rsidRPr="001B1E83">
              <w:rPr>
                <w:rFonts w:asciiTheme="minorHAnsi" w:hAnsiTheme="minorHAnsi" w:cstheme="minorHAnsi"/>
                <w:szCs w:val="22"/>
              </w:rPr>
              <w:t>Residential mental health services</w:t>
            </w:r>
            <w:r w:rsidRPr="001B1E83">
              <w:rPr>
                <w:rFonts w:asciiTheme="minorHAnsi" w:hAnsiTheme="minorHAnsi" w:cstheme="minorHAnsi"/>
                <w:szCs w:val="22"/>
                <w:vertAlign w:val="superscript"/>
              </w:rPr>
              <w:t>(g)</w:t>
            </w:r>
          </w:p>
        </w:tc>
        <w:tc>
          <w:tcPr>
            <w:tcW w:w="1044" w:type="dxa"/>
            <w:vAlign w:val="bottom"/>
          </w:tcPr>
          <w:p w:rsidR="001B1E83" w:rsidRPr="001B1E83" w:rsidRDefault="001B1E83" w:rsidP="00BC2119">
            <w:pPr>
              <w:pStyle w:val="TableFigText"/>
              <w:jc w:val="right"/>
            </w:pPr>
            <w:r>
              <w:t>0</w:t>
            </w:r>
          </w:p>
        </w:tc>
        <w:tc>
          <w:tcPr>
            <w:tcW w:w="1376" w:type="dxa"/>
            <w:vAlign w:val="bottom"/>
          </w:tcPr>
          <w:p w:rsidR="001B1E83" w:rsidRPr="001B1E83" w:rsidRDefault="001B1E83" w:rsidP="00BC2119">
            <w:pPr>
              <w:pStyle w:val="TableFigText"/>
              <w:jc w:val="right"/>
            </w:pPr>
            <w:r>
              <w:t>0</w:t>
            </w:r>
          </w:p>
        </w:tc>
        <w:tc>
          <w:tcPr>
            <w:tcW w:w="1248" w:type="dxa"/>
            <w:vAlign w:val="bottom"/>
          </w:tcPr>
          <w:p w:rsidR="001B1E83" w:rsidRPr="001B1E83" w:rsidRDefault="001B1E83" w:rsidP="00BC2119">
            <w:pPr>
              <w:pStyle w:val="TableFigText"/>
              <w:jc w:val="right"/>
            </w:pPr>
            <w:r>
              <w:t>0</w:t>
            </w:r>
          </w:p>
        </w:tc>
        <w:tc>
          <w:tcPr>
            <w:tcW w:w="1045" w:type="dxa"/>
            <w:vAlign w:val="bottom"/>
          </w:tcPr>
          <w:p w:rsidR="001B1E83" w:rsidRPr="001B1E83" w:rsidRDefault="001B1E83" w:rsidP="00BC2119">
            <w:pPr>
              <w:pStyle w:val="TableFigText"/>
              <w:jc w:val="right"/>
            </w:pPr>
            <w:r>
              <w:t>0</w:t>
            </w:r>
          </w:p>
        </w:tc>
        <w:tc>
          <w:tcPr>
            <w:tcW w:w="1091" w:type="dxa"/>
            <w:vAlign w:val="bottom"/>
          </w:tcPr>
          <w:p w:rsidR="001B1E83" w:rsidRPr="001B1E83" w:rsidRDefault="001B1E83" w:rsidP="00BC2119">
            <w:pPr>
              <w:pStyle w:val="TableFigText"/>
              <w:jc w:val="right"/>
            </w:pPr>
            <w:r>
              <w:t>0</w:t>
            </w:r>
          </w:p>
        </w:tc>
        <w:tc>
          <w:tcPr>
            <w:tcW w:w="1094" w:type="dxa"/>
            <w:vAlign w:val="bottom"/>
          </w:tcPr>
          <w:p w:rsidR="001B1E83" w:rsidRPr="001B1E83" w:rsidRDefault="001B1E83" w:rsidP="00BC2119">
            <w:pPr>
              <w:pStyle w:val="TableFigText"/>
              <w:jc w:val="right"/>
            </w:pPr>
            <w:r>
              <w:t>0</w:t>
            </w:r>
          </w:p>
        </w:tc>
      </w:tr>
      <w:tr w:rsidR="001B1E83" w:rsidRPr="00BC2119" w:rsidTr="001B1E83">
        <w:tc>
          <w:tcPr>
            <w:tcW w:w="2388" w:type="dxa"/>
          </w:tcPr>
          <w:p w:rsidR="001B1E83" w:rsidRPr="00BC2119" w:rsidRDefault="001B1E83" w:rsidP="001B1E83">
            <w:pPr>
              <w:pStyle w:val="TableFigText"/>
              <w:rPr>
                <w:rFonts w:asciiTheme="minorHAnsi" w:hAnsiTheme="minorHAnsi" w:cstheme="minorHAnsi"/>
                <w:b/>
                <w:szCs w:val="22"/>
              </w:rPr>
            </w:pPr>
            <w:r w:rsidRPr="00BC2119">
              <w:rPr>
                <w:rFonts w:asciiTheme="minorHAnsi" w:hAnsiTheme="minorHAnsi" w:cstheme="minorHAnsi"/>
                <w:b/>
                <w:szCs w:val="22"/>
              </w:rPr>
              <w:t>All mental health service types</w:t>
            </w:r>
            <w:r w:rsidRPr="00BC2119">
              <w:rPr>
                <w:rFonts w:asciiTheme="minorHAnsi" w:hAnsiTheme="minorHAnsi" w:cstheme="minorHAnsi"/>
                <w:b/>
                <w:szCs w:val="22"/>
                <w:vertAlign w:val="superscript"/>
              </w:rPr>
              <w:t>(h)</w:t>
            </w:r>
          </w:p>
        </w:tc>
        <w:tc>
          <w:tcPr>
            <w:tcW w:w="1044" w:type="dxa"/>
            <w:vAlign w:val="bottom"/>
          </w:tcPr>
          <w:p w:rsidR="001B1E83" w:rsidRPr="00BC2119" w:rsidRDefault="001B1E83" w:rsidP="00BC2119">
            <w:pPr>
              <w:pStyle w:val="TableFigText"/>
              <w:jc w:val="right"/>
              <w:rPr>
                <w:b/>
              </w:rPr>
            </w:pPr>
            <w:r w:rsidRPr="00BC2119">
              <w:rPr>
                <w:b/>
              </w:rPr>
              <w:t>164.53</w:t>
            </w:r>
          </w:p>
        </w:tc>
        <w:tc>
          <w:tcPr>
            <w:tcW w:w="1376" w:type="dxa"/>
            <w:vAlign w:val="bottom"/>
          </w:tcPr>
          <w:p w:rsidR="001B1E83" w:rsidRPr="00BC2119" w:rsidRDefault="001B1E83" w:rsidP="00BC2119">
            <w:pPr>
              <w:pStyle w:val="TableFigText"/>
              <w:jc w:val="right"/>
              <w:rPr>
                <w:b/>
              </w:rPr>
            </w:pPr>
            <w:r w:rsidRPr="00BC2119">
              <w:rPr>
                <w:b/>
              </w:rPr>
              <w:t>138.26</w:t>
            </w:r>
          </w:p>
        </w:tc>
        <w:tc>
          <w:tcPr>
            <w:tcW w:w="1248" w:type="dxa"/>
            <w:vAlign w:val="bottom"/>
          </w:tcPr>
          <w:p w:rsidR="001B1E83" w:rsidRPr="00BC2119" w:rsidRDefault="001B1E83" w:rsidP="00BC2119">
            <w:pPr>
              <w:pStyle w:val="TableFigText"/>
              <w:jc w:val="right"/>
              <w:rPr>
                <w:b/>
              </w:rPr>
            </w:pPr>
            <w:r w:rsidRPr="00BC2119">
              <w:rPr>
                <w:b/>
              </w:rPr>
              <w:t>157.29</w:t>
            </w:r>
          </w:p>
        </w:tc>
        <w:tc>
          <w:tcPr>
            <w:tcW w:w="1045" w:type="dxa"/>
            <w:vAlign w:val="bottom"/>
          </w:tcPr>
          <w:p w:rsidR="001B1E83" w:rsidRPr="00BC2119" w:rsidRDefault="001B1E83" w:rsidP="00BC2119">
            <w:pPr>
              <w:pStyle w:val="TableFigText"/>
              <w:jc w:val="right"/>
              <w:rPr>
                <w:b/>
              </w:rPr>
            </w:pPr>
            <w:r w:rsidRPr="00BC2119">
              <w:rPr>
                <w:b/>
              </w:rPr>
              <w:t>60.24</w:t>
            </w:r>
          </w:p>
        </w:tc>
        <w:tc>
          <w:tcPr>
            <w:tcW w:w="1091" w:type="dxa"/>
            <w:vAlign w:val="bottom"/>
          </w:tcPr>
          <w:p w:rsidR="001B1E83" w:rsidRPr="00BC2119" w:rsidRDefault="001B1E83" w:rsidP="00BC2119">
            <w:pPr>
              <w:pStyle w:val="TableFigText"/>
              <w:jc w:val="right"/>
              <w:rPr>
                <w:b/>
              </w:rPr>
            </w:pPr>
            <w:r w:rsidRPr="00BC2119">
              <w:rPr>
                <w:b/>
              </w:rPr>
              <w:t>61.04</w:t>
            </w:r>
          </w:p>
        </w:tc>
        <w:tc>
          <w:tcPr>
            <w:tcW w:w="1094" w:type="dxa"/>
            <w:vAlign w:val="bottom"/>
          </w:tcPr>
          <w:p w:rsidR="001B1E83" w:rsidRPr="00BC2119" w:rsidRDefault="001B1E83" w:rsidP="00BC2119">
            <w:pPr>
              <w:pStyle w:val="TableFigText"/>
              <w:jc w:val="right"/>
              <w:rPr>
                <w:b/>
              </w:rPr>
            </w:pPr>
            <w:r w:rsidRPr="00BC2119">
              <w:rPr>
                <w:b/>
              </w:rPr>
              <w:t>154.75</w:t>
            </w:r>
          </w:p>
        </w:tc>
      </w:tr>
    </w:tbl>
    <w:p w:rsidR="001B1E83" w:rsidRPr="006876F2" w:rsidRDefault="001B1E83" w:rsidP="00540186">
      <w:pPr>
        <w:pStyle w:val="TableFigNotesnumbered"/>
        <w:numPr>
          <w:ilvl w:val="0"/>
          <w:numId w:val="49"/>
        </w:numPr>
        <w:rPr>
          <w:rStyle w:val="table-note"/>
        </w:rPr>
      </w:pPr>
      <w:r w:rsidRPr="006876F2">
        <w:rPr>
          <w:rStyle w:val="table-note"/>
        </w:rPr>
        <w:t>Expenditure excludes depreciation.</w:t>
      </w:r>
    </w:p>
    <w:p w:rsidR="001B1E83" w:rsidRPr="006876F2" w:rsidRDefault="001B1E83" w:rsidP="00540186">
      <w:pPr>
        <w:pStyle w:val="TableFigNotesnumbered"/>
        <w:numPr>
          <w:ilvl w:val="0"/>
          <w:numId w:val="49"/>
        </w:numPr>
        <w:rPr>
          <w:rStyle w:val="table-note"/>
        </w:rPr>
      </w:pPr>
      <w:r w:rsidRPr="006876F2">
        <w:rPr>
          <w:rStyle w:val="table-note"/>
        </w:rPr>
        <w:t xml:space="preserve">Expenditure excludes grants to non-government organisations and indirect expenditure at the state/territory, region and organisation levels not apportioned to service units. </w:t>
      </w:r>
    </w:p>
    <w:p w:rsidR="001B1E83" w:rsidRPr="006876F2" w:rsidRDefault="001B1E83" w:rsidP="00540186">
      <w:pPr>
        <w:pStyle w:val="TableFigNotesnumbered"/>
        <w:numPr>
          <w:ilvl w:val="0"/>
          <w:numId w:val="49"/>
        </w:numPr>
        <w:rPr>
          <w:rStyle w:val="table-note"/>
        </w:rPr>
      </w:pPr>
      <w:r w:rsidRPr="006876F2">
        <w:rPr>
          <w:rStyle w:val="table-note"/>
        </w:rPr>
        <w:t>Crude rate is based on the state and territory estimated resident population by remoteness area as at 30 June 2007.</w:t>
      </w:r>
    </w:p>
    <w:p w:rsidR="001B1E83" w:rsidRPr="006876F2" w:rsidRDefault="001B1E83" w:rsidP="00540186">
      <w:pPr>
        <w:pStyle w:val="TableFigNotesnumbered"/>
        <w:numPr>
          <w:ilvl w:val="0"/>
          <w:numId w:val="49"/>
        </w:numPr>
        <w:rPr>
          <w:rStyle w:val="table-note"/>
        </w:rPr>
      </w:pPr>
      <w:r w:rsidRPr="006876F2">
        <w:rPr>
          <w:rStyle w:val="table-note"/>
        </w:rPr>
        <w:t>Constant prices are referenced to 2011–12 and are adjusted for inflation.</w:t>
      </w:r>
    </w:p>
    <w:p w:rsidR="001B1E83" w:rsidRPr="006876F2" w:rsidRDefault="001B1E83" w:rsidP="00540186">
      <w:pPr>
        <w:pStyle w:val="TableFigNotesnumbered"/>
        <w:numPr>
          <w:ilvl w:val="0"/>
          <w:numId w:val="49"/>
        </w:numPr>
        <w:rPr>
          <w:rStyle w:val="table-note"/>
        </w:rPr>
      </w:pPr>
      <w:r w:rsidRPr="006876F2">
        <w:rPr>
          <w:rStyle w:val="table-note"/>
        </w:rPr>
        <w:t>Includes public hospital services managed and operated by private and non-government entities.</w:t>
      </w:r>
    </w:p>
    <w:p w:rsidR="001B1E83" w:rsidRPr="006876F2" w:rsidRDefault="001B1E83" w:rsidP="00540186">
      <w:pPr>
        <w:pStyle w:val="TableFigNotesnumbered"/>
        <w:numPr>
          <w:ilvl w:val="0"/>
          <w:numId w:val="49"/>
        </w:numPr>
        <w:rPr>
          <w:rStyle w:val="table-note"/>
        </w:rPr>
      </w:pPr>
      <w:r w:rsidRPr="006876F2">
        <w:rPr>
          <w:rStyle w:val="table-note"/>
        </w:rPr>
        <w:t>Public psychiatric hospitals and specialised psychiatric units or wards in public acute hospitals include expenditure on admitted patient services only. Public hospitals outpatient departments are included in community mental health care services.</w:t>
      </w:r>
      <w:r w:rsidRPr="006876F2">
        <w:rPr>
          <w:rStyle w:val="table-note"/>
        </w:rPr>
        <w:tab/>
      </w:r>
      <w:r w:rsidRPr="006876F2">
        <w:rPr>
          <w:rStyle w:val="table-note"/>
        </w:rPr>
        <w:tab/>
      </w:r>
    </w:p>
    <w:p w:rsidR="001B1E83" w:rsidRPr="006876F2" w:rsidRDefault="001B1E83" w:rsidP="00540186">
      <w:pPr>
        <w:pStyle w:val="TableFigNotesnumbered"/>
        <w:numPr>
          <w:ilvl w:val="0"/>
          <w:numId w:val="49"/>
        </w:numPr>
        <w:rPr>
          <w:rStyle w:val="table-note"/>
        </w:rPr>
      </w:pPr>
      <w:r w:rsidRPr="006876F2">
        <w:rPr>
          <w:rStyle w:val="table-note"/>
        </w:rPr>
        <w:t>Residential mental health services include the total operating costs for partially or wholly government funded non-government-operated residential mental health services.</w:t>
      </w:r>
    </w:p>
    <w:p w:rsidR="001B1E83" w:rsidRPr="006876F2" w:rsidRDefault="001B1E83" w:rsidP="00540186">
      <w:pPr>
        <w:pStyle w:val="TableFigNotesnumbered"/>
        <w:numPr>
          <w:ilvl w:val="0"/>
          <w:numId w:val="49"/>
        </w:numPr>
        <w:rPr>
          <w:rStyle w:val="table-note"/>
        </w:rPr>
      </w:pPr>
      <w:r w:rsidRPr="006876F2">
        <w:rPr>
          <w:rStyle w:val="table-note"/>
        </w:rPr>
        <w:t>Totals may not add due to rounding.</w:t>
      </w:r>
    </w:p>
    <w:p w:rsidR="002265C7" w:rsidRPr="001B1E83" w:rsidRDefault="002265C7" w:rsidP="002265C7">
      <w:pPr>
        <w:spacing w:before="0" w:after="0" w:line="240" w:lineRule="auto"/>
        <w:rPr>
          <w:rFonts w:asciiTheme="minorHAnsi" w:hAnsiTheme="minorHAnsi" w:cstheme="minorHAnsi"/>
        </w:rPr>
      </w:pPr>
    </w:p>
    <w:p w:rsidR="00E53420" w:rsidRPr="001B1E83" w:rsidRDefault="00E53420">
      <w:pPr>
        <w:spacing w:before="0" w:after="0" w:line="240" w:lineRule="auto"/>
        <w:rPr>
          <w:rFonts w:asciiTheme="minorHAnsi" w:hAnsiTheme="minorHAnsi"/>
          <w:szCs w:val="20"/>
        </w:rPr>
      </w:pPr>
      <w:r w:rsidRPr="001B1E83">
        <w:rPr>
          <w:rFonts w:asciiTheme="minorHAnsi" w:hAnsiTheme="minorHAnsi"/>
        </w:rPr>
        <w:br w:type="page"/>
      </w:r>
    </w:p>
    <w:p w:rsidR="002265C7" w:rsidRPr="0096114C" w:rsidRDefault="0096114C" w:rsidP="002265C7">
      <w:pPr>
        <w:pStyle w:val="TableCaption"/>
        <w:rPr>
          <w:rStyle w:val="table-note"/>
        </w:rPr>
      </w:pPr>
      <w:r w:rsidRPr="0096114C">
        <w:rPr>
          <w:rStyle w:val="table-note"/>
        </w:rPr>
        <w:lastRenderedPageBreak/>
        <w:t xml:space="preserve">Table 24: </w:t>
      </w:r>
      <w:r w:rsidR="002265C7" w:rsidRPr="0096114C">
        <w:rPr>
          <w:rStyle w:val="table-note"/>
        </w:rPr>
        <w:t xml:space="preserve">QLD: Recurrent </w:t>
      </w:r>
      <w:proofErr w:type="gramStart"/>
      <w:r w:rsidR="002265C7" w:rsidRPr="0096114C">
        <w:rPr>
          <w:rStyle w:val="table-note"/>
        </w:rPr>
        <w:t>expenditure</w:t>
      </w:r>
      <w:r w:rsidR="002265C7" w:rsidRPr="0096114C">
        <w:rPr>
          <w:rStyle w:val="table-note"/>
          <w:vertAlign w:val="superscript"/>
        </w:rPr>
        <w:t>(</w:t>
      </w:r>
      <w:proofErr w:type="gramEnd"/>
      <w:r w:rsidR="002265C7" w:rsidRPr="0096114C">
        <w:rPr>
          <w:rStyle w:val="table-note"/>
          <w:vertAlign w:val="superscript"/>
        </w:rPr>
        <w:t>a)(b)</w:t>
      </w:r>
      <w:r w:rsidR="002265C7" w:rsidRPr="0096114C">
        <w:rPr>
          <w:rStyle w:val="table-note"/>
        </w:rPr>
        <w:t xml:space="preserve"> ($’000) on state and territory specialised mental health services, by service type, 2011–12 (current prices)</w:t>
      </w:r>
    </w:p>
    <w:tbl>
      <w:tblPr>
        <w:tblStyle w:val="TableGrid"/>
        <w:tblW w:w="0" w:type="auto"/>
        <w:tblLook w:val="04A0" w:firstRow="1" w:lastRow="0" w:firstColumn="1" w:lastColumn="0" w:noHBand="0" w:noVBand="1"/>
        <w:tblCaption w:val="QLD: Recurrent expenditure(a)(b) ($’000) on state and territory specialised mental health services, by service type, 2011–12 (current prices)"/>
        <w:tblDescription w:val="Table showing that, in 2011-2012, major cities in QLD have the highest recurrent expenditure for specialised mental health services at $500,196,000. Recurrent expenditure decreased as regions became more remote. Community mental health services had the highest recurrent expenditure overall, over region types, at $401,463,000. Queensland does not fund residential mental health services."/>
      </w:tblPr>
      <w:tblGrid>
        <w:gridCol w:w="2337"/>
        <w:gridCol w:w="1101"/>
        <w:gridCol w:w="1367"/>
        <w:gridCol w:w="1245"/>
        <w:gridCol w:w="1033"/>
        <w:gridCol w:w="1076"/>
        <w:gridCol w:w="1127"/>
      </w:tblGrid>
      <w:tr w:rsidR="002265C7" w:rsidRPr="001B1E83" w:rsidTr="000C3DEA">
        <w:trPr>
          <w:tblHeader/>
        </w:trPr>
        <w:tc>
          <w:tcPr>
            <w:tcW w:w="2445" w:type="dxa"/>
          </w:tcPr>
          <w:p w:rsidR="002265C7" w:rsidRPr="001B1E83" w:rsidRDefault="002265C7" w:rsidP="002265C7">
            <w:pPr>
              <w:pStyle w:val="TableFigText"/>
              <w:rPr>
                <w:rFonts w:asciiTheme="minorHAnsi" w:hAnsiTheme="minorHAnsi" w:cstheme="minorHAnsi"/>
                <w:szCs w:val="22"/>
              </w:rPr>
            </w:pPr>
          </w:p>
        </w:tc>
        <w:tc>
          <w:tcPr>
            <w:tcW w:w="1125" w:type="dxa"/>
          </w:tcPr>
          <w:p w:rsidR="002265C7" w:rsidRPr="001B1E83" w:rsidRDefault="002265C7" w:rsidP="002265C7">
            <w:pPr>
              <w:pStyle w:val="TableFigText"/>
              <w:jc w:val="right"/>
              <w:rPr>
                <w:rFonts w:asciiTheme="minorHAnsi" w:hAnsiTheme="minorHAnsi" w:cstheme="minorHAnsi"/>
                <w:b/>
                <w:szCs w:val="22"/>
              </w:rPr>
            </w:pPr>
            <w:r w:rsidRPr="001B1E83">
              <w:rPr>
                <w:rFonts w:asciiTheme="minorHAnsi" w:hAnsiTheme="minorHAnsi" w:cstheme="minorHAnsi"/>
                <w:b/>
                <w:szCs w:val="22"/>
              </w:rPr>
              <w:t>Major cities</w:t>
            </w:r>
          </w:p>
        </w:tc>
        <w:tc>
          <w:tcPr>
            <w:tcW w:w="1412" w:type="dxa"/>
          </w:tcPr>
          <w:p w:rsidR="002265C7" w:rsidRPr="001B1E83" w:rsidRDefault="002265C7" w:rsidP="002265C7">
            <w:pPr>
              <w:pStyle w:val="TableFigText"/>
              <w:jc w:val="right"/>
              <w:rPr>
                <w:rFonts w:asciiTheme="minorHAnsi" w:hAnsiTheme="minorHAnsi" w:cstheme="minorHAnsi"/>
                <w:b/>
                <w:szCs w:val="22"/>
              </w:rPr>
            </w:pPr>
            <w:r w:rsidRPr="001B1E83">
              <w:rPr>
                <w:rFonts w:asciiTheme="minorHAnsi" w:hAnsiTheme="minorHAnsi" w:cstheme="minorHAnsi"/>
                <w:b/>
                <w:szCs w:val="22"/>
              </w:rPr>
              <w:t>Inner regional</w:t>
            </w:r>
          </w:p>
        </w:tc>
        <w:tc>
          <w:tcPr>
            <w:tcW w:w="1280" w:type="dxa"/>
          </w:tcPr>
          <w:p w:rsidR="002265C7" w:rsidRPr="001B1E83" w:rsidRDefault="002265C7" w:rsidP="002265C7">
            <w:pPr>
              <w:pStyle w:val="TableFigText"/>
              <w:jc w:val="right"/>
              <w:rPr>
                <w:rFonts w:asciiTheme="minorHAnsi" w:hAnsiTheme="minorHAnsi" w:cstheme="minorHAnsi"/>
                <w:b/>
                <w:szCs w:val="22"/>
              </w:rPr>
            </w:pPr>
            <w:r w:rsidRPr="001B1E83">
              <w:rPr>
                <w:rFonts w:asciiTheme="minorHAnsi" w:hAnsiTheme="minorHAnsi" w:cstheme="minorHAnsi"/>
                <w:b/>
                <w:szCs w:val="22"/>
              </w:rPr>
              <w:t>Outer regional</w:t>
            </w:r>
          </w:p>
        </w:tc>
        <w:tc>
          <w:tcPr>
            <w:tcW w:w="1056" w:type="dxa"/>
          </w:tcPr>
          <w:p w:rsidR="002265C7" w:rsidRPr="001B1E83" w:rsidRDefault="002265C7" w:rsidP="002265C7">
            <w:pPr>
              <w:pStyle w:val="TableFigText"/>
              <w:jc w:val="right"/>
              <w:rPr>
                <w:rFonts w:asciiTheme="minorHAnsi" w:hAnsiTheme="minorHAnsi" w:cstheme="minorHAnsi"/>
                <w:b/>
                <w:szCs w:val="22"/>
              </w:rPr>
            </w:pPr>
            <w:r w:rsidRPr="001B1E83">
              <w:rPr>
                <w:rFonts w:asciiTheme="minorHAnsi" w:hAnsiTheme="minorHAnsi" w:cstheme="minorHAnsi"/>
                <w:b/>
                <w:szCs w:val="22"/>
              </w:rPr>
              <w:t>Remote</w:t>
            </w:r>
          </w:p>
        </w:tc>
        <w:tc>
          <w:tcPr>
            <w:tcW w:w="1105" w:type="dxa"/>
          </w:tcPr>
          <w:p w:rsidR="002265C7" w:rsidRPr="001B1E83" w:rsidRDefault="002265C7" w:rsidP="002265C7">
            <w:pPr>
              <w:pStyle w:val="TableFigText"/>
              <w:jc w:val="right"/>
              <w:rPr>
                <w:rFonts w:asciiTheme="minorHAnsi" w:hAnsiTheme="minorHAnsi" w:cstheme="minorHAnsi"/>
                <w:b/>
                <w:szCs w:val="22"/>
              </w:rPr>
            </w:pPr>
            <w:r w:rsidRPr="001B1E83">
              <w:rPr>
                <w:rFonts w:asciiTheme="minorHAnsi" w:hAnsiTheme="minorHAnsi" w:cstheme="minorHAnsi"/>
                <w:b/>
                <w:szCs w:val="22"/>
              </w:rPr>
              <w:t>Very remote</w:t>
            </w:r>
          </w:p>
        </w:tc>
        <w:tc>
          <w:tcPr>
            <w:tcW w:w="1153" w:type="dxa"/>
          </w:tcPr>
          <w:p w:rsidR="002265C7" w:rsidRPr="001B1E83" w:rsidRDefault="002265C7" w:rsidP="002265C7">
            <w:pPr>
              <w:pStyle w:val="TableFigText"/>
              <w:jc w:val="right"/>
              <w:rPr>
                <w:rFonts w:asciiTheme="minorHAnsi" w:hAnsiTheme="minorHAnsi" w:cstheme="minorHAnsi"/>
                <w:b/>
                <w:szCs w:val="22"/>
              </w:rPr>
            </w:pPr>
            <w:r w:rsidRPr="001B1E83">
              <w:rPr>
                <w:rFonts w:asciiTheme="minorHAnsi" w:hAnsiTheme="minorHAnsi" w:cstheme="minorHAnsi"/>
                <w:b/>
                <w:szCs w:val="22"/>
              </w:rPr>
              <w:t>Total</w:t>
            </w:r>
            <w:r w:rsidRPr="001B1E83">
              <w:rPr>
                <w:rFonts w:asciiTheme="minorHAnsi" w:hAnsiTheme="minorHAnsi" w:cstheme="minorHAnsi"/>
                <w:szCs w:val="22"/>
                <w:vertAlign w:val="superscript"/>
              </w:rPr>
              <w:t>(c)</w:t>
            </w:r>
          </w:p>
        </w:tc>
      </w:tr>
      <w:tr w:rsidR="002265C7" w:rsidRPr="001B1E83" w:rsidTr="002265C7">
        <w:tc>
          <w:tcPr>
            <w:tcW w:w="2445" w:type="dxa"/>
          </w:tcPr>
          <w:p w:rsidR="002265C7" w:rsidRPr="001B1E83" w:rsidRDefault="002265C7" w:rsidP="002265C7">
            <w:pPr>
              <w:pStyle w:val="TableFigText"/>
              <w:rPr>
                <w:rFonts w:asciiTheme="minorHAnsi" w:hAnsiTheme="minorHAnsi" w:cstheme="minorHAnsi"/>
                <w:szCs w:val="22"/>
              </w:rPr>
            </w:pPr>
            <w:r w:rsidRPr="001B1E83">
              <w:rPr>
                <w:rFonts w:asciiTheme="minorHAnsi" w:hAnsiTheme="minorHAnsi" w:cstheme="minorHAnsi"/>
                <w:szCs w:val="22"/>
              </w:rPr>
              <w:t>Public hospital services</w:t>
            </w:r>
            <w:r w:rsidRPr="001B1E83">
              <w:rPr>
                <w:rFonts w:asciiTheme="minorHAnsi" w:hAnsiTheme="minorHAnsi" w:cstheme="minorHAnsi"/>
                <w:szCs w:val="22"/>
                <w:vertAlign w:val="superscript"/>
              </w:rPr>
              <w:t>(d)(e)</w:t>
            </w:r>
          </w:p>
        </w:tc>
        <w:tc>
          <w:tcPr>
            <w:tcW w:w="1125" w:type="dxa"/>
          </w:tcPr>
          <w:p w:rsidR="002265C7" w:rsidRPr="001B1E83" w:rsidRDefault="002265C7" w:rsidP="00BC2119">
            <w:pPr>
              <w:pStyle w:val="TableFigText"/>
              <w:jc w:val="right"/>
            </w:pPr>
            <w:r w:rsidRPr="001B1E83">
              <w:t>245,349</w:t>
            </w:r>
          </w:p>
        </w:tc>
        <w:tc>
          <w:tcPr>
            <w:tcW w:w="1412" w:type="dxa"/>
          </w:tcPr>
          <w:p w:rsidR="002265C7" w:rsidRPr="001B1E83" w:rsidRDefault="002265C7" w:rsidP="00BC2119">
            <w:pPr>
              <w:pStyle w:val="TableFigText"/>
              <w:jc w:val="right"/>
            </w:pPr>
            <w:r w:rsidRPr="001B1E83">
              <w:t>72,785</w:t>
            </w:r>
          </w:p>
        </w:tc>
        <w:tc>
          <w:tcPr>
            <w:tcW w:w="1280" w:type="dxa"/>
          </w:tcPr>
          <w:p w:rsidR="002265C7" w:rsidRPr="001B1E83" w:rsidRDefault="002265C7" w:rsidP="00BC2119">
            <w:pPr>
              <w:pStyle w:val="TableFigText"/>
              <w:jc w:val="right"/>
            </w:pPr>
            <w:r w:rsidRPr="001B1E83">
              <w:t>45,479</w:t>
            </w:r>
          </w:p>
        </w:tc>
        <w:tc>
          <w:tcPr>
            <w:tcW w:w="1056" w:type="dxa"/>
          </w:tcPr>
          <w:p w:rsidR="002265C7" w:rsidRPr="001B1E83" w:rsidRDefault="002265C7" w:rsidP="00BC2119">
            <w:pPr>
              <w:pStyle w:val="TableFigText"/>
              <w:jc w:val="right"/>
            </w:pPr>
            <w:r w:rsidRPr="001B1E83">
              <w:t>983</w:t>
            </w:r>
          </w:p>
        </w:tc>
        <w:tc>
          <w:tcPr>
            <w:tcW w:w="1105" w:type="dxa"/>
          </w:tcPr>
          <w:p w:rsidR="002265C7" w:rsidRPr="001B1E83" w:rsidRDefault="002265C7" w:rsidP="00BC2119">
            <w:pPr>
              <w:pStyle w:val="TableFigText"/>
              <w:jc w:val="right"/>
            </w:pPr>
            <w:r w:rsidRPr="001B1E83">
              <w:t>254</w:t>
            </w:r>
          </w:p>
        </w:tc>
        <w:tc>
          <w:tcPr>
            <w:tcW w:w="1153" w:type="dxa"/>
          </w:tcPr>
          <w:p w:rsidR="002265C7" w:rsidRPr="001B1E83" w:rsidRDefault="002265C7" w:rsidP="00BC2119">
            <w:pPr>
              <w:pStyle w:val="TableFigText"/>
              <w:jc w:val="right"/>
            </w:pPr>
            <w:r w:rsidRPr="001B1E83">
              <w:t>364,851</w:t>
            </w:r>
          </w:p>
        </w:tc>
      </w:tr>
      <w:tr w:rsidR="002265C7" w:rsidRPr="001B1E83" w:rsidTr="002265C7">
        <w:tc>
          <w:tcPr>
            <w:tcW w:w="2445" w:type="dxa"/>
          </w:tcPr>
          <w:p w:rsidR="002265C7" w:rsidRPr="001B1E83" w:rsidRDefault="002265C7" w:rsidP="002265C7">
            <w:pPr>
              <w:pStyle w:val="TableFigText"/>
              <w:rPr>
                <w:rFonts w:asciiTheme="minorHAnsi" w:hAnsiTheme="minorHAnsi" w:cstheme="minorHAnsi"/>
                <w:szCs w:val="22"/>
              </w:rPr>
            </w:pPr>
            <w:r w:rsidRPr="001B1E83">
              <w:rPr>
                <w:rFonts w:asciiTheme="minorHAnsi" w:hAnsiTheme="minorHAnsi" w:cstheme="minorHAnsi"/>
                <w:szCs w:val="22"/>
              </w:rPr>
              <w:t>Community mental health services</w:t>
            </w:r>
          </w:p>
        </w:tc>
        <w:tc>
          <w:tcPr>
            <w:tcW w:w="1125" w:type="dxa"/>
            <w:vAlign w:val="bottom"/>
          </w:tcPr>
          <w:p w:rsidR="002265C7" w:rsidRPr="001B1E83" w:rsidRDefault="002265C7" w:rsidP="00BC2119">
            <w:pPr>
              <w:pStyle w:val="TableFigText"/>
              <w:jc w:val="right"/>
            </w:pPr>
            <w:r w:rsidRPr="001B1E83">
              <w:t>254,846</w:t>
            </w:r>
          </w:p>
        </w:tc>
        <w:tc>
          <w:tcPr>
            <w:tcW w:w="1412" w:type="dxa"/>
            <w:vAlign w:val="bottom"/>
          </w:tcPr>
          <w:p w:rsidR="002265C7" w:rsidRPr="001B1E83" w:rsidRDefault="002265C7" w:rsidP="00BC2119">
            <w:pPr>
              <w:pStyle w:val="TableFigText"/>
              <w:jc w:val="right"/>
            </w:pPr>
            <w:r w:rsidRPr="001B1E83">
              <w:t>63,399</w:t>
            </w:r>
          </w:p>
        </w:tc>
        <w:tc>
          <w:tcPr>
            <w:tcW w:w="1280" w:type="dxa"/>
            <w:vAlign w:val="bottom"/>
          </w:tcPr>
          <w:p w:rsidR="002265C7" w:rsidRPr="001B1E83" w:rsidRDefault="002265C7" w:rsidP="00BC2119">
            <w:pPr>
              <w:pStyle w:val="TableFigText"/>
              <w:jc w:val="right"/>
            </w:pPr>
            <w:r w:rsidRPr="001B1E83">
              <w:t>72,310</w:t>
            </w:r>
          </w:p>
        </w:tc>
        <w:tc>
          <w:tcPr>
            <w:tcW w:w="1056" w:type="dxa"/>
            <w:vAlign w:val="bottom"/>
          </w:tcPr>
          <w:p w:rsidR="002265C7" w:rsidRPr="001B1E83" w:rsidRDefault="002265C7" w:rsidP="00BC2119">
            <w:pPr>
              <w:pStyle w:val="TableFigText"/>
              <w:jc w:val="right"/>
            </w:pPr>
            <w:r w:rsidRPr="001B1E83">
              <w:t>5,899</w:t>
            </w:r>
          </w:p>
        </w:tc>
        <w:tc>
          <w:tcPr>
            <w:tcW w:w="1105" w:type="dxa"/>
            <w:vAlign w:val="bottom"/>
          </w:tcPr>
          <w:p w:rsidR="002265C7" w:rsidRPr="001B1E83" w:rsidRDefault="002265C7" w:rsidP="00BC2119">
            <w:pPr>
              <w:pStyle w:val="TableFigText"/>
              <w:jc w:val="right"/>
            </w:pPr>
            <w:r w:rsidRPr="001B1E83">
              <w:t>5,009</w:t>
            </w:r>
          </w:p>
        </w:tc>
        <w:tc>
          <w:tcPr>
            <w:tcW w:w="1153" w:type="dxa"/>
            <w:vAlign w:val="bottom"/>
          </w:tcPr>
          <w:p w:rsidR="002265C7" w:rsidRPr="001B1E83" w:rsidRDefault="002265C7" w:rsidP="00BC2119">
            <w:pPr>
              <w:pStyle w:val="TableFigText"/>
              <w:jc w:val="right"/>
            </w:pPr>
            <w:r w:rsidRPr="001B1E83">
              <w:t>401,463</w:t>
            </w:r>
          </w:p>
        </w:tc>
      </w:tr>
      <w:tr w:rsidR="002265C7" w:rsidRPr="001B1E83" w:rsidTr="002265C7">
        <w:tc>
          <w:tcPr>
            <w:tcW w:w="2445" w:type="dxa"/>
          </w:tcPr>
          <w:p w:rsidR="002265C7" w:rsidRPr="001B1E83" w:rsidRDefault="002265C7" w:rsidP="002265C7">
            <w:pPr>
              <w:pStyle w:val="TableFigText"/>
              <w:rPr>
                <w:rFonts w:asciiTheme="minorHAnsi" w:hAnsiTheme="minorHAnsi" w:cstheme="minorHAnsi"/>
                <w:szCs w:val="22"/>
              </w:rPr>
            </w:pPr>
            <w:r w:rsidRPr="001B1E83">
              <w:rPr>
                <w:rFonts w:asciiTheme="minorHAnsi" w:hAnsiTheme="minorHAnsi" w:cstheme="minorHAnsi"/>
                <w:szCs w:val="22"/>
              </w:rPr>
              <w:t>Residential mental health services</w:t>
            </w:r>
            <w:r w:rsidRPr="001B1E83">
              <w:rPr>
                <w:rFonts w:asciiTheme="minorHAnsi" w:hAnsiTheme="minorHAnsi" w:cstheme="minorHAnsi"/>
                <w:szCs w:val="22"/>
                <w:vertAlign w:val="superscript"/>
              </w:rPr>
              <w:t>(f)</w:t>
            </w:r>
          </w:p>
        </w:tc>
        <w:tc>
          <w:tcPr>
            <w:tcW w:w="1125" w:type="dxa"/>
          </w:tcPr>
          <w:p w:rsidR="002265C7" w:rsidRPr="001B1E83" w:rsidRDefault="002265C7" w:rsidP="00BC2119">
            <w:pPr>
              <w:pStyle w:val="TableFigText"/>
              <w:jc w:val="right"/>
            </w:pPr>
            <w:r w:rsidRPr="001B1E83">
              <w:t>0</w:t>
            </w:r>
          </w:p>
        </w:tc>
        <w:tc>
          <w:tcPr>
            <w:tcW w:w="1412" w:type="dxa"/>
          </w:tcPr>
          <w:p w:rsidR="002265C7" w:rsidRPr="001B1E83" w:rsidRDefault="002265C7" w:rsidP="00BC2119">
            <w:pPr>
              <w:pStyle w:val="TableFigText"/>
              <w:jc w:val="right"/>
            </w:pPr>
            <w:r w:rsidRPr="001B1E83">
              <w:t>0</w:t>
            </w:r>
          </w:p>
        </w:tc>
        <w:tc>
          <w:tcPr>
            <w:tcW w:w="1280" w:type="dxa"/>
          </w:tcPr>
          <w:p w:rsidR="002265C7" w:rsidRPr="001B1E83" w:rsidRDefault="002265C7" w:rsidP="00BC2119">
            <w:pPr>
              <w:pStyle w:val="TableFigText"/>
              <w:jc w:val="right"/>
            </w:pPr>
            <w:r w:rsidRPr="001B1E83">
              <w:t>0</w:t>
            </w:r>
          </w:p>
        </w:tc>
        <w:tc>
          <w:tcPr>
            <w:tcW w:w="1056" w:type="dxa"/>
          </w:tcPr>
          <w:p w:rsidR="002265C7" w:rsidRPr="001B1E83" w:rsidRDefault="002265C7" w:rsidP="00BC2119">
            <w:pPr>
              <w:pStyle w:val="TableFigText"/>
              <w:jc w:val="right"/>
            </w:pPr>
            <w:r w:rsidRPr="001B1E83">
              <w:t>0</w:t>
            </w:r>
          </w:p>
        </w:tc>
        <w:tc>
          <w:tcPr>
            <w:tcW w:w="1105" w:type="dxa"/>
          </w:tcPr>
          <w:p w:rsidR="002265C7" w:rsidRPr="001B1E83" w:rsidRDefault="002265C7" w:rsidP="00BC2119">
            <w:pPr>
              <w:pStyle w:val="TableFigText"/>
              <w:jc w:val="right"/>
            </w:pPr>
            <w:r w:rsidRPr="001B1E83">
              <w:t>0</w:t>
            </w:r>
          </w:p>
        </w:tc>
        <w:tc>
          <w:tcPr>
            <w:tcW w:w="1153" w:type="dxa"/>
          </w:tcPr>
          <w:p w:rsidR="002265C7" w:rsidRPr="001B1E83" w:rsidRDefault="002265C7" w:rsidP="00BC2119">
            <w:pPr>
              <w:pStyle w:val="TableFigText"/>
              <w:jc w:val="right"/>
            </w:pPr>
            <w:r w:rsidRPr="001B1E83">
              <w:t>0</w:t>
            </w:r>
          </w:p>
        </w:tc>
      </w:tr>
      <w:tr w:rsidR="002265C7" w:rsidRPr="001B1E83" w:rsidTr="002265C7">
        <w:tc>
          <w:tcPr>
            <w:tcW w:w="2445" w:type="dxa"/>
          </w:tcPr>
          <w:p w:rsidR="002265C7" w:rsidRPr="00BC2119" w:rsidRDefault="002265C7" w:rsidP="002265C7">
            <w:pPr>
              <w:pStyle w:val="TableFigText"/>
              <w:rPr>
                <w:rFonts w:asciiTheme="minorHAnsi" w:hAnsiTheme="minorHAnsi" w:cstheme="minorHAnsi"/>
                <w:b/>
                <w:szCs w:val="22"/>
              </w:rPr>
            </w:pPr>
            <w:r w:rsidRPr="00BC2119">
              <w:rPr>
                <w:rFonts w:asciiTheme="minorHAnsi" w:hAnsiTheme="minorHAnsi" w:cstheme="minorHAnsi"/>
                <w:b/>
                <w:szCs w:val="22"/>
              </w:rPr>
              <w:t>All mental health service types</w:t>
            </w:r>
            <w:r w:rsidRPr="00BC2119">
              <w:rPr>
                <w:rFonts w:asciiTheme="minorHAnsi" w:hAnsiTheme="minorHAnsi" w:cstheme="minorHAnsi"/>
                <w:b/>
                <w:szCs w:val="22"/>
                <w:vertAlign w:val="superscript"/>
              </w:rPr>
              <w:t>(c)</w:t>
            </w:r>
          </w:p>
        </w:tc>
        <w:tc>
          <w:tcPr>
            <w:tcW w:w="1125" w:type="dxa"/>
            <w:vAlign w:val="bottom"/>
          </w:tcPr>
          <w:p w:rsidR="002265C7" w:rsidRPr="00BC2119" w:rsidRDefault="002265C7" w:rsidP="00BC2119">
            <w:pPr>
              <w:pStyle w:val="TableFigText"/>
              <w:jc w:val="right"/>
              <w:rPr>
                <w:b/>
              </w:rPr>
            </w:pPr>
            <w:r w:rsidRPr="00BC2119">
              <w:rPr>
                <w:b/>
              </w:rPr>
              <w:t>500,196</w:t>
            </w:r>
          </w:p>
        </w:tc>
        <w:tc>
          <w:tcPr>
            <w:tcW w:w="1412" w:type="dxa"/>
            <w:vAlign w:val="bottom"/>
          </w:tcPr>
          <w:p w:rsidR="002265C7" w:rsidRPr="00BC2119" w:rsidRDefault="002265C7" w:rsidP="00BC2119">
            <w:pPr>
              <w:pStyle w:val="TableFigText"/>
              <w:jc w:val="right"/>
              <w:rPr>
                <w:b/>
              </w:rPr>
            </w:pPr>
            <w:r w:rsidRPr="00BC2119">
              <w:rPr>
                <w:b/>
              </w:rPr>
              <w:t>136,184</w:t>
            </w:r>
          </w:p>
        </w:tc>
        <w:tc>
          <w:tcPr>
            <w:tcW w:w="1280" w:type="dxa"/>
            <w:vAlign w:val="bottom"/>
          </w:tcPr>
          <w:p w:rsidR="002265C7" w:rsidRPr="00BC2119" w:rsidRDefault="002265C7" w:rsidP="00BC2119">
            <w:pPr>
              <w:pStyle w:val="TableFigText"/>
              <w:jc w:val="right"/>
              <w:rPr>
                <w:b/>
              </w:rPr>
            </w:pPr>
            <w:r w:rsidRPr="00BC2119">
              <w:rPr>
                <w:b/>
              </w:rPr>
              <w:t>117,789</w:t>
            </w:r>
          </w:p>
        </w:tc>
        <w:tc>
          <w:tcPr>
            <w:tcW w:w="1056" w:type="dxa"/>
            <w:vAlign w:val="bottom"/>
          </w:tcPr>
          <w:p w:rsidR="002265C7" w:rsidRPr="00BC2119" w:rsidRDefault="002265C7" w:rsidP="00BC2119">
            <w:pPr>
              <w:pStyle w:val="TableFigText"/>
              <w:jc w:val="right"/>
              <w:rPr>
                <w:b/>
              </w:rPr>
            </w:pPr>
            <w:r w:rsidRPr="00BC2119">
              <w:rPr>
                <w:b/>
              </w:rPr>
              <w:t>6,882</w:t>
            </w:r>
          </w:p>
        </w:tc>
        <w:tc>
          <w:tcPr>
            <w:tcW w:w="1105" w:type="dxa"/>
            <w:vAlign w:val="bottom"/>
          </w:tcPr>
          <w:p w:rsidR="002265C7" w:rsidRPr="00BC2119" w:rsidRDefault="002265C7" w:rsidP="00BC2119">
            <w:pPr>
              <w:pStyle w:val="TableFigText"/>
              <w:jc w:val="right"/>
              <w:rPr>
                <w:b/>
              </w:rPr>
            </w:pPr>
            <w:r w:rsidRPr="00BC2119">
              <w:rPr>
                <w:b/>
              </w:rPr>
              <w:t>5,263</w:t>
            </w:r>
          </w:p>
        </w:tc>
        <w:tc>
          <w:tcPr>
            <w:tcW w:w="1153" w:type="dxa"/>
            <w:vAlign w:val="bottom"/>
          </w:tcPr>
          <w:p w:rsidR="002265C7" w:rsidRPr="00BC2119" w:rsidRDefault="002265C7" w:rsidP="00BC2119">
            <w:pPr>
              <w:pStyle w:val="TableFigText"/>
              <w:jc w:val="right"/>
              <w:rPr>
                <w:b/>
              </w:rPr>
            </w:pPr>
            <w:r w:rsidRPr="00BC2119">
              <w:rPr>
                <w:b/>
              </w:rPr>
              <w:t>766,314</w:t>
            </w:r>
          </w:p>
        </w:tc>
      </w:tr>
    </w:tbl>
    <w:p w:rsidR="002265C7" w:rsidRPr="006876F2" w:rsidRDefault="002265C7" w:rsidP="00540186">
      <w:pPr>
        <w:pStyle w:val="TableFigNotesnumbered"/>
        <w:numPr>
          <w:ilvl w:val="0"/>
          <w:numId w:val="72"/>
        </w:numPr>
        <w:rPr>
          <w:rStyle w:val="table-note"/>
        </w:rPr>
      </w:pPr>
      <w:r w:rsidRPr="006876F2">
        <w:rPr>
          <w:rStyle w:val="table-note"/>
        </w:rPr>
        <w:t>Expenditure excludes depreciation.</w:t>
      </w:r>
    </w:p>
    <w:p w:rsidR="002265C7" w:rsidRPr="006876F2" w:rsidRDefault="002265C7" w:rsidP="00540186">
      <w:pPr>
        <w:pStyle w:val="TableFigNotesnumbered"/>
        <w:numPr>
          <w:ilvl w:val="0"/>
          <w:numId w:val="72"/>
        </w:numPr>
        <w:rPr>
          <w:rStyle w:val="table-note"/>
        </w:rPr>
      </w:pPr>
      <w:r w:rsidRPr="006876F2">
        <w:rPr>
          <w:rStyle w:val="table-note"/>
        </w:rPr>
        <w:t xml:space="preserve">Expenditure excludes grants to non-government organisations and indirect expenditure at the state/territory, region and organisation levels not apportioned to service units. </w:t>
      </w:r>
    </w:p>
    <w:p w:rsidR="002265C7" w:rsidRPr="006876F2" w:rsidRDefault="002265C7" w:rsidP="00540186">
      <w:pPr>
        <w:pStyle w:val="TableFigNotesnumbered"/>
        <w:numPr>
          <w:ilvl w:val="0"/>
          <w:numId w:val="72"/>
        </w:numPr>
        <w:rPr>
          <w:rStyle w:val="table-note"/>
        </w:rPr>
      </w:pPr>
      <w:r w:rsidRPr="006876F2">
        <w:rPr>
          <w:rStyle w:val="table-note"/>
        </w:rPr>
        <w:t>Totals may not add due to rounding to the nearest $'000.</w:t>
      </w:r>
    </w:p>
    <w:p w:rsidR="002265C7" w:rsidRPr="006876F2" w:rsidRDefault="002265C7" w:rsidP="00540186">
      <w:pPr>
        <w:pStyle w:val="TableFigNotesnumbered"/>
        <w:numPr>
          <w:ilvl w:val="0"/>
          <w:numId w:val="72"/>
        </w:numPr>
        <w:rPr>
          <w:rStyle w:val="table-note"/>
        </w:rPr>
      </w:pPr>
      <w:r w:rsidRPr="006876F2">
        <w:rPr>
          <w:rStyle w:val="table-note"/>
        </w:rPr>
        <w:t>Includes public hospital services managed and operated by private and non-government entities.</w:t>
      </w:r>
    </w:p>
    <w:p w:rsidR="002265C7" w:rsidRPr="006876F2" w:rsidRDefault="002265C7" w:rsidP="00540186">
      <w:pPr>
        <w:pStyle w:val="TableFigNotesnumbered"/>
        <w:numPr>
          <w:ilvl w:val="0"/>
          <w:numId w:val="72"/>
        </w:numPr>
        <w:rPr>
          <w:rStyle w:val="table-note"/>
        </w:rPr>
      </w:pPr>
      <w:r w:rsidRPr="006876F2">
        <w:rPr>
          <w:rStyle w:val="table-note"/>
        </w:rPr>
        <w:t>Public psychiatric hospitals and specialised psychiatric units or wards in public acute hospitals include expenditure on admitted patient services only. Public hospitals outpatient departments are included in community mental health care services.</w:t>
      </w:r>
      <w:r w:rsidRPr="006876F2">
        <w:rPr>
          <w:rStyle w:val="table-note"/>
        </w:rPr>
        <w:tab/>
      </w:r>
      <w:r w:rsidRPr="006876F2">
        <w:rPr>
          <w:rStyle w:val="table-note"/>
        </w:rPr>
        <w:tab/>
      </w:r>
    </w:p>
    <w:p w:rsidR="002265C7" w:rsidRPr="001B1E83" w:rsidRDefault="002265C7" w:rsidP="00540186">
      <w:pPr>
        <w:pStyle w:val="TableFigNotesnumbered"/>
        <w:numPr>
          <w:ilvl w:val="0"/>
          <w:numId w:val="72"/>
        </w:numPr>
        <w:rPr>
          <w:rFonts w:asciiTheme="minorHAnsi" w:hAnsiTheme="minorHAnsi" w:cstheme="minorHAnsi"/>
        </w:rPr>
      </w:pPr>
      <w:r w:rsidRPr="006876F2">
        <w:rPr>
          <w:rStyle w:val="table-note"/>
        </w:rPr>
        <w:t>Queensland does not fund community residential services, however, it funds a number of extended treatment services, both campus and non-campus based, which provide longer term inpatient treatment and rehabilitation services with a full clinical staffing 24 hours a day seven days a week.</w:t>
      </w:r>
      <w:r w:rsidRPr="001B1E83">
        <w:rPr>
          <w:rFonts w:asciiTheme="minorHAnsi" w:hAnsiTheme="minorHAnsi" w:cstheme="minorHAnsi"/>
        </w:rPr>
        <w:tab/>
      </w:r>
    </w:p>
    <w:p w:rsidR="00E53420" w:rsidRPr="001B1E83" w:rsidRDefault="00E53420" w:rsidP="006B2ED0">
      <w:pPr>
        <w:pStyle w:val="TableFigNotesnumbered"/>
        <w:ind w:left="294" w:hanging="294"/>
        <w:rPr>
          <w:rFonts w:asciiTheme="minorHAnsi" w:hAnsiTheme="minorHAnsi" w:cstheme="minorHAnsi"/>
        </w:rPr>
      </w:pPr>
    </w:p>
    <w:p w:rsidR="00E53420" w:rsidRPr="0096114C" w:rsidRDefault="0096114C" w:rsidP="00E53420">
      <w:pPr>
        <w:pStyle w:val="TableCaption"/>
        <w:rPr>
          <w:rStyle w:val="table-note"/>
        </w:rPr>
      </w:pPr>
      <w:r w:rsidRPr="0096114C">
        <w:rPr>
          <w:rStyle w:val="table-note"/>
        </w:rPr>
        <w:t xml:space="preserve">Table 25: </w:t>
      </w:r>
      <w:r w:rsidR="00E53420" w:rsidRPr="0096114C">
        <w:rPr>
          <w:rStyle w:val="table-note"/>
        </w:rPr>
        <w:t xml:space="preserve">QLD: Recurrent </w:t>
      </w:r>
      <w:proofErr w:type="gramStart"/>
      <w:r w:rsidR="00E53420" w:rsidRPr="0096114C">
        <w:rPr>
          <w:rStyle w:val="table-note"/>
        </w:rPr>
        <w:t>expenditure</w:t>
      </w:r>
      <w:r w:rsidR="00E53420" w:rsidRPr="0096114C">
        <w:rPr>
          <w:rStyle w:val="table-note"/>
          <w:vertAlign w:val="superscript"/>
        </w:rPr>
        <w:t>(</w:t>
      </w:r>
      <w:proofErr w:type="gramEnd"/>
      <w:r w:rsidR="00E53420" w:rsidRPr="0096114C">
        <w:rPr>
          <w:rStyle w:val="table-note"/>
          <w:vertAlign w:val="superscript"/>
        </w:rPr>
        <w:t>a)(b)</w:t>
      </w:r>
      <w:r w:rsidR="00E53420" w:rsidRPr="0096114C">
        <w:rPr>
          <w:rStyle w:val="table-note"/>
        </w:rPr>
        <w:t xml:space="preserve"> ($) per capita</w:t>
      </w:r>
      <w:r w:rsidR="00E53420" w:rsidRPr="0096114C">
        <w:rPr>
          <w:rStyle w:val="table-note"/>
          <w:vertAlign w:val="superscript"/>
        </w:rPr>
        <w:t>(c)</w:t>
      </w:r>
      <w:r w:rsidR="00E53420" w:rsidRPr="0096114C">
        <w:rPr>
          <w:rStyle w:val="table-note"/>
        </w:rPr>
        <w:t xml:space="preserve"> on state and territory specialised mental health services, by service type, 2011–12 (current prices)</w:t>
      </w:r>
    </w:p>
    <w:tbl>
      <w:tblPr>
        <w:tblStyle w:val="TableGrid"/>
        <w:tblW w:w="0" w:type="auto"/>
        <w:tblLook w:val="04A0" w:firstRow="1" w:lastRow="0" w:firstColumn="1" w:lastColumn="0" w:noHBand="0" w:noVBand="1"/>
        <w:tblCaption w:val="QLD: Recurrent expenditure(a)(b) ($) per capita(c) on state and territory specialised mental health services, by service type, 2011–12 (current prices)"/>
        <w:tblDescription w:val="Table showing that, in 2011-2012, major cities in QLD had the highest recurrent expenditure per capita overall, for mental health services, at $180.58. This was followed by outer regional areas at $178.47. Community mental health had the highest recurrent expenditure overall, across region types, at $89.68. Queensland does not fund residential mental health services."/>
      </w:tblPr>
      <w:tblGrid>
        <w:gridCol w:w="2381"/>
        <w:gridCol w:w="1047"/>
        <w:gridCol w:w="1380"/>
        <w:gridCol w:w="1251"/>
        <w:gridCol w:w="1047"/>
        <w:gridCol w:w="1094"/>
        <w:gridCol w:w="1086"/>
      </w:tblGrid>
      <w:tr w:rsidR="00E53420" w:rsidRPr="001B1E83" w:rsidTr="000C3DEA">
        <w:trPr>
          <w:tblHeader/>
        </w:trPr>
        <w:tc>
          <w:tcPr>
            <w:tcW w:w="2381" w:type="dxa"/>
          </w:tcPr>
          <w:p w:rsidR="00E53420" w:rsidRPr="001B1E83" w:rsidRDefault="00E53420" w:rsidP="00E53420">
            <w:pPr>
              <w:pStyle w:val="TableFigText"/>
              <w:rPr>
                <w:rFonts w:asciiTheme="minorHAnsi" w:hAnsiTheme="minorHAnsi" w:cstheme="minorHAnsi"/>
                <w:szCs w:val="22"/>
              </w:rPr>
            </w:pPr>
          </w:p>
        </w:tc>
        <w:tc>
          <w:tcPr>
            <w:tcW w:w="1047" w:type="dxa"/>
          </w:tcPr>
          <w:p w:rsidR="00E53420" w:rsidRPr="001B1E83" w:rsidRDefault="00E53420" w:rsidP="00E53420">
            <w:pPr>
              <w:pStyle w:val="TableFigText"/>
              <w:jc w:val="right"/>
              <w:rPr>
                <w:rFonts w:asciiTheme="minorHAnsi" w:hAnsiTheme="minorHAnsi" w:cstheme="minorHAnsi"/>
                <w:b/>
                <w:szCs w:val="22"/>
              </w:rPr>
            </w:pPr>
            <w:r w:rsidRPr="001B1E83">
              <w:rPr>
                <w:rFonts w:asciiTheme="minorHAnsi" w:hAnsiTheme="minorHAnsi" w:cstheme="minorHAnsi"/>
                <w:b/>
                <w:szCs w:val="22"/>
              </w:rPr>
              <w:t>Major cities</w:t>
            </w:r>
          </w:p>
        </w:tc>
        <w:tc>
          <w:tcPr>
            <w:tcW w:w="1380" w:type="dxa"/>
          </w:tcPr>
          <w:p w:rsidR="00E53420" w:rsidRPr="001B1E83" w:rsidRDefault="00E53420" w:rsidP="00E53420">
            <w:pPr>
              <w:pStyle w:val="TableFigText"/>
              <w:jc w:val="right"/>
              <w:rPr>
                <w:rFonts w:asciiTheme="minorHAnsi" w:hAnsiTheme="minorHAnsi" w:cstheme="minorHAnsi"/>
                <w:b/>
                <w:szCs w:val="22"/>
              </w:rPr>
            </w:pPr>
            <w:r w:rsidRPr="001B1E83">
              <w:rPr>
                <w:rFonts w:asciiTheme="minorHAnsi" w:hAnsiTheme="minorHAnsi" w:cstheme="minorHAnsi"/>
                <w:b/>
                <w:szCs w:val="22"/>
              </w:rPr>
              <w:t>Inner regional</w:t>
            </w:r>
          </w:p>
        </w:tc>
        <w:tc>
          <w:tcPr>
            <w:tcW w:w="1251" w:type="dxa"/>
          </w:tcPr>
          <w:p w:rsidR="00E53420" w:rsidRPr="001B1E83" w:rsidRDefault="00E53420" w:rsidP="00E53420">
            <w:pPr>
              <w:pStyle w:val="TableFigText"/>
              <w:jc w:val="right"/>
              <w:rPr>
                <w:rFonts w:asciiTheme="minorHAnsi" w:hAnsiTheme="minorHAnsi" w:cstheme="minorHAnsi"/>
                <w:b/>
                <w:szCs w:val="22"/>
              </w:rPr>
            </w:pPr>
            <w:r w:rsidRPr="001B1E83">
              <w:rPr>
                <w:rFonts w:asciiTheme="minorHAnsi" w:hAnsiTheme="minorHAnsi" w:cstheme="minorHAnsi"/>
                <w:b/>
                <w:szCs w:val="22"/>
              </w:rPr>
              <w:t>Outer regional</w:t>
            </w:r>
          </w:p>
        </w:tc>
        <w:tc>
          <w:tcPr>
            <w:tcW w:w="1047" w:type="dxa"/>
          </w:tcPr>
          <w:p w:rsidR="00E53420" w:rsidRPr="001B1E83" w:rsidRDefault="00E53420" w:rsidP="00E53420">
            <w:pPr>
              <w:pStyle w:val="TableFigText"/>
              <w:jc w:val="right"/>
              <w:rPr>
                <w:rFonts w:asciiTheme="minorHAnsi" w:hAnsiTheme="minorHAnsi" w:cstheme="minorHAnsi"/>
                <w:b/>
                <w:szCs w:val="22"/>
              </w:rPr>
            </w:pPr>
            <w:r w:rsidRPr="001B1E83">
              <w:rPr>
                <w:rFonts w:asciiTheme="minorHAnsi" w:hAnsiTheme="minorHAnsi" w:cstheme="minorHAnsi"/>
                <w:b/>
                <w:szCs w:val="22"/>
              </w:rPr>
              <w:t>Remote</w:t>
            </w:r>
          </w:p>
        </w:tc>
        <w:tc>
          <w:tcPr>
            <w:tcW w:w="1094" w:type="dxa"/>
          </w:tcPr>
          <w:p w:rsidR="00E53420" w:rsidRPr="001B1E83" w:rsidRDefault="00E53420" w:rsidP="00E53420">
            <w:pPr>
              <w:pStyle w:val="TableFigText"/>
              <w:jc w:val="right"/>
              <w:rPr>
                <w:rFonts w:asciiTheme="minorHAnsi" w:hAnsiTheme="minorHAnsi" w:cstheme="minorHAnsi"/>
                <w:b/>
                <w:szCs w:val="22"/>
              </w:rPr>
            </w:pPr>
            <w:r w:rsidRPr="001B1E83">
              <w:rPr>
                <w:rFonts w:asciiTheme="minorHAnsi" w:hAnsiTheme="minorHAnsi" w:cstheme="minorHAnsi"/>
                <w:b/>
                <w:szCs w:val="22"/>
              </w:rPr>
              <w:t>Very remote</w:t>
            </w:r>
          </w:p>
        </w:tc>
        <w:tc>
          <w:tcPr>
            <w:tcW w:w="1086" w:type="dxa"/>
          </w:tcPr>
          <w:p w:rsidR="00E53420" w:rsidRPr="001B1E83" w:rsidRDefault="00E53420" w:rsidP="009A001D">
            <w:pPr>
              <w:pStyle w:val="TableFigText"/>
              <w:jc w:val="right"/>
              <w:rPr>
                <w:rFonts w:asciiTheme="minorHAnsi" w:hAnsiTheme="minorHAnsi" w:cstheme="minorHAnsi"/>
                <w:b/>
                <w:szCs w:val="22"/>
              </w:rPr>
            </w:pPr>
            <w:r w:rsidRPr="001B1E83">
              <w:rPr>
                <w:rFonts w:asciiTheme="minorHAnsi" w:hAnsiTheme="minorHAnsi" w:cstheme="minorHAnsi"/>
                <w:b/>
                <w:szCs w:val="22"/>
              </w:rPr>
              <w:t>Total</w:t>
            </w:r>
          </w:p>
        </w:tc>
      </w:tr>
      <w:tr w:rsidR="009A001D" w:rsidRPr="001B1E83" w:rsidTr="00E53420">
        <w:tc>
          <w:tcPr>
            <w:tcW w:w="2381" w:type="dxa"/>
          </w:tcPr>
          <w:p w:rsidR="009A001D" w:rsidRPr="001B1E83" w:rsidRDefault="009A001D" w:rsidP="00B977D5">
            <w:pPr>
              <w:pStyle w:val="TableFigText"/>
              <w:rPr>
                <w:rFonts w:asciiTheme="minorHAnsi" w:hAnsiTheme="minorHAnsi" w:cstheme="minorHAnsi"/>
                <w:szCs w:val="22"/>
              </w:rPr>
            </w:pPr>
            <w:r w:rsidRPr="001B1E83">
              <w:rPr>
                <w:rFonts w:asciiTheme="minorHAnsi" w:hAnsiTheme="minorHAnsi" w:cstheme="minorHAnsi"/>
                <w:szCs w:val="22"/>
              </w:rPr>
              <w:t>Public hospital services</w:t>
            </w:r>
            <w:r w:rsidRPr="001B1E83">
              <w:rPr>
                <w:rFonts w:asciiTheme="minorHAnsi" w:hAnsiTheme="minorHAnsi" w:cstheme="minorHAnsi"/>
                <w:szCs w:val="22"/>
                <w:vertAlign w:val="superscript"/>
              </w:rPr>
              <w:t>(e)(f)</w:t>
            </w:r>
          </w:p>
        </w:tc>
        <w:tc>
          <w:tcPr>
            <w:tcW w:w="1047" w:type="dxa"/>
            <w:vAlign w:val="bottom"/>
          </w:tcPr>
          <w:p w:rsidR="009A001D" w:rsidRPr="001B1E83" w:rsidRDefault="009A001D" w:rsidP="00BC2119">
            <w:pPr>
              <w:pStyle w:val="TableFigText"/>
              <w:jc w:val="right"/>
            </w:pPr>
            <w:r w:rsidRPr="001B1E83">
              <w:t>88.58</w:t>
            </w:r>
          </w:p>
        </w:tc>
        <w:tc>
          <w:tcPr>
            <w:tcW w:w="1380" w:type="dxa"/>
            <w:vAlign w:val="bottom"/>
          </w:tcPr>
          <w:p w:rsidR="009A001D" w:rsidRPr="001B1E83" w:rsidRDefault="009A001D" w:rsidP="00BC2119">
            <w:pPr>
              <w:pStyle w:val="TableFigText"/>
              <w:jc w:val="right"/>
            </w:pPr>
            <w:r w:rsidRPr="001B1E83">
              <w:t>79.95</w:t>
            </w:r>
          </w:p>
        </w:tc>
        <w:tc>
          <w:tcPr>
            <w:tcW w:w="1251" w:type="dxa"/>
            <w:vAlign w:val="bottom"/>
          </w:tcPr>
          <w:p w:rsidR="009A001D" w:rsidRPr="001B1E83" w:rsidRDefault="009A001D" w:rsidP="00BC2119">
            <w:pPr>
              <w:pStyle w:val="TableFigText"/>
              <w:jc w:val="right"/>
            </w:pPr>
            <w:r w:rsidRPr="001B1E83">
              <w:t>68.91</w:t>
            </w:r>
          </w:p>
        </w:tc>
        <w:tc>
          <w:tcPr>
            <w:tcW w:w="1047" w:type="dxa"/>
            <w:vAlign w:val="bottom"/>
          </w:tcPr>
          <w:p w:rsidR="009A001D" w:rsidRPr="001B1E83" w:rsidRDefault="009A001D" w:rsidP="00BC2119">
            <w:pPr>
              <w:pStyle w:val="TableFigText"/>
              <w:jc w:val="right"/>
            </w:pPr>
            <w:r w:rsidRPr="001B1E83">
              <w:t>12.58</w:t>
            </w:r>
          </w:p>
        </w:tc>
        <w:tc>
          <w:tcPr>
            <w:tcW w:w="1094" w:type="dxa"/>
            <w:vAlign w:val="bottom"/>
          </w:tcPr>
          <w:p w:rsidR="009A001D" w:rsidRPr="001B1E83" w:rsidRDefault="009A001D" w:rsidP="00BC2119">
            <w:pPr>
              <w:pStyle w:val="TableFigText"/>
              <w:jc w:val="right"/>
            </w:pPr>
            <w:r w:rsidRPr="001B1E83">
              <w:t>4.35</w:t>
            </w:r>
          </w:p>
        </w:tc>
        <w:tc>
          <w:tcPr>
            <w:tcW w:w="1086" w:type="dxa"/>
            <w:vAlign w:val="bottom"/>
          </w:tcPr>
          <w:p w:rsidR="009A001D" w:rsidRPr="001B1E83" w:rsidRDefault="009A001D" w:rsidP="00BC2119">
            <w:pPr>
              <w:pStyle w:val="TableFigText"/>
              <w:jc w:val="right"/>
            </w:pPr>
            <w:r w:rsidRPr="001B1E83">
              <w:t>81.50</w:t>
            </w:r>
          </w:p>
        </w:tc>
      </w:tr>
      <w:tr w:rsidR="009A001D" w:rsidRPr="001B1E83" w:rsidTr="00E53420">
        <w:tc>
          <w:tcPr>
            <w:tcW w:w="2381" w:type="dxa"/>
          </w:tcPr>
          <w:p w:rsidR="009A001D" w:rsidRPr="001B1E83" w:rsidRDefault="009A001D" w:rsidP="00B977D5">
            <w:pPr>
              <w:pStyle w:val="TableFigText"/>
              <w:rPr>
                <w:rFonts w:asciiTheme="minorHAnsi" w:hAnsiTheme="minorHAnsi" w:cstheme="minorHAnsi"/>
                <w:szCs w:val="22"/>
              </w:rPr>
            </w:pPr>
            <w:r w:rsidRPr="001B1E83">
              <w:rPr>
                <w:rFonts w:asciiTheme="minorHAnsi" w:hAnsiTheme="minorHAnsi" w:cstheme="minorHAnsi"/>
                <w:szCs w:val="22"/>
              </w:rPr>
              <w:t>Community mental health services</w:t>
            </w:r>
          </w:p>
        </w:tc>
        <w:tc>
          <w:tcPr>
            <w:tcW w:w="1047" w:type="dxa"/>
            <w:vAlign w:val="bottom"/>
          </w:tcPr>
          <w:p w:rsidR="009A001D" w:rsidRPr="001B1E83" w:rsidRDefault="009A001D" w:rsidP="00BC2119">
            <w:pPr>
              <w:pStyle w:val="TableFigText"/>
              <w:jc w:val="right"/>
            </w:pPr>
            <w:r w:rsidRPr="001B1E83">
              <w:t>92.00</w:t>
            </w:r>
          </w:p>
        </w:tc>
        <w:tc>
          <w:tcPr>
            <w:tcW w:w="1380" w:type="dxa"/>
            <w:vAlign w:val="bottom"/>
          </w:tcPr>
          <w:p w:rsidR="009A001D" w:rsidRPr="001B1E83" w:rsidRDefault="009A001D" w:rsidP="00BC2119">
            <w:pPr>
              <w:pStyle w:val="TableFigText"/>
              <w:jc w:val="right"/>
            </w:pPr>
            <w:r w:rsidRPr="001B1E83">
              <w:t>69.64</w:t>
            </w:r>
          </w:p>
        </w:tc>
        <w:tc>
          <w:tcPr>
            <w:tcW w:w="1251" w:type="dxa"/>
            <w:vAlign w:val="bottom"/>
          </w:tcPr>
          <w:p w:rsidR="009A001D" w:rsidRPr="001B1E83" w:rsidRDefault="009A001D" w:rsidP="00BC2119">
            <w:pPr>
              <w:pStyle w:val="TableFigText"/>
              <w:jc w:val="right"/>
            </w:pPr>
            <w:r w:rsidRPr="001B1E83">
              <w:t>109.56</w:t>
            </w:r>
          </w:p>
        </w:tc>
        <w:tc>
          <w:tcPr>
            <w:tcW w:w="1047" w:type="dxa"/>
            <w:vAlign w:val="bottom"/>
          </w:tcPr>
          <w:p w:rsidR="009A001D" w:rsidRPr="001B1E83" w:rsidRDefault="009A001D" w:rsidP="00BC2119">
            <w:pPr>
              <w:pStyle w:val="TableFigText"/>
              <w:jc w:val="right"/>
            </w:pPr>
            <w:r w:rsidRPr="001B1E83">
              <w:t>75.49</w:t>
            </w:r>
          </w:p>
        </w:tc>
        <w:tc>
          <w:tcPr>
            <w:tcW w:w="1094" w:type="dxa"/>
            <w:vAlign w:val="bottom"/>
          </w:tcPr>
          <w:p w:rsidR="009A001D" w:rsidRPr="001B1E83" w:rsidRDefault="009A001D" w:rsidP="00BC2119">
            <w:pPr>
              <w:pStyle w:val="TableFigText"/>
              <w:jc w:val="right"/>
            </w:pPr>
            <w:r w:rsidRPr="001B1E83">
              <w:t>85.82</w:t>
            </w:r>
          </w:p>
        </w:tc>
        <w:tc>
          <w:tcPr>
            <w:tcW w:w="1086" w:type="dxa"/>
            <w:vAlign w:val="bottom"/>
          </w:tcPr>
          <w:p w:rsidR="009A001D" w:rsidRPr="001B1E83" w:rsidRDefault="009A001D" w:rsidP="00BC2119">
            <w:pPr>
              <w:pStyle w:val="TableFigText"/>
              <w:jc w:val="right"/>
            </w:pPr>
            <w:r w:rsidRPr="001B1E83">
              <w:t>89.68</w:t>
            </w:r>
          </w:p>
        </w:tc>
      </w:tr>
      <w:tr w:rsidR="009A001D" w:rsidRPr="001B1E83" w:rsidTr="00E53420">
        <w:tc>
          <w:tcPr>
            <w:tcW w:w="2381" w:type="dxa"/>
          </w:tcPr>
          <w:p w:rsidR="009A001D" w:rsidRPr="001B1E83" w:rsidRDefault="009A001D" w:rsidP="00B977D5">
            <w:pPr>
              <w:pStyle w:val="TableFigText"/>
              <w:rPr>
                <w:rFonts w:asciiTheme="minorHAnsi" w:hAnsiTheme="minorHAnsi" w:cstheme="minorHAnsi"/>
                <w:szCs w:val="22"/>
              </w:rPr>
            </w:pPr>
            <w:r w:rsidRPr="001B1E83">
              <w:rPr>
                <w:rFonts w:asciiTheme="minorHAnsi" w:hAnsiTheme="minorHAnsi" w:cstheme="minorHAnsi"/>
                <w:szCs w:val="22"/>
              </w:rPr>
              <w:t>Residential mental health services</w:t>
            </w:r>
            <w:r w:rsidRPr="001B1E83">
              <w:rPr>
                <w:rFonts w:asciiTheme="minorHAnsi" w:hAnsiTheme="minorHAnsi" w:cstheme="minorHAnsi"/>
                <w:szCs w:val="22"/>
                <w:vertAlign w:val="superscript"/>
              </w:rPr>
              <w:t>(g)</w:t>
            </w:r>
          </w:p>
        </w:tc>
        <w:tc>
          <w:tcPr>
            <w:tcW w:w="1047" w:type="dxa"/>
            <w:vAlign w:val="bottom"/>
          </w:tcPr>
          <w:p w:rsidR="009A001D" w:rsidRPr="001B1E83" w:rsidRDefault="009A001D" w:rsidP="00BC2119">
            <w:pPr>
              <w:pStyle w:val="TableFigText"/>
              <w:jc w:val="right"/>
            </w:pPr>
            <w:r w:rsidRPr="001B1E83">
              <w:t>0</w:t>
            </w:r>
          </w:p>
        </w:tc>
        <w:tc>
          <w:tcPr>
            <w:tcW w:w="1380" w:type="dxa"/>
            <w:vAlign w:val="bottom"/>
          </w:tcPr>
          <w:p w:rsidR="009A001D" w:rsidRPr="001B1E83" w:rsidRDefault="009A001D" w:rsidP="00BC2119">
            <w:pPr>
              <w:pStyle w:val="TableFigText"/>
              <w:jc w:val="right"/>
            </w:pPr>
            <w:r w:rsidRPr="001B1E83">
              <w:t>0</w:t>
            </w:r>
          </w:p>
        </w:tc>
        <w:tc>
          <w:tcPr>
            <w:tcW w:w="1251" w:type="dxa"/>
            <w:vAlign w:val="bottom"/>
          </w:tcPr>
          <w:p w:rsidR="009A001D" w:rsidRPr="001B1E83" w:rsidRDefault="009A001D" w:rsidP="00BC2119">
            <w:pPr>
              <w:pStyle w:val="TableFigText"/>
              <w:jc w:val="right"/>
            </w:pPr>
            <w:r w:rsidRPr="001B1E83">
              <w:t>0</w:t>
            </w:r>
          </w:p>
        </w:tc>
        <w:tc>
          <w:tcPr>
            <w:tcW w:w="1047" w:type="dxa"/>
            <w:vAlign w:val="bottom"/>
          </w:tcPr>
          <w:p w:rsidR="009A001D" w:rsidRPr="001B1E83" w:rsidRDefault="009A001D" w:rsidP="00BC2119">
            <w:pPr>
              <w:pStyle w:val="TableFigText"/>
              <w:jc w:val="right"/>
            </w:pPr>
            <w:r w:rsidRPr="001B1E83">
              <w:t>0</w:t>
            </w:r>
          </w:p>
        </w:tc>
        <w:tc>
          <w:tcPr>
            <w:tcW w:w="1094" w:type="dxa"/>
            <w:vAlign w:val="bottom"/>
          </w:tcPr>
          <w:p w:rsidR="009A001D" w:rsidRPr="001B1E83" w:rsidRDefault="009A001D" w:rsidP="00BC2119">
            <w:pPr>
              <w:pStyle w:val="TableFigText"/>
              <w:jc w:val="right"/>
            </w:pPr>
            <w:r w:rsidRPr="001B1E83">
              <w:t>0</w:t>
            </w:r>
          </w:p>
        </w:tc>
        <w:tc>
          <w:tcPr>
            <w:tcW w:w="1086" w:type="dxa"/>
            <w:vAlign w:val="bottom"/>
          </w:tcPr>
          <w:p w:rsidR="009A001D" w:rsidRPr="001B1E83" w:rsidRDefault="009A001D" w:rsidP="00BC2119">
            <w:pPr>
              <w:pStyle w:val="TableFigText"/>
              <w:jc w:val="right"/>
            </w:pPr>
            <w:r w:rsidRPr="001B1E83">
              <w:t>0</w:t>
            </w:r>
          </w:p>
        </w:tc>
      </w:tr>
      <w:tr w:rsidR="009A001D" w:rsidRPr="001B1E83" w:rsidTr="00E53420">
        <w:tc>
          <w:tcPr>
            <w:tcW w:w="2381" w:type="dxa"/>
          </w:tcPr>
          <w:p w:rsidR="009A001D" w:rsidRPr="00BC2119" w:rsidRDefault="009A001D" w:rsidP="00B977D5">
            <w:pPr>
              <w:pStyle w:val="TableFigText"/>
              <w:rPr>
                <w:rFonts w:asciiTheme="minorHAnsi" w:hAnsiTheme="minorHAnsi" w:cstheme="minorHAnsi"/>
                <w:b/>
                <w:szCs w:val="22"/>
              </w:rPr>
            </w:pPr>
            <w:r w:rsidRPr="00BC2119">
              <w:rPr>
                <w:rFonts w:asciiTheme="minorHAnsi" w:hAnsiTheme="minorHAnsi" w:cstheme="minorHAnsi"/>
                <w:b/>
                <w:szCs w:val="22"/>
              </w:rPr>
              <w:t>All mental health service types</w:t>
            </w:r>
            <w:r w:rsidRPr="00BC2119">
              <w:rPr>
                <w:rFonts w:asciiTheme="minorHAnsi" w:hAnsiTheme="minorHAnsi" w:cstheme="minorHAnsi"/>
                <w:b/>
                <w:szCs w:val="22"/>
                <w:vertAlign w:val="superscript"/>
              </w:rPr>
              <w:t>(h)</w:t>
            </w:r>
          </w:p>
        </w:tc>
        <w:tc>
          <w:tcPr>
            <w:tcW w:w="1047" w:type="dxa"/>
            <w:vAlign w:val="bottom"/>
          </w:tcPr>
          <w:p w:rsidR="009A001D" w:rsidRPr="00BC2119" w:rsidRDefault="009A001D" w:rsidP="00BC2119">
            <w:pPr>
              <w:pStyle w:val="TableFigText"/>
              <w:jc w:val="right"/>
              <w:rPr>
                <w:b/>
              </w:rPr>
            </w:pPr>
            <w:r w:rsidRPr="00BC2119">
              <w:rPr>
                <w:b/>
              </w:rPr>
              <w:t>180.58</w:t>
            </w:r>
          </w:p>
        </w:tc>
        <w:tc>
          <w:tcPr>
            <w:tcW w:w="1380" w:type="dxa"/>
            <w:vAlign w:val="bottom"/>
          </w:tcPr>
          <w:p w:rsidR="009A001D" w:rsidRPr="00BC2119" w:rsidRDefault="009A001D" w:rsidP="00BC2119">
            <w:pPr>
              <w:pStyle w:val="TableFigText"/>
              <w:jc w:val="right"/>
              <w:rPr>
                <w:b/>
              </w:rPr>
            </w:pPr>
            <w:r w:rsidRPr="00BC2119">
              <w:rPr>
                <w:b/>
              </w:rPr>
              <w:t>149.60</w:t>
            </w:r>
          </w:p>
        </w:tc>
        <w:tc>
          <w:tcPr>
            <w:tcW w:w="1251" w:type="dxa"/>
            <w:vAlign w:val="bottom"/>
          </w:tcPr>
          <w:p w:rsidR="009A001D" w:rsidRPr="00BC2119" w:rsidRDefault="009A001D" w:rsidP="00BC2119">
            <w:pPr>
              <w:pStyle w:val="TableFigText"/>
              <w:jc w:val="right"/>
              <w:rPr>
                <w:b/>
              </w:rPr>
            </w:pPr>
            <w:r w:rsidRPr="00BC2119">
              <w:rPr>
                <w:b/>
              </w:rPr>
              <w:t>178.47</w:t>
            </w:r>
          </w:p>
        </w:tc>
        <w:tc>
          <w:tcPr>
            <w:tcW w:w="1047" w:type="dxa"/>
            <w:vAlign w:val="bottom"/>
          </w:tcPr>
          <w:p w:rsidR="009A001D" w:rsidRPr="00BC2119" w:rsidRDefault="009A001D" w:rsidP="00BC2119">
            <w:pPr>
              <w:pStyle w:val="TableFigText"/>
              <w:jc w:val="right"/>
              <w:rPr>
                <w:b/>
              </w:rPr>
            </w:pPr>
            <w:r w:rsidRPr="00BC2119">
              <w:rPr>
                <w:b/>
              </w:rPr>
              <w:t>88.07</w:t>
            </w:r>
          </w:p>
        </w:tc>
        <w:tc>
          <w:tcPr>
            <w:tcW w:w="1094" w:type="dxa"/>
            <w:vAlign w:val="bottom"/>
          </w:tcPr>
          <w:p w:rsidR="009A001D" w:rsidRPr="00BC2119" w:rsidRDefault="009A001D" w:rsidP="00BC2119">
            <w:pPr>
              <w:pStyle w:val="TableFigText"/>
              <w:jc w:val="right"/>
              <w:rPr>
                <w:b/>
              </w:rPr>
            </w:pPr>
            <w:r w:rsidRPr="00BC2119">
              <w:rPr>
                <w:b/>
              </w:rPr>
              <w:t>90.17</w:t>
            </w:r>
          </w:p>
        </w:tc>
        <w:tc>
          <w:tcPr>
            <w:tcW w:w="1086" w:type="dxa"/>
            <w:vAlign w:val="bottom"/>
          </w:tcPr>
          <w:p w:rsidR="009A001D" w:rsidRPr="00BC2119" w:rsidRDefault="009A001D" w:rsidP="00BC2119">
            <w:pPr>
              <w:pStyle w:val="TableFigText"/>
              <w:jc w:val="right"/>
              <w:rPr>
                <w:b/>
              </w:rPr>
            </w:pPr>
            <w:r w:rsidRPr="00BC2119">
              <w:rPr>
                <w:b/>
              </w:rPr>
              <w:t>171.18</w:t>
            </w:r>
          </w:p>
        </w:tc>
      </w:tr>
    </w:tbl>
    <w:p w:rsidR="009A001D" w:rsidRPr="006876F2" w:rsidRDefault="009A001D" w:rsidP="00540186">
      <w:pPr>
        <w:pStyle w:val="TableFigNotesnumbered"/>
        <w:numPr>
          <w:ilvl w:val="0"/>
          <w:numId w:val="38"/>
        </w:numPr>
        <w:rPr>
          <w:rStyle w:val="table-note"/>
        </w:rPr>
      </w:pPr>
      <w:r w:rsidRPr="006876F2">
        <w:rPr>
          <w:rStyle w:val="table-note"/>
        </w:rPr>
        <w:t>Expenditure excludes depreciation.</w:t>
      </w:r>
    </w:p>
    <w:p w:rsidR="009A001D" w:rsidRPr="006876F2" w:rsidRDefault="009A001D" w:rsidP="00540186">
      <w:pPr>
        <w:pStyle w:val="TableFigNotesnumbered"/>
        <w:numPr>
          <w:ilvl w:val="0"/>
          <w:numId w:val="38"/>
        </w:numPr>
        <w:rPr>
          <w:rStyle w:val="table-note"/>
        </w:rPr>
      </w:pPr>
      <w:r w:rsidRPr="006876F2">
        <w:rPr>
          <w:rStyle w:val="table-note"/>
        </w:rPr>
        <w:t xml:space="preserve">Expenditure excludes grants to non-government organisations and indirect expenditure at the state/territory, region and organisation levels not apportioned to service units. </w:t>
      </w:r>
    </w:p>
    <w:p w:rsidR="009A001D" w:rsidRPr="006876F2" w:rsidRDefault="009A001D" w:rsidP="00540186">
      <w:pPr>
        <w:pStyle w:val="TableFigNotesnumbered"/>
        <w:numPr>
          <w:ilvl w:val="0"/>
          <w:numId w:val="38"/>
        </w:numPr>
        <w:rPr>
          <w:rStyle w:val="table-note"/>
        </w:rPr>
      </w:pPr>
      <w:r w:rsidRPr="006876F2">
        <w:rPr>
          <w:rStyle w:val="table-note"/>
        </w:rPr>
        <w:t>Crude rate is based on the state and territory estimated resident population by remoteness area as at 30 June 2007.</w:t>
      </w:r>
    </w:p>
    <w:p w:rsidR="009A001D" w:rsidRPr="006876F2" w:rsidRDefault="009A001D" w:rsidP="00540186">
      <w:pPr>
        <w:pStyle w:val="TableFigNotesnumbered"/>
        <w:numPr>
          <w:ilvl w:val="0"/>
          <w:numId w:val="38"/>
        </w:numPr>
        <w:rPr>
          <w:rStyle w:val="table-note"/>
        </w:rPr>
      </w:pPr>
      <w:r w:rsidRPr="006876F2">
        <w:rPr>
          <w:rStyle w:val="table-note"/>
        </w:rPr>
        <w:t>Constant prices are referenced to 2011–12 and are adjusted for inflation.</w:t>
      </w:r>
    </w:p>
    <w:p w:rsidR="009A001D" w:rsidRPr="006876F2" w:rsidRDefault="009A001D" w:rsidP="00540186">
      <w:pPr>
        <w:pStyle w:val="TableFigNotesnumbered"/>
        <w:numPr>
          <w:ilvl w:val="0"/>
          <w:numId w:val="38"/>
        </w:numPr>
        <w:rPr>
          <w:rStyle w:val="table-note"/>
        </w:rPr>
      </w:pPr>
      <w:r w:rsidRPr="006876F2">
        <w:rPr>
          <w:rStyle w:val="table-note"/>
        </w:rPr>
        <w:t>Includes public hospital services managed and operated by private and non-government entities.</w:t>
      </w:r>
    </w:p>
    <w:p w:rsidR="009A001D" w:rsidRPr="006876F2" w:rsidRDefault="009A001D" w:rsidP="00540186">
      <w:pPr>
        <w:pStyle w:val="TableFigNotesnumbered"/>
        <w:numPr>
          <w:ilvl w:val="0"/>
          <w:numId w:val="38"/>
        </w:numPr>
        <w:rPr>
          <w:rStyle w:val="table-note"/>
        </w:rPr>
      </w:pPr>
      <w:r w:rsidRPr="006876F2">
        <w:rPr>
          <w:rStyle w:val="table-note"/>
        </w:rPr>
        <w:t>Public psychiatric hospitals and specialised psychiatric units or wards in public acute hospitals include expenditure on admitted patient services only. Public hospitals outpatient departments are included in community mental health care services.</w:t>
      </w:r>
      <w:r w:rsidRPr="006876F2">
        <w:rPr>
          <w:rStyle w:val="table-note"/>
        </w:rPr>
        <w:tab/>
      </w:r>
      <w:r w:rsidRPr="006876F2">
        <w:rPr>
          <w:rStyle w:val="table-note"/>
        </w:rPr>
        <w:tab/>
      </w:r>
    </w:p>
    <w:p w:rsidR="009A001D" w:rsidRPr="006876F2" w:rsidRDefault="009A001D" w:rsidP="00540186">
      <w:pPr>
        <w:pStyle w:val="TableFigNotesnumbered"/>
        <w:numPr>
          <w:ilvl w:val="0"/>
          <w:numId w:val="38"/>
        </w:numPr>
        <w:rPr>
          <w:rStyle w:val="table-note"/>
        </w:rPr>
      </w:pPr>
      <w:r w:rsidRPr="006876F2">
        <w:rPr>
          <w:rStyle w:val="table-note"/>
        </w:rPr>
        <w:t>Residential mental health services include the total operating costs for partially or wholly government funded non-government-operated residential mental health services.</w:t>
      </w:r>
    </w:p>
    <w:p w:rsidR="009A001D" w:rsidRPr="006876F2" w:rsidRDefault="009A001D" w:rsidP="00540186">
      <w:pPr>
        <w:pStyle w:val="TableFigNotesnumbered"/>
        <w:numPr>
          <w:ilvl w:val="0"/>
          <w:numId w:val="38"/>
        </w:numPr>
        <w:rPr>
          <w:rStyle w:val="table-note"/>
        </w:rPr>
      </w:pPr>
      <w:r w:rsidRPr="006876F2">
        <w:rPr>
          <w:rStyle w:val="table-note"/>
        </w:rPr>
        <w:t>Totals may not add due to rounding.</w:t>
      </w:r>
    </w:p>
    <w:p w:rsidR="00E53420" w:rsidRPr="001B1E83" w:rsidRDefault="00E53420" w:rsidP="006B2ED0">
      <w:pPr>
        <w:pStyle w:val="TableFigNotesnumbered"/>
        <w:ind w:left="294" w:hanging="294"/>
        <w:rPr>
          <w:rFonts w:asciiTheme="minorHAnsi" w:hAnsiTheme="minorHAnsi" w:cstheme="minorHAnsi"/>
        </w:rPr>
      </w:pPr>
    </w:p>
    <w:p w:rsidR="00E53420" w:rsidRDefault="00E53420">
      <w:pPr>
        <w:spacing w:before="0" w:after="0" w:line="240" w:lineRule="auto"/>
        <w:rPr>
          <w:rFonts w:asciiTheme="minorHAnsi" w:hAnsiTheme="minorHAnsi" w:cstheme="minorHAnsi"/>
          <w:sz w:val="14"/>
          <w:szCs w:val="20"/>
          <w:lang w:eastAsia="en-US"/>
        </w:rPr>
      </w:pPr>
      <w:r>
        <w:rPr>
          <w:rFonts w:asciiTheme="minorHAnsi" w:hAnsiTheme="minorHAnsi" w:cstheme="minorHAnsi"/>
        </w:rPr>
        <w:br w:type="page"/>
      </w:r>
    </w:p>
    <w:p w:rsidR="002265C7" w:rsidRPr="0096114C" w:rsidRDefault="0096114C" w:rsidP="002265C7">
      <w:pPr>
        <w:pStyle w:val="TableCaption"/>
        <w:rPr>
          <w:rStyle w:val="table-note"/>
        </w:rPr>
      </w:pPr>
      <w:r w:rsidRPr="0096114C">
        <w:rPr>
          <w:rStyle w:val="table-note"/>
        </w:rPr>
        <w:lastRenderedPageBreak/>
        <w:t xml:space="preserve">Table 26: </w:t>
      </w:r>
      <w:r w:rsidR="002265C7" w:rsidRPr="0096114C">
        <w:rPr>
          <w:rStyle w:val="table-note"/>
        </w:rPr>
        <w:t>QLD: Number of specialised mental health beds, by service type, 2007–08</w:t>
      </w:r>
    </w:p>
    <w:tbl>
      <w:tblPr>
        <w:tblStyle w:val="TableGrid"/>
        <w:tblW w:w="0" w:type="auto"/>
        <w:tblLook w:val="04A0" w:firstRow="1" w:lastRow="0" w:firstColumn="1" w:lastColumn="0" w:noHBand="0" w:noVBand="1"/>
        <w:tblCaption w:val="QLD: Number of specialised mental health beds, by service type, 2007–08"/>
        <w:tblDescription w:val="Table showing that, in 2007-08, major cities in QLD had the highest number of all types of specialised mental health beds at 958. The number of beds decreases as the region type becomes more remote, with only 2 beds in very remote areas overall, across all specialised mental health care types. "/>
      </w:tblPr>
      <w:tblGrid>
        <w:gridCol w:w="2402"/>
        <w:gridCol w:w="1058"/>
        <w:gridCol w:w="1397"/>
        <w:gridCol w:w="1266"/>
        <w:gridCol w:w="1056"/>
        <w:gridCol w:w="1104"/>
        <w:gridCol w:w="1003"/>
      </w:tblGrid>
      <w:tr w:rsidR="002265C7" w:rsidRPr="00B476FB" w:rsidTr="000C3DEA">
        <w:trPr>
          <w:tblHeader/>
        </w:trPr>
        <w:tc>
          <w:tcPr>
            <w:tcW w:w="2504" w:type="dxa"/>
          </w:tcPr>
          <w:p w:rsidR="002265C7" w:rsidRPr="00B476FB" w:rsidRDefault="002265C7" w:rsidP="002265C7">
            <w:pPr>
              <w:pStyle w:val="TableFigText"/>
              <w:rPr>
                <w:rFonts w:asciiTheme="minorHAnsi" w:hAnsiTheme="minorHAnsi" w:cstheme="minorHAnsi"/>
                <w:szCs w:val="22"/>
              </w:rPr>
            </w:pPr>
          </w:p>
        </w:tc>
        <w:tc>
          <w:tcPr>
            <w:tcW w:w="1089" w:type="dxa"/>
          </w:tcPr>
          <w:p w:rsidR="002265C7" w:rsidRPr="00B476FB" w:rsidRDefault="002265C7" w:rsidP="002265C7">
            <w:pPr>
              <w:pStyle w:val="TableFigText"/>
              <w:jc w:val="right"/>
              <w:rPr>
                <w:rFonts w:asciiTheme="minorHAnsi" w:hAnsiTheme="minorHAnsi" w:cstheme="minorHAnsi"/>
                <w:b/>
                <w:szCs w:val="22"/>
              </w:rPr>
            </w:pPr>
            <w:r w:rsidRPr="00B476FB">
              <w:rPr>
                <w:rFonts w:asciiTheme="minorHAnsi" w:hAnsiTheme="minorHAnsi" w:cstheme="minorHAnsi"/>
                <w:b/>
                <w:szCs w:val="22"/>
              </w:rPr>
              <w:t>Major cities</w:t>
            </w:r>
          </w:p>
        </w:tc>
        <w:tc>
          <w:tcPr>
            <w:tcW w:w="1442" w:type="dxa"/>
          </w:tcPr>
          <w:p w:rsidR="002265C7" w:rsidRPr="00B476FB" w:rsidRDefault="002265C7" w:rsidP="002265C7">
            <w:pPr>
              <w:pStyle w:val="TableFigText"/>
              <w:jc w:val="right"/>
              <w:rPr>
                <w:rFonts w:asciiTheme="minorHAnsi" w:hAnsiTheme="minorHAnsi" w:cstheme="minorHAnsi"/>
                <w:b/>
                <w:szCs w:val="22"/>
              </w:rPr>
            </w:pPr>
            <w:r w:rsidRPr="00B476FB">
              <w:rPr>
                <w:rFonts w:asciiTheme="minorHAnsi" w:hAnsiTheme="minorHAnsi" w:cstheme="minorHAnsi"/>
                <w:b/>
                <w:szCs w:val="22"/>
              </w:rPr>
              <w:t>Inner regional</w:t>
            </w:r>
          </w:p>
        </w:tc>
        <w:tc>
          <w:tcPr>
            <w:tcW w:w="1301" w:type="dxa"/>
          </w:tcPr>
          <w:p w:rsidR="002265C7" w:rsidRPr="00B476FB" w:rsidRDefault="002265C7" w:rsidP="002265C7">
            <w:pPr>
              <w:pStyle w:val="TableFigText"/>
              <w:jc w:val="right"/>
              <w:rPr>
                <w:rFonts w:asciiTheme="minorHAnsi" w:hAnsiTheme="minorHAnsi" w:cstheme="minorHAnsi"/>
                <w:b/>
                <w:szCs w:val="22"/>
              </w:rPr>
            </w:pPr>
            <w:r w:rsidRPr="00B476FB">
              <w:rPr>
                <w:rFonts w:asciiTheme="minorHAnsi" w:hAnsiTheme="minorHAnsi" w:cstheme="minorHAnsi"/>
                <w:b/>
                <w:szCs w:val="22"/>
              </w:rPr>
              <w:t>Outer regional</w:t>
            </w:r>
          </w:p>
        </w:tc>
        <w:tc>
          <w:tcPr>
            <w:tcW w:w="1078" w:type="dxa"/>
          </w:tcPr>
          <w:p w:rsidR="002265C7" w:rsidRPr="00B476FB" w:rsidRDefault="002265C7" w:rsidP="002265C7">
            <w:pPr>
              <w:pStyle w:val="TableFigText"/>
              <w:jc w:val="right"/>
              <w:rPr>
                <w:rFonts w:asciiTheme="minorHAnsi" w:hAnsiTheme="minorHAnsi" w:cstheme="minorHAnsi"/>
                <w:b/>
                <w:szCs w:val="22"/>
              </w:rPr>
            </w:pPr>
            <w:r w:rsidRPr="00B476FB">
              <w:rPr>
                <w:rFonts w:asciiTheme="minorHAnsi" w:hAnsiTheme="minorHAnsi" w:cstheme="minorHAnsi"/>
                <w:b/>
                <w:szCs w:val="22"/>
              </w:rPr>
              <w:t>Remote</w:t>
            </w:r>
          </w:p>
        </w:tc>
        <w:tc>
          <w:tcPr>
            <w:tcW w:w="1132" w:type="dxa"/>
          </w:tcPr>
          <w:p w:rsidR="002265C7" w:rsidRPr="00B476FB" w:rsidRDefault="002265C7" w:rsidP="002265C7">
            <w:pPr>
              <w:pStyle w:val="TableFigText"/>
              <w:jc w:val="right"/>
              <w:rPr>
                <w:rFonts w:asciiTheme="minorHAnsi" w:hAnsiTheme="minorHAnsi" w:cstheme="minorHAnsi"/>
                <w:b/>
                <w:szCs w:val="22"/>
              </w:rPr>
            </w:pPr>
            <w:r w:rsidRPr="00B476FB">
              <w:rPr>
                <w:rFonts w:asciiTheme="minorHAnsi" w:hAnsiTheme="minorHAnsi" w:cstheme="minorHAnsi"/>
                <w:b/>
                <w:szCs w:val="22"/>
              </w:rPr>
              <w:t>Very remote</w:t>
            </w:r>
          </w:p>
        </w:tc>
        <w:tc>
          <w:tcPr>
            <w:tcW w:w="1030" w:type="dxa"/>
          </w:tcPr>
          <w:p w:rsidR="002265C7" w:rsidRPr="00B476FB" w:rsidRDefault="002265C7" w:rsidP="002265C7">
            <w:pPr>
              <w:pStyle w:val="TableFigText"/>
              <w:jc w:val="right"/>
              <w:rPr>
                <w:rFonts w:asciiTheme="minorHAnsi" w:hAnsiTheme="minorHAnsi" w:cstheme="minorHAnsi"/>
                <w:b/>
                <w:szCs w:val="22"/>
              </w:rPr>
            </w:pPr>
            <w:r w:rsidRPr="00B476FB">
              <w:rPr>
                <w:rFonts w:asciiTheme="minorHAnsi" w:hAnsiTheme="minorHAnsi" w:cstheme="minorHAnsi"/>
                <w:b/>
                <w:szCs w:val="22"/>
              </w:rPr>
              <w:t>Total</w:t>
            </w:r>
          </w:p>
        </w:tc>
      </w:tr>
      <w:tr w:rsidR="002265C7" w:rsidRPr="00B476FB" w:rsidTr="002265C7">
        <w:tc>
          <w:tcPr>
            <w:tcW w:w="2504" w:type="dxa"/>
          </w:tcPr>
          <w:p w:rsidR="002265C7" w:rsidRPr="00B476FB" w:rsidRDefault="002265C7" w:rsidP="002265C7">
            <w:pPr>
              <w:pStyle w:val="TableFigText"/>
              <w:keepLines w:val="0"/>
              <w:rPr>
                <w:rFonts w:asciiTheme="minorHAnsi" w:hAnsiTheme="minorHAnsi" w:cstheme="minorHAnsi"/>
                <w:szCs w:val="22"/>
              </w:rPr>
            </w:pPr>
            <w:r w:rsidRPr="00B476FB">
              <w:rPr>
                <w:rFonts w:asciiTheme="minorHAnsi" w:hAnsiTheme="minorHAnsi" w:cstheme="minorHAnsi"/>
                <w:szCs w:val="22"/>
              </w:rPr>
              <w:t>Specialised psychiatric units or wards in public acute hospitals</w:t>
            </w:r>
          </w:p>
        </w:tc>
        <w:tc>
          <w:tcPr>
            <w:tcW w:w="1089" w:type="dxa"/>
            <w:vAlign w:val="bottom"/>
          </w:tcPr>
          <w:p w:rsidR="002265C7" w:rsidRPr="00A454F4" w:rsidRDefault="002265C7" w:rsidP="00BC2119">
            <w:pPr>
              <w:pStyle w:val="TableFigText"/>
              <w:jc w:val="right"/>
            </w:pPr>
            <w:r w:rsidRPr="00A454F4">
              <w:t>766</w:t>
            </w:r>
          </w:p>
        </w:tc>
        <w:tc>
          <w:tcPr>
            <w:tcW w:w="1442" w:type="dxa"/>
            <w:vAlign w:val="bottom"/>
          </w:tcPr>
          <w:p w:rsidR="002265C7" w:rsidRPr="00A454F4" w:rsidRDefault="002265C7" w:rsidP="00BC2119">
            <w:pPr>
              <w:pStyle w:val="TableFigText"/>
              <w:jc w:val="right"/>
            </w:pPr>
            <w:r w:rsidRPr="00A454F4">
              <w:t>128</w:t>
            </w:r>
          </w:p>
        </w:tc>
        <w:tc>
          <w:tcPr>
            <w:tcW w:w="1301" w:type="dxa"/>
            <w:vAlign w:val="bottom"/>
          </w:tcPr>
          <w:p w:rsidR="002265C7" w:rsidRPr="00A454F4" w:rsidRDefault="002265C7" w:rsidP="00BC2119">
            <w:pPr>
              <w:pStyle w:val="TableFigText"/>
              <w:jc w:val="right"/>
            </w:pPr>
            <w:r w:rsidRPr="00A454F4">
              <w:t>126</w:t>
            </w:r>
          </w:p>
        </w:tc>
        <w:tc>
          <w:tcPr>
            <w:tcW w:w="1078" w:type="dxa"/>
            <w:vAlign w:val="bottom"/>
          </w:tcPr>
          <w:p w:rsidR="002265C7" w:rsidRPr="00A454F4" w:rsidRDefault="002265C7" w:rsidP="00BC2119">
            <w:pPr>
              <w:pStyle w:val="TableFigText"/>
              <w:jc w:val="right"/>
            </w:pPr>
            <w:r w:rsidRPr="00A454F4">
              <w:t>11</w:t>
            </w:r>
          </w:p>
        </w:tc>
        <w:tc>
          <w:tcPr>
            <w:tcW w:w="1132" w:type="dxa"/>
            <w:vAlign w:val="bottom"/>
          </w:tcPr>
          <w:p w:rsidR="002265C7" w:rsidRPr="00A454F4" w:rsidRDefault="002265C7" w:rsidP="00BC2119">
            <w:pPr>
              <w:pStyle w:val="TableFigText"/>
              <w:jc w:val="right"/>
            </w:pPr>
            <w:r w:rsidRPr="00A454F4">
              <w:t>2</w:t>
            </w:r>
          </w:p>
        </w:tc>
        <w:tc>
          <w:tcPr>
            <w:tcW w:w="1030" w:type="dxa"/>
            <w:vAlign w:val="bottom"/>
          </w:tcPr>
          <w:p w:rsidR="002265C7" w:rsidRPr="00A454F4" w:rsidRDefault="002265C7" w:rsidP="00BC2119">
            <w:pPr>
              <w:pStyle w:val="TableFigText"/>
              <w:jc w:val="right"/>
            </w:pPr>
            <w:r w:rsidRPr="00A454F4">
              <w:t>1,033</w:t>
            </w:r>
          </w:p>
        </w:tc>
      </w:tr>
      <w:tr w:rsidR="002265C7" w:rsidRPr="00B476FB" w:rsidTr="002265C7">
        <w:tc>
          <w:tcPr>
            <w:tcW w:w="2504" w:type="dxa"/>
          </w:tcPr>
          <w:p w:rsidR="002265C7" w:rsidRPr="00B476FB" w:rsidRDefault="002265C7" w:rsidP="002265C7">
            <w:pPr>
              <w:pStyle w:val="TableFigText"/>
              <w:keepLines w:val="0"/>
              <w:rPr>
                <w:rFonts w:asciiTheme="minorHAnsi" w:hAnsiTheme="minorHAnsi" w:cstheme="minorHAnsi"/>
                <w:szCs w:val="22"/>
              </w:rPr>
            </w:pPr>
            <w:r w:rsidRPr="00B476FB">
              <w:rPr>
                <w:rFonts w:asciiTheme="minorHAnsi" w:hAnsiTheme="minorHAnsi" w:cstheme="minorHAnsi"/>
                <w:szCs w:val="22"/>
              </w:rPr>
              <w:t>Public psychiatric hospital services</w:t>
            </w:r>
          </w:p>
        </w:tc>
        <w:tc>
          <w:tcPr>
            <w:tcW w:w="1089" w:type="dxa"/>
            <w:vAlign w:val="bottom"/>
          </w:tcPr>
          <w:p w:rsidR="002265C7" w:rsidRPr="00A454F4" w:rsidRDefault="002265C7" w:rsidP="00BC2119">
            <w:pPr>
              <w:pStyle w:val="TableFigText"/>
              <w:jc w:val="right"/>
            </w:pPr>
            <w:r w:rsidRPr="00A454F4">
              <w:t>192</w:t>
            </w:r>
          </w:p>
        </w:tc>
        <w:tc>
          <w:tcPr>
            <w:tcW w:w="1442" w:type="dxa"/>
            <w:vAlign w:val="bottom"/>
          </w:tcPr>
          <w:p w:rsidR="002265C7" w:rsidRPr="00A454F4" w:rsidRDefault="002265C7" w:rsidP="00BC2119">
            <w:pPr>
              <w:pStyle w:val="TableFigText"/>
              <w:jc w:val="right"/>
            </w:pPr>
            <w:r w:rsidRPr="00A454F4">
              <w:t>157</w:t>
            </w:r>
          </w:p>
        </w:tc>
        <w:tc>
          <w:tcPr>
            <w:tcW w:w="1301" w:type="dxa"/>
            <w:vAlign w:val="bottom"/>
          </w:tcPr>
          <w:p w:rsidR="002265C7" w:rsidRPr="00A454F4" w:rsidRDefault="002265C7" w:rsidP="00BC2119">
            <w:pPr>
              <w:pStyle w:val="TableFigText"/>
              <w:jc w:val="right"/>
            </w:pPr>
            <w:r w:rsidRPr="00A454F4">
              <w:t>27</w:t>
            </w:r>
          </w:p>
        </w:tc>
        <w:tc>
          <w:tcPr>
            <w:tcW w:w="1078" w:type="dxa"/>
            <w:vAlign w:val="bottom"/>
          </w:tcPr>
          <w:p w:rsidR="002265C7" w:rsidRPr="00A454F4" w:rsidRDefault="002265C7" w:rsidP="00BC2119">
            <w:pPr>
              <w:pStyle w:val="TableFigText"/>
              <w:jc w:val="right"/>
            </w:pPr>
            <w:r w:rsidRPr="00A454F4">
              <w:t>0</w:t>
            </w:r>
          </w:p>
        </w:tc>
        <w:tc>
          <w:tcPr>
            <w:tcW w:w="1132" w:type="dxa"/>
            <w:vAlign w:val="bottom"/>
          </w:tcPr>
          <w:p w:rsidR="002265C7" w:rsidRPr="00A454F4" w:rsidRDefault="002265C7" w:rsidP="00BC2119">
            <w:pPr>
              <w:pStyle w:val="TableFigText"/>
              <w:jc w:val="right"/>
            </w:pPr>
            <w:r w:rsidRPr="00A454F4">
              <w:t>0</w:t>
            </w:r>
          </w:p>
        </w:tc>
        <w:tc>
          <w:tcPr>
            <w:tcW w:w="1030" w:type="dxa"/>
            <w:vAlign w:val="bottom"/>
          </w:tcPr>
          <w:p w:rsidR="002265C7" w:rsidRPr="00A454F4" w:rsidRDefault="002265C7" w:rsidP="00BC2119">
            <w:pPr>
              <w:pStyle w:val="TableFigText"/>
              <w:jc w:val="right"/>
            </w:pPr>
            <w:r w:rsidRPr="00A454F4">
              <w:t>376</w:t>
            </w:r>
          </w:p>
        </w:tc>
      </w:tr>
      <w:tr w:rsidR="002265C7" w:rsidRPr="00B476FB" w:rsidTr="002265C7">
        <w:tc>
          <w:tcPr>
            <w:tcW w:w="2504" w:type="dxa"/>
          </w:tcPr>
          <w:p w:rsidR="002265C7" w:rsidRPr="00E86D05" w:rsidRDefault="002265C7" w:rsidP="002265C7">
            <w:pPr>
              <w:pStyle w:val="TableFigText"/>
              <w:keepLines w:val="0"/>
              <w:rPr>
                <w:rFonts w:asciiTheme="minorHAnsi" w:hAnsiTheme="minorHAnsi" w:cstheme="minorHAnsi"/>
                <w:szCs w:val="22"/>
                <w:vertAlign w:val="superscript"/>
              </w:rPr>
            </w:pPr>
            <w:r w:rsidRPr="00B476FB">
              <w:rPr>
                <w:rFonts w:asciiTheme="minorHAnsi" w:hAnsiTheme="minorHAnsi" w:cstheme="minorHAnsi"/>
                <w:szCs w:val="22"/>
              </w:rPr>
              <w:t>Residential mental health care services</w:t>
            </w:r>
            <w:r>
              <w:rPr>
                <w:rFonts w:asciiTheme="minorHAnsi" w:hAnsiTheme="minorHAnsi" w:cstheme="minorHAnsi"/>
                <w:szCs w:val="22"/>
                <w:vertAlign w:val="superscript"/>
              </w:rPr>
              <w:t>(a)</w:t>
            </w:r>
          </w:p>
        </w:tc>
        <w:tc>
          <w:tcPr>
            <w:tcW w:w="1089" w:type="dxa"/>
          </w:tcPr>
          <w:p w:rsidR="002265C7" w:rsidRPr="00A454F4" w:rsidRDefault="002265C7" w:rsidP="00BC2119">
            <w:pPr>
              <w:pStyle w:val="TableFigText"/>
              <w:jc w:val="right"/>
            </w:pPr>
            <w:r w:rsidRPr="00A454F4">
              <w:t>0</w:t>
            </w:r>
          </w:p>
        </w:tc>
        <w:tc>
          <w:tcPr>
            <w:tcW w:w="1442" w:type="dxa"/>
          </w:tcPr>
          <w:p w:rsidR="002265C7" w:rsidRPr="00A454F4" w:rsidRDefault="002265C7" w:rsidP="00BC2119">
            <w:pPr>
              <w:pStyle w:val="TableFigText"/>
              <w:jc w:val="right"/>
            </w:pPr>
            <w:r w:rsidRPr="00A454F4">
              <w:t>0</w:t>
            </w:r>
          </w:p>
        </w:tc>
        <w:tc>
          <w:tcPr>
            <w:tcW w:w="1301" w:type="dxa"/>
          </w:tcPr>
          <w:p w:rsidR="002265C7" w:rsidRPr="00A454F4" w:rsidRDefault="002265C7" w:rsidP="00BC2119">
            <w:pPr>
              <w:pStyle w:val="TableFigText"/>
              <w:jc w:val="right"/>
            </w:pPr>
            <w:r w:rsidRPr="00A454F4">
              <w:t>0</w:t>
            </w:r>
          </w:p>
        </w:tc>
        <w:tc>
          <w:tcPr>
            <w:tcW w:w="1078" w:type="dxa"/>
          </w:tcPr>
          <w:p w:rsidR="002265C7" w:rsidRPr="00A454F4" w:rsidRDefault="002265C7" w:rsidP="00BC2119">
            <w:pPr>
              <w:pStyle w:val="TableFigText"/>
              <w:jc w:val="right"/>
            </w:pPr>
            <w:r w:rsidRPr="00A454F4">
              <w:t>0</w:t>
            </w:r>
          </w:p>
        </w:tc>
        <w:tc>
          <w:tcPr>
            <w:tcW w:w="1132" w:type="dxa"/>
          </w:tcPr>
          <w:p w:rsidR="002265C7" w:rsidRPr="00A454F4" w:rsidRDefault="002265C7" w:rsidP="00BC2119">
            <w:pPr>
              <w:pStyle w:val="TableFigText"/>
              <w:jc w:val="right"/>
            </w:pPr>
            <w:r w:rsidRPr="00A454F4">
              <w:t>0</w:t>
            </w:r>
          </w:p>
        </w:tc>
        <w:tc>
          <w:tcPr>
            <w:tcW w:w="1030" w:type="dxa"/>
          </w:tcPr>
          <w:p w:rsidR="002265C7" w:rsidRPr="00A454F4" w:rsidRDefault="002265C7" w:rsidP="00BC2119">
            <w:pPr>
              <w:pStyle w:val="TableFigText"/>
              <w:jc w:val="right"/>
            </w:pPr>
            <w:r w:rsidRPr="00A454F4">
              <w:t>0</w:t>
            </w:r>
          </w:p>
        </w:tc>
      </w:tr>
      <w:tr w:rsidR="002265C7" w:rsidRPr="00B476FB" w:rsidTr="002265C7">
        <w:tc>
          <w:tcPr>
            <w:tcW w:w="2504" w:type="dxa"/>
          </w:tcPr>
          <w:p w:rsidR="002265C7" w:rsidRPr="00BC2119" w:rsidRDefault="002265C7" w:rsidP="002265C7">
            <w:pPr>
              <w:pStyle w:val="TableFigText"/>
              <w:keepLines w:val="0"/>
              <w:rPr>
                <w:rFonts w:asciiTheme="minorHAnsi" w:hAnsiTheme="minorHAnsi" w:cstheme="minorHAnsi"/>
                <w:b/>
                <w:szCs w:val="22"/>
              </w:rPr>
            </w:pPr>
            <w:r w:rsidRPr="00BC2119">
              <w:rPr>
                <w:rFonts w:asciiTheme="minorHAnsi" w:hAnsiTheme="minorHAnsi" w:cstheme="minorHAnsi"/>
                <w:b/>
                <w:szCs w:val="22"/>
              </w:rPr>
              <w:t>Total</w:t>
            </w:r>
          </w:p>
        </w:tc>
        <w:tc>
          <w:tcPr>
            <w:tcW w:w="1089" w:type="dxa"/>
          </w:tcPr>
          <w:p w:rsidR="002265C7" w:rsidRPr="00BC2119" w:rsidRDefault="002265C7" w:rsidP="00BC2119">
            <w:pPr>
              <w:pStyle w:val="TableFigText"/>
              <w:jc w:val="right"/>
              <w:rPr>
                <w:b/>
              </w:rPr>
            </w:pPr>
            <w:r w:rsidRPr="00BC2119">
              <w:rPr>
                <w:b/>
              </w:rPr>
              <w:t>958</w:t>
            </w:r>
          </w:p>
        </w:tc>
        <w:tc>
          <w:tcPr>
            <w:tcW w:w="1442" w:type="dxa"/>
          </w:tcPr>
          <w:p w:rsidR="002265C7" w:rsidRPr="00BC2119" w:rsidRDefault="002265C7" w:rsidP="00BC2119">
            <w:pPr>
              <w:pStyle w:val="TableFigText"/>
              <w:jc w:val="right"/>
              <w:rPr>
                <w:b/>
              </w:rPr>
            </w:pPr>
            <w:r w:rsidRPr="00BC2119">
              <w:rPr>
                <w:b/>
              </w:rPr>
              <w:t>285</w:t>
            </w:r>
          </w:p>
        </w:tc>
        <w:tc>
          <w:tcPr>
            <w:tcW w:w="1301" w:type="dxa"/>
          </w:tcPr>
          <w:p w:rsidR="002265C7" w:rsidRPr="00BC2119" w:rsidRDefault="002265C7" w:rsidP="00BC2119">
            <w:pPr>
              <w:pStyle w:val="TableFigText"/>
              <w:jc w:val="right"/>
              <w:rPr>
                <w:b/>
              </w:rPr>
            </w:pPr>
            <w:r w:rsidRPr="00BC2119">
              <w:rPr>
                <w:b/>
              </w:rPr>
              <w:t>153</w:t>
            </w:r>
          </w:p>
        </w:tc>
        <w:tc>
          <w:tcPr>
            <w:tcW w:w="1078" w:type="dxa"/>
          </w:tcPr>
          <w:p w:rsidR="002265C7" w:rsidRPr="00BC2119" w:rsidRDefault="002265C7" w:rsidP="00BC2119">
            <w:pPr>
              <w:pStyle w:val="TableFigText"/>
              <w:jc w:val="right"/>
              <w:rPr>
                <w:b/>
              </w:rPr>
            </w:pPr>
            <w:r w:rsidRPr="00BC2119">
              <w:rPr>
                <w:b/>
              </w:rPr>
              <w:t>11</w:t>
            </w:r>
          </w:p>
        </w:tc>
        <w:tc>
          <w:tcPr>
            <w:tcW w:w="1132" w:type="dxa"/>
          </w:tcPr>
          <w:p w:rsidR="002265C7" w:rsidRPr="00BC2119" w:rsidRDefault="002265C7" w:rsidP="00BC2119">
            <w:pPr>
              <w:pStyle w:val="TableFigText"/>
              <w:jc w:val="right"/>
              <w:rPr>
                <w:b/>
              </w:rPr>
            </w:pPr>
            <w:r w:rsidRPr="00BC2119">
              <w:rPr>
                <w:b/>
              </w:rPr>
              <w:t>2</w:t>
            </w:r>
          </w:p>
        </w:tc>
        <w:tc>
          <w:tcPr>
            <w:tcW w:w="1030" w:type="dxa"/>
          </w:tcPr>
          <w:p w:rsidR="002265C7" w:rsidRPr="00BC2119" w:rsidRDefault="002265C7" w:rsidP="00BC2119">
            <w:pPr>
              <w:pStyle w:val="TableFigText"/>
              <w:jc w:val="right"/>
              <w:rPr>
                <w:b/>
              </w:rPr>
            </w:pPr>
            <w:r w:rsidRPr="00BC2119">
              <w:rPr>
                <w:b/>
              </w:rPr>
              <w:t>1,409</w:t>
            </w:r>
          </w:p>
        </w:tc>
      </w:tr>
    </w:tbl>
    <w:p w:rsidR="002265C7" w:rsidRPr="006876F2" w:rsidRDefault="002265C7" w:rsidP="00540186">
      <w:pPr>
        <w:pStyle w:val="TableFigNotesnumbered"/>
        <w:numPr>
          <w:ilvl w:val="0"/>
          <w:numId w:val="73"/>
        </w:numPr>
        <w:rPr>
          <w:rStyle w:val="table-note"/>
        </w:rPr>
      </w:pPr>
      <w:r w:rsidRPr="006876F2">
        <w:rPr>
          <w:rStyle w:val="table-note"/>
        </w:rPr>
        <w:t>Queensland does not fund community-based residential services, but funds both campus and non-campus based extended treatment services.</w:t>
      </w:r>
      <w:r w:rsidRPr="006876F2">
        <w:rPr>
          <w:rStyle w:val="table-note"/>
        </w:rPr>
        <w:tab/>
      </w:r>
    </w:p>
    <w:p w:rsidR="002265C7" w:rsidRPr="00E86D05" w:rsidRDefault="002265C7" w:rsidP="002265C7">
      <w:pPr>
        <w:pStyle w:val="AIHWbodytext"/>
      </w:pPr>
    </w:p>
    <w:p w:rsidR="002265C7" w:rsidRPr="0096114C" w:rsidRDefault="0096114C" w:rsidP="002265C7">
      <w:pPr>
        <w:pStyle w:val="TableCaption"/>
        <w:rPr>
          <w:rStyle w:val="table-note"/>
        </w:rPr>
      </w:pPr>
      <w:r w:rsidRPr="0096114C">
        <w:rPr>
          <w:rStyle w:val="table-note"/>
        </w:rPr>
        <w:t xml:space="preserve">Table 27: </w:t>
      </w:r>
      <w:r w:rsidR="002265C7" w:rsidRPr="0096114C">
        <w:rPr>
          <w:rStyle w:val="table-note"/>
        </w:rPr>
        <w:t>QLD: Number of specialised mental health beds, by service type, 2011–12</w:t>
      </w:r>
    </w:p>
    <w:tbl>
      <w:tblPr>
        <w:tblStyle w:val="TableGrid"/>
        <w:tblW w:w="0" w:type="auto"/>
        <w:tblLook w:val="04A0" w:firstRow="1" w:lastRow="0" w:firstColumn="1" w:lastColumn="0" w:noHBand="0" w:noVBand="1"/>
        <w:tblCaption w:val="QLD: Number of specialised mental health beds, by service type, 2011–12"/>
        <w:tblDescription w:val="Table showing that, in 2011-12, major cities in QLD had the highest number of all types of specialised mental health beds at 947. The number of beds decreases as the region type becomes more remote, with only 2 beds in very remote areas overall, across all specialised mental health care types. "/>
      </w:tblPr>
      <w:tblGrid>
        <w:gridCol w:w="2402"/>
        <w:gridCol w:w="1058"/>
        <w:gridCol w:w="1397"/>
        <w:gridCol w:w="1266"/>
        <w:gridCol w:w="1056"/>
        <w:gridCol w:w="1104"/>
        <w:gridCol w:w="1003"/>
      </w:tblGrid>
      <w:tr w:rsidR="002265C7" w:rsidRPr="00B476FB" w:rsidTr="000C3DEA">
        <w:trPr>
          <w:tblHeader/>
        </w:trPr>
        <w:tc>
          <w:tcPr>
            <w:tcW w:w="2504" w:type="dxa"/>
          </w:tcPr>
          <w:p w:rsidR="002265C7" w:rsidRPr="00B476FB" w:rsidRDefault="002265C7" w:rsidP="002265C7">
            <w:pPr>
              <w:pStyle w:val="TableFigText"/>
              <w:rPr>
                <w:rFonts w:asciiTheme="minorHAnsi" w:hAnsiTheme="minorHAnsi" w:cstheme="minorHAnsi"/>
                <w:szCs w:val="22"/>
              </w:rPr>
            </w:pPr>
          </w:p>
        </w:tc>
        <w:tc>
          <w:tcPr>
            <w:tcW w:w="1089" w:type="dxa"/>
          </w:tcPr>
          <w:p w:rsidR="002265C7" w:rsidRPr="00B476FB" w:rsidRDefault="002265C7" w:rsidP="002265C7">
            <w:pPr>
              <w:pStyle w:val="TableFigText"/>
              <w:jc w:val="right"/>
              <w:rPr>
                <w:rFonts w:asciiTheme="minorHAnsi" w:hAnsiTheme="minorHAnsi" w:cstheme="minorHAnsi"/>
                <w:b/>
                <w:szCs w:val="22"/>
              </w:rPr>
            </w:pPr>
            <w:r w:rsidRPr="00B476FB">
              <w:rPr>
                <w:rFonts w:asciiTheme="minorHAnsi" w:hAnsiTheme="minorHAnsi" w:cstheme="minorHAnsi"/>
                <w:b/>
                <w:szCs w:val="22"/>
              </w:rPr>
              <w:t>Major cities</w:t>
            </w:r>
          </w:p>
        </w:tc>
        <w:tc>
          <w:tcPr>
            <w:tcW w:w="1442" w:type="dxa"/>
          </w:tcPr>
          <w:p w:rsidR="002265C7" w:rsidRPr="00B476FB" w:rsidRDefault="002265C7" w:rsidP="002265C7">
            <w:pPr>
              <w:pStyle w:val="TableFigText"/>
              <w:jc w:val="right"/>
              <w:rPr>
                <w:rFonts w:asciiTheme="minorHAnsi" w:hAnsiTheme="minorHAnsi" w:cstheme="minorHAnsi"/>
                <w:b/>
                <w:szCs w:val="22"/>
              </w:rPr>
            </w:pPr>
            <w:r w:rsidRPr="00B476FB">
              <w:rPr>
                <w:rFonts w:asciiTheme="minorHAnsi" w:hAnsiTheme="minorHAnsi" w:cstheme="minorHAnsi"/>
                <w:b/>
                <w:szCs w:val="22"/>
              </w:rPr>
              <w:t>Inner regional</w:t>
            </w:r>
          </w:p>
        </w:tc>
        <w:tc>
          <w:tcPr>
            <w:tcW w:w="1301" w:type="dxa"/>
          </w:tcPr>
          <w:p w:rsidR="002265C7" w:rsidRPr="00B476FB" w:rsidRDefault="002265C7" w:rsidP="002265C7">
            <w:pPr>
              <w:pStyle w:val="TableFigText"/>
              <w:jc w:val="right"/>
              <w:rPr>
                <w:rFonts w:asciiTheme="minorHAnsi" w:hAnsiTheme="minorHAnsi" w:cstheme="minorHAnsi"/>
                <w:b/>
                <w:szCs w:val="22"/>
              </w:rPr>
            </w:pPr>
            <w:r w:rsidRPr="00B476FB">
              <w:rPr>
                <w:rFonts w:asciiTheme="minorHAnsi" w:hAnsiTheme="minorHAnsi" w:cstheme="minorHAnsi"/>
                <w:b/>
                <w:szCs w:val="22"/>
              </w:rPr>
              <w:t>Outer regional</w:t>
            </w:r>
          </w:p>
        </w:tc>
        <w:tc>
          <w:tcPr>
            <w:tcW w:w="1078" w:type="dxa"/>
          </w:tcPr>
          <w:p w:rsidR="002265C7" w:rsidRPr="00B476FB" w:rsidRDefault="002265C7" w:rsidP="002265C7">
            <w:pPr>
              <w:pStyle w:val="TableFigText"/>
              <w:jc w:val="right"/>
              <w:rPr>
                <w:rFonts w:asciiTheme="minorHAnsi" w:hAnsiTheme="minorHAnsi" w:cstheme="minorHAnsi"/>
                <w:b/>
                <w:szCs w:val="22"/>
              </w:rPr>
            </w:pPr>
            <w:r w:rsidRPr="00B476FB">
              <w:rPr>
                <w:rFonts w:asciiTheme="minorHAnsi" w:hAnsiTheme="minorHAnsi" w:cstheme="minorHAnsi"/>
                <w:b/>
                <w:szCs w:val="22"/>
              </w:rPr>
              <w:t>Remote</w:t>
            </w:r>
          </w:p>
        </w:tc>
        <w:tc>
          <w:tcPr>
            <w:tcW w:w="1132" w:type="dxa"/>
          </w:tcPr>
          <w:p w:rsidR="002265C7" w:rsidRPr="00B476FB" w:rsidRDefault="002265C7" w:rsidP="002265C7">
            <w:pPr>
              <w:pStyle w:val="TableFigText"/>
              <w:jc w:val="right"/>
              <w:rPr>
                <w:rFonts w:asciiTheme="minorHAnsi" w:hAnsiTheme="minorHAnsi" w:cstheme="minorHAnsi"/>
                <w:b/>
                <w:szCs w:val="22"/>
              </w:rPr>
            </w:pPr>
            <w:r w:rsidRPr="00B476FB">
              <w:rPr>
                <w:rFonts w:asciiTheme="minorHAnsi" w:hAnsiTheme="minorHAnsi" w:cstheme="minorHAnsi"/>
                <w:b/>
                <w:szCs w:val="22"/>
              </w:rPr>
              <w:t>Very remote</w:t>
            </w:r>
          </w:p>
        </w:tc>
        <w:tc>
          <w:tcPr>
            <w:tcW w:w="1030" w:type="dxa"/>
          </w:tcPr>
          <w:p w:rsidR="002265C7" w:rsidRPr="00B476FB" w:rsidRDefault="002265C7" w:rsidP="002265C7">
            <w:pPr>
              <w:pStyle w:val="TableFigText"/>
              <w:jc w:val="right"/>
              <w:rPr>
                <w:rFonts w:asciiTheme="minorHAnsi" w:hAnsiTheme="minorHAnsi" w:cstheme="minorHAnsi"/>
                <w:b/>
                <w:szCs w:val="22"/>
              </w:rPr>
            </w:pPr>
            <w:r w:rsidRPr="00B476FB">
              <w:rPr>
                <w:rFonts w:asciiTheme="minorHAnsi" w:hAnsiTheme="minorHAnsi" w:cstheme="minorHAnsi"/>
                <w:b/>
                <w:szCs w:val="22"/>
              </w:rPr>
              <w:t>Total</w:t>
            </w:r>
          </w:p>
        </w:tc>
      </w:tr>
      <w:tr w:rsidR="002265C7" w:rsidRPr="00B476FB" w:rsidTr="002265C7">
        <w:tc>
          <w:tcPr>
            <w:tcW w:w="2504" w:type="dxa"/>
          </w:tcPr>
          <w:p w:rsidR="002265C7" w:rsidRPr="00B476FB" w:rsidRDefault="002265C7" w:rsidP="002265C7">
            <w:pPr>
              <w:pStyle w:val="TableFigText"/>
              <w:keepLines w:val="0"/>
              <w:rPr>
                <w:rFonts w:asciiTheme="minorHAnsi" w:hAnsiTheme="minorHAnsi" w:cstheme="minorHAnsi"/>
                <w:szCs w:val="22"/>
              </w:rPr>
            </w:pPr>
            <w:r w:rsidRPr="00B476FB">
              <w:rPr>
                <w:rFonts w:asciiTheme="minorHAnsi" w:hAnsiTheme="minorHAnsi" w:cstheme="minorHAnsi"/>
                <w:szCs w:val="22"/>
              </w:rPr>
              <w:t>Specialised psychiatric units or wards in public acute hospitals</w:t>
            </w:r>
          </w:p>
        </w:tc>
        <w:tc>
          <w:tcPr>
            <w:tcW w:w="1089" w:type="dxa"/>
            <w:vAlign w:val="bottom"/>
          </w:tcPr>
          <w:p w:rsidR="002265C7" w:rsidRPr="00A454F4" w:rsidRDefault="002265C7" w:rsidP="00BC2119">
            <w:pPr>
              <w:pStyle w:val="TableFigText"/>
              <w:jc w:val="right"/>
            </w:pPr>
            <w:r w:rsidRPr="00A454F4">
              <w:t>785</w:t>
            </w:r>
          </w:p>
        </w:tc>
        <w:tc>
          <w:tcPr>
            <w:tcW w:w="1442" w:type="dxa"/>
            <w:vAlign w:val="bottom"/>
          </w:tcPr>
          <w:p w:rsidR="002265C7" w:rsidRPr="00A454F4" w:rsidRDefault="002265C7" w:rsidP="00BC2119">
            <w:pPr>
              <w:pStyle w:val="TableFigText"/>
              <w:jc w:val="right"/>
            </w:pPr>
            <w:r w:rsidRPr="00A454F4">
              <w:t>132</w:t>
            </w:r>
          </w:p>
        </w:tc>
        <w:tc>
          <w:tcPr>
            <w:tcW w:w="1301" w:type="dxa"/>
            <w:vAlign w:val="bottom"/>
          </w:tcPr>
          <w:p w:rsidR="002265C7" w:rsidRPr="00A454F4" w:rsidRDefault="002265C7" w:rsidP="00BC2119">
            <w:pPr>
              <w:pStyle w:val="TableFigText"/>
              <w:jc w:val="right"/>
            </w:pPr>
            <w:r w:rsidRPr="00A454F4">
              <w:t>131</w:t>
            </w:r>
          </w:p>
        </w:tc>
        <w:tc>
          <w:tcPr>
            <w:tcW w:w="1078" w:type="dxa"/>
            <w:vAlign w:val="bottom"/>
          </w:tcPr>
          <w:p w:rsidR="002265C7" w:rsidRPr="00A454F4" w:rsidRDefault="002265C7" w:rsidP="00BC2119">
            <w:pPr>
              <w:pStyle w:val="TableFigText"/>
              <w:jc w:val="right"/>
            </w:pPr>
            <w:r w:rsidRPr="00A454F4">
              <w:t>7</w:t>
            </w:r>
          </w:p>
        </w:tc>
        <w:tc>
          <w:tcPr>
            <w:tcW w:w="1132" w:type="dxa"/>
            <w:vAlign w:val="bottom"/>
          </w:tcPr>
          <w:p w:rsidR="002265C7" w:rsidRPr="00A454F4" w:rsidRDefault="002265C7" w:rsidP="00BC2119">
            <w:pPr>
              <w:pStyle w:val="TableFigText"/>
              <w:jc w:val="right"/>
            </w:pPr>
            <w:r w:rsidRPr="00A454F4">
              <w:t>2</w:t>
            </w:r>
          </w:p>
        </w:tc>
        <w:tc>
          <w:tcPr>
            <w:tcW w:w="1030" w:type="dxa"/>
            <w:vAlign w:val="bottom"/>
          </w:tcPr>
          <w:p w:rsidR="002265C7" w:rsidRPr="00A454F4" w:rsidRDefault="002265C7" w:rsidP="00BC2119">
            <w:pPr>
              <w:pStyle w:val="TableFigText"/>
              <w:jc w:val="right"/>
            </w:pPr>
            <w:r w:rsidRPr="00A454F4">
              <w:t>1,057</w:t>
            </w:r>
          </w:p>
        </w:tc>
      </w:tr>
      <w:tr w:rsidR="002265C7" w:rsidRPr="00B476FB" w:rsidTr="002265C7">
        <w:tc>
          <w:tcPr>
            <w:tcW w:w="2504" w:type="dxa"/>
          </w:tcPr>
          <w:p w:rsidR="002265C7" w:rsidRPr="00B476FB" w:rsidRDefault="002265C7" w:rsidP="002265C7">
            <w:pPr>
              <w:pStyle w:val="TableFigText"/>
              <w:keepLines w:val="0"/>
              <w:rPr>
                <w:rFonts w:asciiTheme="minorHAnsi" w:hAnsiTheme="minorHAnsi" w:cstheme="minorHAnsi"/>
                <w:szCs w:val="22"/>
              </w:rPr>
            </w:pPr>
            <w:r w:rsidRPr="00B476FB">
              <w:rPr>
                <w:rFonts w:asciiTheme="minorHAnsi" w:hAnsiTheme="minorHAnsi" w:cstheme="minorHAnsi"/>
                <w:szCs w:val="22"/>
              </w:rPr>
              <w:t>Public psychiatric hospital services</w:t>
            </w:r>
          </w:p>
        </w:tc>
        <w:tc>
          <w:tcPr>
            <w:tcW w:w="1089" w:type="dxa"/>
            <w:vAlign w:val="bottom"/>
          </w:tcPr>
          <w:p w:rsidR="002265C7" w:rsidRPr="00A454F4" w:rsidRDefault="002265C7" w:rsidP="00BC2119">
            <w:pPr>
              <w:pStyle w:val="TableFigText"/>
              <w:jc w:val="right"/>
            </w:pPr>
            <w:r w:rsidRPr="00A454F4">
              <w:t>162</w:t>
            </w:r>
          </w:p>
        </w:tc>
        <w:tc>
          <w:tcPr>
            <w:tcW w:w="1442" w:type="dxa"/>
            <w:vAlign w:val="bottom"/>
          </w:tcPr>
          <w:p w:rsidR="002265C7" w:rsidRPr="00A454F4" w:rsidRDefault="002265C7" w:rsidP="00BC2119">
            <w:pPr>
              <w:pStyle w:val="TableFigText"/>
              <w:jc w:val="right"/>
            </w:pPr>
            <w:r w:rsidRPr="00A454F4">
              <w:t>156</w:t>
            </w:r>
          </w:p>
        </w:tc>
        <w:tc>
          <w:tcPr>
            <w:tcW w:w="1301" w:type="dxa"/>
            <w:vAlign w:val="bottom"/>
          </w:tcPr>
          <w:p w:rsidR="002265C7" w:rsidRPr="00A454F4" w:rsidRDefault="002265C7" w:rsidP="00BC2119">
            <w:pPr>
              <w:pStyle w:val="TableFigText"/>
              <w:jc w:val="right"/>
            </w:pPr>
            <w:r w:rsidRPr="00A454F4">
              <w:t>27</w:t>
            </w:r>
          </w:p>
        </w:tc>
        <w:tc>
          <w:tcPr>
            <w:tcW w:w="1078" w:type="dxa"/>
            <w:vAlign w:val="bottom"/>
          </w:tcPr>
          <w:p w:rsidR="002265C7" w:rsidRPr="00A454F4" w:rsidRDefault="002265C7" w:rsidP="00BC2119">
            <w:pPr>
              <w:pStyle w:val="TableFigText"/>
              <w:jc w:val="right"/>
            </w:pPr>
            <w:r w:rsidRPr="00A454F4">
              <w:t>0</w:t>
            </w:r>
          </w:p>
        </w:tc>
        <w:tc>
          <w:tcPr>
            <w:tcW w:w="1132" w:type="dxa"/>
            <w:vAlign w:val="bottom"/>
          </w:tcPr>
          <w:p w:rsidR="002265C7" w:rsidRPr="00A454F4" w:rsidRDefault="002265C7" w:rsidP="00BC2119">
            <w:pPr>
              <w:pStyle w:val="TableFigText"/>
              <w:jc w:val="right"/>
            </w:pPr>
            <w:r w:rsidRPr="00A454F4">
              <w:t>0</w:t>
            </w:r>
          </w:p>
        </w:tc>
        <w:tc>
          <w:tcPr>
            <w:tcW w:w="1030" w:type="dxa"/>
            <w:vAlign w:val="bottom"/>
          </w:tcPr>
          <w:p w:rsidR="002265C7" w:rsidRPr="00A454F4" w:rsidRDefault="002265C7" w:rsidP="00BC2119">
            <w:pPr>
              <w:pStyle w:val="TableFigText"/>
              <w:jc w:val="right"/>
            </w:pPr>
            <w:r w:rsidRPr="00A454F4">
              <w:t>345</w:t>
            </w:r>
          </w:p>
        </w:tc>
      </w:tr>
      <w:tr w:rsidR="002265C7" w:rsidRPr="00B476FB" w:rsidTr="002265C7">
        <w:tc>
          <w:tcPr>
            <w:tcW w:w="2504" w:type="dxa"/>
          </w:tcPr>
          <w:p w:rsidR="002265C7" w:rsidRPr="00E86D05" w:rsidRDefault="002265C7" w:rsidP="002265C7">
            <w:pPr>
              <w:pStyle w:val="TableFigText"/>
              <w:keepLines w:val="0"/>
              <w:rPr>
                <w:rFonts w:asciiTheme="minorHAnsi" w:hAnsiTheme="minorHAnsi" w:cstheme="minorHAnsi"/>
                <w:szCs w:val="22"/>
                <w:vertAlign w:val="superscript"/>
              </w:rPr>
            </w:pPr>
            <w:r w:rsidRPr="00B476FB">
              <w:rPr>
                <w:rFonts w:asciiTheme="minorHAnsi" w:hAnsiTheme="minorHAnsi" w:cstheme="minorHAnsi"/>
                <w:szCs w:val="22"/>
              </w:rPr>
              <w:t>Residential mental health care services</w:t>
            </w:r>
            <w:r>
              <w:rPr>
                <w:rFonts w:asciiTheme="minorHAnsi" w:hAnsiTheme="minorHAnsi" w:cstheme="minorHAnsi"/>
                <w:szCs w:val="22"/>
                <w:vertAlign w:val="superscript"/>
              </w:rPr>
              <w:t>(a)</w:t>
            </w:r>
          </w:p>
        </w:tc>
        <w:tc>
          <w:tcPr>
            <w:tcW w:w="1089" w:type="dxa"/>
          </w:tcPr>
          <w:p w:rsidR="002265C7" w:rsidRPr="00A454F4" w:rsidRDefault="002265C7" w:rsidP="00BC2119">
            <w:pPr>
              <w:pStyle w:val="TableFigText"/>
              <w:jc w:val="right"/>
            </w:pPr>
            <w:r w:rsidRPr="00A454F4">
              <w:t>0</w:t>
            </w:r>
          </w:p>
        </w:tc>
        <w:tc>
          <w:tcPr>
            <w:tcW w:w="1442" w:type="dxa"/>
          </w:tcPr>
          <w:p w:rsidR="002265C7" w:rsidRPr="00A454F4" w:rsidRDefault="002265C7" w:rsidP="00BC2119">
            <w:pPr>
              <w:pStyle w:val="TableFigText"/>
              <w:jc w:val="right"/>
            </w:pPr>
            <w:r w:rsidRPr="00A454F4">
              <w:t>0</w:t>
            </w:r>
          </w:p>
        </w:tc>
        <w:tc>
          <w:tcPr>
            <w:tcW w:w="1301" w:type="dxa"/>
          </w:tcPr>
          <w:p w:rsidR="002265C7" w:rsidRPr="00A454F4" w:rsidRDefault="002265C7" w:rsidP="00BC2119">
            <w:pPr>
              <w:pStyle w:val="TableFigText"/>
              <w:jc w:val="right"/>
            </w:pPr>
            <w:r w:rsidRPr="00A454F4">
              <w:t>0</w:t>
            </w:r>
          </w:p>
        </w:tc>
        <w:tc>
          <w:tcPr>
            <w:tcW w:w="1078" w:type="dxa"/>
          </w:tcPr>
          <w:p w:rsidR="002265C7" w:rsidRPr="00A454F4" w:rsidRDefault="002265C7" w:rsidP="00BC2119">
            <w:pPr>
              <w:pStyle w:val="TableFigText"/>
              <w:jc w:val="right"/>
            </w:pPr>
            <w:r w:rsidRPr="00A454F4">
              <w:t>0</w:t>
            </w:r>
          </w:p>
        </w:tc>
        <w:tc>
          <w:tcPr>
            <w:tcW w:w="1132" w:type="dxa"/>
          </w:tcPr>
          <w:p w:rsidR="002265C7" w:rsidRPr="00A454F4" w:rsidRDefault="002265C7" w:rsidP="00BC2119">
            <w:pPr>
              <w:pStyle w:val="TableFigText"/>
              <w:jc w:val="right"/>
            </w:pPr>
            <w:r w:rsidRPr="00A454F4">
              <w:t>0</w:t>
            </w:r>
          </w:p>
        </w:tc>
        <w:tc>
          <w:tcPr>
            <w:tcW w:w="1030" w:type="dxa"/>
          </w:tcPr>
          <w:p w:rsidR="002265C7" w:rsidRPr="00A454F4" w:rsidRDefault="002265C7" w:rsidP="00BC2119">
            <w:pPr>
              <w:pStyle w:val="TableFigText"/>
              <w:jc w:val="right"/>
            </w:pPr>
            <w:r w:rsidRPr="00A454F4">
              <w:t>0</w:t>
            </w:r>
          </w:p>
        </w:tc>
      </w:tr>
      <w:tr w:rsidR="002265C7" w:rsidRPr="00B476FB" w:rsidTr="002265C7">
        <w:tc>
          <w:tcPr>
            <w:tcW w:w="2504" w:type="dxa"/>
          </w:tcPr>
          <w:p w:rsidR="002265C7" w:rsidRPr="00BC2119" w:rsidRDefault="002265C7" w:rsidP="002265C7">
            <w:pPr>
              <w:pStyle w:val="TableFigText"/>
              <w:keepLines w:val="0"/>
              <w:rPr>
                <w:rFonts w:asciiTheme="minorHAnsi" w:hAnsiTheme="minorHAnsi" w:cstheme="minorHAnsi"/>
                <w:b/>
                <w:szCs w:val="22"/>
              </w:rPr>
            </w:pPr>
            <w:r w:rsidRPr="00BC2119">
              <w:rPr>
                <w:rFonts w:asciiTheme="minorHAnsi" w:hAnsiTheme="minorHAnsi" w:cstheme="minorHAnsi"/>
                <w:b/>
                <w:szCs w:val="22"/>
              </w:rPr>
              <w:t>Total</w:t>
            </w:r>
          </w:p>
        </w:tc>
        <w:tc>
          <w:tcPr>
            <w:tcW w:w="1089" w:type="dxa"/>
          </w:tcPr>
          <w:p w:rsidR="002265C7" w:rsidRPr="00BC2119" w:rsidRDefault="002265C7" w:rsidP="00BC2119">
            <w:pPr>
              <w:pStyle w:val="TableFigText"/>
              <w:jc w:val="right"/>
              <w:rPr>
                <w:b/>
              </w:rPr>
            </w:pPr>
            <w:r w:rsidRPr="00BC2119">
              <w:rPr>
                <w:b/>
              </w:rPr>
              <w:t>947</w:t>
            </w:r>
          </w:p>
        </w:tc>
        <w:tc>
          <w:tcPr>
            <w:tcW w:w="1442" w:type="dxa"/>
          </w:tcPr>
          <w:p w:rsidR="002265C7" w:rsidRPr="00BC2119" w:rsidRDefault="002265C7" w:rsidP="00BC2119">
            <w:pPr>
              <w:pStyle w:val="TableFigText"/>
              <w:jc w:val="right"/>
              <w:rPr>
                <w:b/>
              </w:rPr>
            </w:pPr>
            <w:r w:rsidRPr="00BC2119">
              <w:rPr>
                <w:b/>
              </w:rPr>
              <w:t>288</w:t>
            </w:r>
          </w:p>
        </w:tc>
        <w:tc>
          <w:tcPr>
            <w:tcW w:w="1301" w:type="dxa"/>
          </w:tcPr>
          <w:p w:rsidR="002265C7" w:rsidRPr="00BC2119" w:rsidRDefault="002265C7" w:rsidP="00BC2119">
            <w:pPr>
              <w:pStyle w:val="TableFigText"/>
              <w:jc w:val="right"/>
              <w:rPr>
                <w:b/>
              </w:rPr>
            </w:pPr>
            <w:r w:rsidRPr="00BC2119">
              <w:rPr>
                <w:b/>
              </w:rPr>
              <w:t>158</w:t>
            </w:r>
          </w:p>
        </w:tc>
        <w:tc>
          <w:tcPr>
            <w:tcW w:w="1078" w:type="dxa"/>
          </w:tcPr>
          <w:p w:rsidR="002265C7" w:rsidRPr="00BC2119" w:rsidRDefault="002265C7" w:rsidP="00BC2119">
            <w:pPr>
              <w:pStyle w:val="TableFigText"/>
              <w:jc w:val="right"/>
              <w:rPr>
                <w:b/>
              </w:rPr>
            </w:pPr>
            <w:r w:rsidRPr="00BC2119">
              <w:rPr>
                <w:b/>
              </w:rPr>
              <w:t>7</w:t>
            </w:r>
          </w:p>
        </w:tc>
        <w:tc>
          <w:tcPr>
            <w:tcW w:w="1132" w:type="dxa"/>
          </w:tcPr>
          <w:p w:rsidR="002265C7" w:rsidRPr="00BC2119" w:rsidRDefault="002265C7" w:rsidP="00BC2119">
            <w:pPr>
              <w:pStyle w:val="TableFigText"/>
              <w:jc w:val="right"/>
              <w:rPr>
                <w:b/>
              </w:rPr>
            </w:pPr>
            <w:r w:rsidRPr="00BC2119">
              <w:rPr>
                <w:b/>
              </w:rPr>
              <w:t>2</w:t>
            </w:r>
          </w:p>
        </w:tc>
        <w:tc>
          <w:tcPr>
            <w:tcW w:w="1030" w:type="dxa"/>
          </w:tcPr>
          <w:p w:rsidR="002265C7" w:rsidRPr="00BC2119" w:rsidRDefault="002265C7" w:rsidP="00BC2119">
            <w:pPr>
              <w:pStyle w:val="TableFigText"/>
              <w:jc w:val="right"/>
              <w:rPr>
                <w:b/>
              </w:rPr>
            </w:pPr>
            <w:r w:rsidRPr="00BC2119">
              <w:rPr>
                <w:b/>
              </w:rPr>
              <w:t>1,402</w:t>
            </w:r>
          </w:p>
        </w:tc>
      </w:tr>
    </w:tbl>
    <w:p w:rsidR="002265C7" w:rsidRPr="006876F2" w:rsidRDefault="002265C7" w:rsidP="00540186">
      <w:pPr>
        <w:pStyle w:val="TableSourcefootnotes"/>
        <w:numPr>
          <w:ilvl w:val="0"/>
          <w:numId w:val="74"/>
        </w:numPr>
        <w:rPr>
          <w:rStyle w:val="table-note"/>
        </w:rPr>
      </w:pPr>
      <w:r w:rsidRPr="006876F2">
        <w:rPr>
          <w:rStyle w:val="table-note"/>
        </w:rPr>
        <w:t>Queensland does not fund community-based residential services, but funds both campus and non-campus based extended treatment services.</w:t>
      </w:r>
      <w:r w:rsidRPr="006876F2">
        <w:rPr>
          <w:rStyle w:val="table-note"/>
        </w:rPr>
        <w:tab/>
      </w:r>
    </w:p>
    <w:p w:rsidR="002265C7" w:rsidRPr="00207B28" w:rsidRDefault="002265C7" w:rsidP="002265C7">
      <w:pPr>
        <w:pStyle w:val="AIHWbodytext"/>
        <w:spacing w:before="0" w:after="0" w:line="240" w:lineRule="auto"/>
        <w:rPr>
          <w:rFonts w:asciiTheme="minorHAnsi" w:hAnsiTheme="minorHAnsi" w:cstheme="minorHAnsi"/>
          <w:szCs w:val="22"/>
        </w:rPr>
      </w:pPr>
    </w:p>
    <w:p w:rsidR="002265C7" w:rsidRPr="0096114C" w:rsidRDefault="0096114C" w:rsidP="002265C7">
      <w:pPr>
        <w:pStyle w:val="TableCaption"/>
        <w:rPr>
          <w:rStyle w:val="table-note"/>
        </w:rPr>
      </w:pPr>
      <w:r w:rsidRPr="0096114C">
        <w:rPr>
          <w:rStyle w:val="table-note"/>
        </w:rPr>
        <w:t xml:space="preserve">Table 28: </w:t>
      </w:r>
      <w:r w:rsidR="002265C7" w:rsidRPr="0096114C">
        <w:rPr>
          <w:rStyle w:val="table-note"/>
        </w:rPr>
        <w:t xml:space="preserve">QLD: Full-time-equivalent staff, state and territory specialised mental health care facilities, by staffing category, 2007–08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QLD: Full-time-equivalent staff, state and territory specialised mental health care facilities, by staffing category, 2007–08 "/>
        <w:tblDescription w:val="Table showing, in 2007-08, the number of full-time-equivalent (FTE) staff in specialised mental health care facilities across QLD region types.  Major cities have the highest number of all types of FTE staff at 3,142.2 and very remote have the least at 45.5. Nurses were the highest FTE staff type overall, across all region types, at 2,514.1."/>
      </w:tblPr>
      <w:tblGrid>
        <w:gridCol w:w="2403"/>
        <w:gridCol w:w="1158"/>
        <w:gridCol w:w="1349"/>
        <w:gridCol w:w="1225"/>
        <w:gridCol w:w="1023"/>
        <w:gridCol w:w="1070"/>
        <w:gridCol w:w="1058"/>
      </w:tblGrid>
      <w:tr w:rsidR="002265C7" w:rsidRPr="00B476FB" w:rsidTr="000C3DEA">
        <w:trPr>
          <w:tblHeader/>
        </w:trPr>
        <w:tc>
          <w:tcPr>
            <w:tcW w:w="2403" w:type="dxa"/>
          </w:tcPr>
          <w:p w:rsidR="002265C7" w:rsidRPr="00B476FB" w:rsidRDefault="002265C7" w:rsidP="002265C7">
            <w:pPr>
              <w:pStyle w:val="TableFigText"/>
              <w:keepNext/>
              <w:rPr>
                <w:rFonts w:asciiTheme="minorHAnsi" w:hAnsiTheme="minorHAnsi" w:cstheme="minorHAnsi"/>
                <w:szCs w:val="22"/>
              </w:rPr>
            </w:pPr>
          </w:p>
        </w:tc>
        <w:tc>
          <w:tcPr>
            <w:tcW w:w="1158" w:type="dxa"/>
          </w:tcPr>
          <w:p w:rsidR="002265C7" w:rsidRPr="00B476FB" w:rsidRDefault="002265C7" w:rsidP="002265C7">
            <w:pPr>
              <w:pStyle w:val="TableFigText"/>
              <w:keepNext/>
              <w:jc w:val="right"/>
              <w:rPr>
                <w:rFonts w:asciiTheme="minorHAnsi" w:hAnsiTheme="minorHAnsi" w:cstheme="minorHAnsi"/>
                <w:b/>
                <w:szCs w:val="22"/>
              </w:rPr>
            </w:pPr>
            <w:r w:rsidRPr="00B476FB">
              <w:rPr>
                <w:rFonts w:asciiTheme="minorHAnsi" w:hAnsiTheme="minorHAnsi" w:cstheme="minorHAnsi"/>
                <w:b/>
                <w:szCs w:val="22"/>
              </w:rPr>
              <w:t>Major cities</w:t>
            </w:r>
          </w:p>
        </w:tc>
        <w:tc>
          <w:tcPr>
            <w:tcW w:w="1349" w:type="dxa"/>
          </w:tcPr>
          <w:p w:rsidR="002265C7" w:rsidRPr="00B476FB" w:rsidRDefault="002265C7" w:rsidP="002265C7">
            <w:pPr>
              <w:pStyle w:val="TableFigText"/>
              <w:keepNext/>
              <w:jc w:val="right"/>
              <w:rPr>
                <w:rFonts w:asciiTheme="minorHAnsi" w:hAnsiTheme="minorHAnsi" w:cstheme="minorHAnsi"/>
                <w:b/>
                <w:szCs w:val="22"/>
              </w:rPr>
            </w:pPr>
            <w:r w:rsidRPr="00B476FB">
              <w:rPr>
                <w:rFonts w:asciiTheme="minorHAnsi" w:hAnsiTheme="minorHAnsi" w:cstheme="minorHAnsi"/>
                <w:b/>
                <w:szCs w:val="22"/>
              </w:rPr>
              <w:t>Inner regional</w:t>
            </w:r>
          </w:p>
        </w:tc>
        <w:tc>
          <w:tcPr>
            <w:tcW w:w="1225" w:type="dxa"/>
          </w:tcPr>
          <w:p w:rsidR="002265C7" w:rsidRPr="00B476FB" w:rsidRDefault="002265C7" w:rsidP="002265C7">
            <w:pPr>
              <w:pStyle w:val="TableFigText"/>
              <w:keepNext/>
              <w:jc w:val="right"/>
              <w:rPr>
                <w:rFonts w:asciiTheme="minorHAnsi" w:hAnsiTheme="minorHAnsi" w:cstheme="minorHAnsi"/>
                <w:b/>
                <w:szCs w:val="22"/>
              </w:rPr>
            </w:pPr>
            <w:r w:rsidRPr="00B476FB">
              <w:rPr>
                <w:rFonts w:asciiTheme="minorHAnsi" w:hAnsiTheme="minorHAnsi" w:cstheme="minorHAnsi"/>
                <w:b/>
                <w:szCs w:val="22"/>
              </w:rPr>
              <w:t>Outer regional</w:t>
            </w:r>
          </w:p>
        </w:tc>
        <w:tc>
          <w:tcPr>
            <w:tcW w:w="1023" w:type="dxa"/>
          </w:tcPr>
          <w:p w:rsidR="002265C7" w:rsidRPr="00B476FB" w:rsidRDefault="002265C7" w:rsidP="002265C7">
            <w:pPr>
              <w:pStyle w:val="TableFigText"/>
              <w:keepNext/>
              <w:jc w:val="right"/>
              <w:rPr>
                <w:rFonts w:asciiTheme="minorHAnsi" w:hAnsiTheme="minorHAnsi" w:cstheme="minorHAnsi"/>
                <w:b/>
                <w:szCs w:val="22"/>
              </w:rPr>
            </w:pPr>
            <w:r w:rsidRPr="00B476FB">
              <w:rPr>
                <w:rFonts w:asciiTheme="minorHAnsi" w:hAnsiTheme="minorHAnsi" w:cstheme="minorHAnsi"/>
                <w:b/>
                <w:szCs w:val="22"/>
              </w:rPr>
              <w:t>Remote</w:t>
            </w:r>
          </w:p>
        </w:tc>
        <w:tc>
          <w:tcPr>
            <w:tcW w:w="1070" w:type="dxa"/>
          </w:tcPr>
          <w:p w:rsidR="002265C7" w:rsidRPr="00B476FB" w:rsidRDefault="002265C7" w:rsidP="002265C7">
            <w:pPr>
              <w:pStyle w:val="TableFigText"/>
              <w:keepNext/>
              <w:jc w:val="right"/>
              <w:rPr>
                <w:rFonts w:asciiTheme="minorHAnsi" w:hAnsiTheme="minorHAnsi" w:cstheme="minorHAnsi"/>
                <w:b/>
                <w:szCs w:val="22"/>
              </w:rPr>
            </w:pPr>
            <w:r w:rsidRPr="00B476FB">
              <w:rPr>
                <w:rFonts w:asciiTheme="minorHAnsi" w:hAnsiTheme="minorHAnsi" w:cstheme="minorHAnsi"/>
                <w:b/>
                <w:szCs w:val="22"/>
              </w:rPr>
              <w:t>Very remote</w:t>
            </w:r>
          </w:p>
        </w:tc>
        <w:tc>
          <w:tcPr>
            <w:tcW w:w="1058" w:type="dxa"/>
          </w:tcPr>
          <w:p w:rsidR="002265C7" w:rsidRPr="00B476FB" w:rsidRDefault="002265C7" w:rsidP="002265C7">
            <w:pPr>
              <w:pStyle w:val="TableFigText"/>
              <w:keepNext/>
              <w:jc w:val="right"/>
              <w:rPr>
                <w:rFonts w:asciiTheme="minorHAnsi" w:hAnsiTheme="minorHAnsi" w:cstheme="minorHAnsi"/>
                <w:b/>
                <w:szCs w:val="22"/>
              </w:rPr>
            </w:pPr>
            <w:r w:rsidRPr="00B476FB">
              <w:rPr>
                <w:rFonts w:asciiTheme="minorHAnsi" w:hAnsiTheme="minorHAnsi" w:cstheme="minorHAnsi"/>
                <w:b/>
                <w:szCs w:val="22"/>
              </w:rPr>
              <w:t>Total</w:t>
            </w:r>
            <w:r w:rsidRPr="00E86D05">
              <w:rPr>
                <w:rFonts w:asciiTheme="minorHAnsi" w:hAnsiTheme="minorHAnsi" w:cstheme="minorHAnsi"/>
                <w:b/>
                <w:szCs w:val="22"/>
                <w:vertAlign w:val="superscript"/>
              </w:rPr>
              <w:t>(a)</w:t>
            </w:r>
          </w:p>
        </w:tc>
      </w:tr>
      <w:tr w:rsidR="002265C7" w:rsidRPr="00B476FB" w:rsidTr="002265C7">
        <w:tc>
          <w:tcPr>
            <w:tcW w:w="2403" w:type="dxa"/>
          </w:tcPr>
          <w:p w:rsidR="002265C7" w:rsidRPr="00B476FB" w:rsidRDefault="002265C7" w:rsidP="002265C7">
            <w:pPr>
              <w:pStyle w:val="TableFigText"/>
              <w:keepNext/>
              <w:rPr>
                <w:rFonts w:asciiTheme="minorHAnsi" w:hAnsiTheme="minorHAnsi" w:cstheme="minorHAnsi"/>
                <w:szCs w:val="22"/>
              </w:rPr>
            </w:pPr>
            <w:r w:rsidRPr="00B476FB">
              <w:rPr>
                <w:rFonts w:asciiTheme="minorHAnsi" w:hAnsiTheme="minorHAnsi" w:cstheme="minorHAnsi"/>
                <w:szCs w:val="22"/>
              </w:rPr>
              <w:t>Consultant psychiatrists and psychiatrists</w:t>
            </w:r>
          </w:p>
        </w:tc>
        <w:tc>
          <w:tcPr>
            <w:tcW w:w="1158" w:type="dxa"/>
            <w:vAlign w:val="bottom"/>
          </w:tcPr>
          <w:p w:rsidR="002265C7" w:rsidRPr="00A454F4" w:rsidRDefault="002265C7" w:rsidP="00BC2119">
            <w:pPr>
              <w:pStyle w:val="TableFigText"/>
              <w:jc w:val="right"/>
            </w:pPr>
            <w:r w:rsidRPr="00A454F4">
              <w:t>165.4</w:t>
            </w:r>
          </w:p>
        </w:tc>
        <w:tc>
          <w:tcPr>
            <w:tcW w:w="1349" w:type="dxa"/>
            <w:vAlign w:val="bottom"/>
          </w:tcPr>
          <w:p w:rsidR="002265C7" w:rsidRPr="00A454F4" w:rsidRDefault="002265C7" w:rsidP="00BC2119">
            <w:pPr>
              <w:pStyle w:val="TableFigText"/>
              <w:jc w:val="right"/>
            </w:pPr>
            <w:r w:rsidRPr="00A454F4">
              <w:t>27.8</w:t>
            </w:r>
          </w:p>
        </w:tc>
        <w:tc>
          <w:tcPr>
            <w:tcW w:w="1225" w:type="dxa"/>
            <w:vAlign w:val="bottom"/>
          </w:tcPr>
          <w:p w:rsidR="002265C7" w:rsidRPr="00A454F4" w:rsidRDefault="002265C7" w:rsidP="00BC2119">
            <w:pPr>
              <w:pStyle w:val="TableFigText"/>
              <w:jc w:val="right"/>
            </w:pPr>
            <w:r w:rsidRPr="00A454F4">
              <w:t>38.3</w:t>
            </w:r>
          </w:p>
        </w:tc>
        <w:tc>
          <w:tcPr>
            <w:tcW w:w="1023" w:type="dxa"/>
            <w:vAlign w:val="bottom"/>
          </w:tcPr>
          <w:p w:rsidR="002265C7" w:rsidRPr="00A454F4" w:rsidRDefault="002265C7" w:rsidP="00BC2119">
            <w:pPr>
              <w:pStyle w:val="TableFigText"/>
              <w:jc w:val="right"/>
            </w:pPr>
            <w:r w:rsidRPr="00A454F4">
              <w:t>2.5</w:t>
            </w:r>
          </w:p>
        </w:tc>
        <w:tc>
          <w:tcPr>
            <w:tcW w:w="1070" w:type="dxa"/>
            <w:vAlign w:val="bottom"/>
          </w:tcPr>
          <w:p w:rsidR="002265C7" w:rsidRPr="00A454F4" w:rsidRDefault="002265C7" w:rsidP="00BC2119">
            <w:pPr>
              <w:pStyle w:val="TableFigText"/>
              <w:jc w:val="right"/>
            </w:pPr>
            <w:r w:rsidRPr="00A454F4">
              <w:t>1.2</w:t>
            </w:r>
          </w:p>
        </w:tc>
        <w:tc>
          <w:tcPr>
            <w:tcW w:w="1058" w:type="dxa"/>
            <w:vAlign w:val="bottom"/>
          </w:tcPr>
          <w:p w:rsidR="002265C7" w:rsidRPr="00A454F4" w:rsidRDefault="002265C7" w:rsidP="00BC2119">
            <w:pPr>
              <w:pStyle w:val="TableFigText"/>
              <w:jc w:val="right"/>
            </w:pPr>
            <w:r w:rsidRPr="00A454F4">
              <w:t>235.2</w:t>
            </w:r>
          </w:p>
        </w:tc>
      </w:tr>
      <w:tr w:rsidR="002265C7" w:rsidRPr="00B476FB" w:rsidTr="002265C7">
        <w:tc>
          <w:tcPr>
            <w:tcW w:w="2403" w:type="dxa"/>
          </w:tcPr>
          <w:p w:rsidR="002265C7" w:rsidRPr="00B476FB" w:rsidRDefault="002265C7" w:rsidP="002265C7">
            <w:pPr>
              <w:pStyle w:val="TableFigText"/>
              <w:keepNext/>
              <w:rPr>
                <w:rFonts w:asciiTheme="minorHAnsi" w:hAnsiTheme="minorHAnsi" w:cstheme="minorHAnsi"/>
                <w:szCs w:val="22"/>
              </w:rPr>
            </w:pPr>
            <w:r w:rsidRPr="00B476FB">
              <w:rPr>
                <w:rFonts w:asciiTheme="minorHAnsi" w:hAnsiTheme="minorHAnsi" w:cstheme="minorHAnsi"/>
                <w:szCs w:val="22"/>
              </w:rPr>
              <w:t>Psychiatry registrars and trainees</w:t>
            </w:r>
          </w:p>
        </w:tc>
        <w:tc>
          <w:tcPr>
            <w:tcW w:w="1158" w:type="dxa"/>
            <w:vAlign w:val="bottom"/>
          </w:tcPr>
          <w:p w:rsidR="002265C7" w:rsidRPr="00A454F4" w:rsidRDefault="002265C7" w:rsidP="00BC2119">
            <w:pPr>
              <w:pStyle w:val="TableFigText"/>
              <w:jc w:val="right"/>
            </w:pPr>
            <w:r w:rsidRPr="00A454F4">
              <w:t>182.4</w:t>
            </w:r>
          </w:p>
        </w:tc>
        <w:tc>
          <w:tcPr>
            <w:tcW w:w="1349" w:type="dxa"/>
            <w:vAlign w:val="bottom"/>
          </w:tcPr>
          <w:p w:rsidR="002265C7" w:rsidRPr="00A454F4" w:rsidRDefault="002265C7" w:rsidP="00BC2119">
            <w:pPr>
              <w:pStyle w:val="TableFigText"/>
              <w:jc w:val="right"/>
            </w:pPr>
            <w:r w:rsidRPr="00A454F4">
              <w:t>23.5</w:t>
            </w:r>
          </w:p>
        </w:tc>
        <w:tc>
          <w:tcPr>
            <w:tcW w:w="1225" w:type="dxa"/>
            <w:vAlign w:val="bottom"/>
          </w:tcPr>
          <w:p w:rsidR="002265C7" w:rsidRPr="00A454F4" w:rsidRDefault="002265C7" w:rsidP="00BC2119">
            <w:pPr>
              <w:pStyle w:val="TableFigText"/>
              <w:jc w:val="right"/>
            </w:pPr>
            <w:r w:rsidRPr="00A454F4">
              <w:t>24.7</w:t>
            </w:r>
          </w:p>
        </w:tc>
        <w:tc>
          <w:tcPr>
            <w:tcW w:w="1023" w:type="dxa"/>
            <w:vAlign w:val="bottom"/>
          </w:tcPr>
          <w:p w:rsidR="002265C7" w:rsidRPr="00A454F4" w:rsidRDefault="002265C7" w:rsidP="00BC2119">
            <w:pPr>
              <w:pStyle w:val="TableFigText"/>
              <w:jc w:val="right"/>
            </w:pPr>
            <w:r w:rsidRPr="00A454F4">
              <w:t>1.1</w:t>
            </w:r>
          </w:p>
        </w:tc>
        <w:tc>
          <w:tcPr>
            <w:tcW w:w="1070" w:type="dxa"/>
            <w:vAlign w:val="bottom"/>
          </w:tcPr>
          <w:p w:rsidR="002265C7" w:rsidRPr="00A454F4" w:rsidRDefault="002265C7" w:rsidP="00BC2119">
            <w:pPr>
              <w:pStyle w:val="TableFigText"/>
              <w:jc w:val="right"/>
            </w:pPr>
            <w:r w:rsidRPr="00A454F4">
              <w:t>0.2</w:t>
            </w:r>
          </w:p>
        </w:tc>
        <w:tc>
          <w:tcPr>
            <w:tcW w:w="1058" w:type="dxa"/>
            <w:vAlign w:val="bottom"/>
          </w:tcPr>
          <w:p w:rsidR="002265C7" w:rsidRPr="00A454F4" w:rsidRDefault="002265C7" w:rsidP="00BC2119">
            <w:pPr>
              <w:pStyle w:val="TableFigText"/>
              <w:jc w:val="right"/>
            </w:pPr>
            <w:r w:rsidRPr="00A454F4">
              <w:t>231.9</w:t>
            </w:r>
          </w:p>
        </w:tc>
      </w:tr>
      <w:tr w:rsidR="002265C7" w:rsidRPr="00B476FB" w:rsidTr="002265C7">
        <w:tc>
          <w:tcPr>
            <w:tcW w:w="2403" w:type="dxa"/>
          </w:tcPr>
          <w:p w:rsidR="002265C7" w:rsidRPr="00B476FB" w:rsidRDefault="002265C7" w:rsidP="002265C7">
            <w:pPr>
              <w:pStyle w:val="TableFigText"/>
              <w:keepNext/>
              <w:rPr>
                <w:rFonts w:asciiTheme="minorHAnsi" w:hAnsiTheme="minorHAnsi" w:cstheme="minorHAnsi"/>
                <w:szCs w:val="22"/>
              </w:rPr>
            </w:pPr>
            <w:r w:rsidRPr="00B476FB">
              <w:rPr>
                <w:rFonts w:asciiTheme="minorHAnsi" w:hAnsiTheme="minorHAnsi" w:cstheme="minorHAnsi"/>
                <w:szCs w:val="22"/>
              </w:rPr>
              <w:t>Other medical officers</w:t>
            </w:r>
          </w:p>
        </w:tc>
        <w:tc>
          <w:tcPr>
            <w:tcW w:w="1158" w:type="dxa"/>
            <w:vAlign w:val="bottom"/>
          </w:tcPr>
          <w:p w:rsidR="002265C7" w:rsidRPr="00A454F4" w:rsidRDefault="002265C7" w:rsidP="00BC2119">
            <w:pPr>
              <w:pStyle w:val="TableFigText"/>
              <w:jc w:val="right"/>
            </w:pPr>
            <w:r w:rsidRPr="00A454F4">
              <w:t>11.7</w:t>
            </w:r>
          </w:p>
        </w:tc>
        <w:tc>
          <w:tcPr>
            <w:tcW w:w="1349" w:type="dxa"/>
            <w:vAlign w:val="bottom"/>
          </w:tcPr>
          <w:p w:rsidR="002265C7" w:rsidRPr="00A454F4" w:rsidRDefault="002265C7" w:rsidP="00BC2119">
            <w:pPr>
              <w:pStyle w:val="TableFigText"/>
              <w:jc w:val="right"/>
            </w:pPr>
            <w:r w:rsidRPr="00A454F4">
              <w:t>10.1</w:t>
            </w:r>
          </w:p>
        </w:tc>
        <w:tc>
          <w:tcPr>
            <w:tcW w:w="1225" w:type="dxa"/>
            <w:vAlign w:val="bottom"/>
          </w:tcPr>
          <w:p w:rsidR="002265C7" w:rsidRPr="00A454F4" w:rsidRDefault="002265C7" w:rsidP="00BC2119">
            <w:pPr>
              <w:pStyle w:val="TableFigText"/>
              <w:jc w:val="right"/>
            </w:pPr>
            <w:r w:rsidRPr="00A454F4">
              <w:t>13.3</w:t>
            </w:r>
          </w:p>
        </w:tc>
        <w:tc>
          <w:tcPr>
            <w:tcW w:w="1023" w:type="dxa"/>
            <w:vAlign w:val="bottom"/>
          </w:tcPr>
          <w:p w:rsidR="002265C7" w:rsidRPr="00A454F4" w:rsidRDefault="002265C7" w:rsidP="00BC2119">
            <w:pPr>
              <w:pStyle w:val="TableFigText"/>
              <w:jc w:val="right"/>
            </w:pPr>
            <w:r w:rsidRPr="00A454F4">
              <w:t>1.1</w:t>
            </w:r>
          </w:p>
        </w:tc>
        <w:tc>
          <w:tcPr>
            <w:tcW w:w="1070" w:type="dxa"/>
            <w:vAlign w:val="bottom"/>
          </w:tcPr>
          <w:p w:rsidR="002265C7" w:rsidRPr="00A454F4" w:rsidRDefault="002265C7" w:rsidP="00BC2119">
            <w:pPr>
              <w:pStyle w:val="TableFigText"/>
              <w:jc w:val="right"/>
            </w:pPr>
            <w:r w:rsidRPr="00A454F4">
              <w:t>0.3</w:t>
            </w:r>
          </w:p>
        </w:tc>
        <w:tc>
          <w:tcPr>
            <w:tcW w:w="1058" w:type="dxa"/>
            <w:vAlign w:val="bottom"/>
          </w:tcPr>
          <w:p w:rsidR="002265C7" w:rsidRPr="00A454F4" w:rsidRDefault="002265C7" w:rsidP="00BC2119">
            <w:pPr>
              <w:pStyle w:val="TableFigText"/>
              <w:jc w:val="right"/>
            </w:pPr>
            <w:r w:rsidRPr="00A454F4">
              <w:t>36.6</w:t>
            </w:r>
          </w:p>
        </w:tc>
      </w:tr>
      <w:tr w:rsidR="002265C7" w:rsidRPr="00B476FB" w:rsidTr="002265C7">
        <w:tc>
          <w:tcPr>
            <w:tcW w:w="2403" w:type="dxa"/>
          </w:tcPr>
          <w:p w:rsidR="002265C7" w:rsidRPr="00B476FB" w:rsidRDefault="002265C7" w:rsidP="002265C7">
            <w:pPr>
              <w:pStyle w:val="TableFigText"/>
              <w:keepNext/>
              <w:rPr>
                <w:rFonts w:asciiTheme="minorHAnsi" w:hAnsiTheme="minorHAnsi" w:cstheme="minorHAnsi"/>
                <w:szCs w:val="22"/>
              </w:rPr>
            </w:pPr>
            <w:r w:rsidRPr="00B476FB">
              <w:rPr>
                <w:rFonts w:asciiTheme="minorHAnsi" w:hAnsiTheme="minorHAnsi" w:cstheme="minorHAnsi"/>
                <w:szCs w:val="22"/>
              </w:rPr>
              <w:t>Psychologists</w:t>
            </w:r>
          </w:p>
        </w:tc>
        <w:tc>
          <w:tcPr>
            <w:tcW w:w="1158" w:type="dxa"/>
            <w:vAlign w:val="bottom"/>
          </w:tcPr>
          <w:p w:rsidR="002265C7" w:rsidRPr="00A454F4" w:rsidRDefault="002265C7" w:rsidP="00BC2119">
            <w:pPr>
              <w:pStyle w:val="TableFigText"/>
              <w:jc w:val="right"/>
            </w:pPr>
            <w:r w:rsidRPr="00A454F4">
              <w:t>250.4</w:t>
            </w:r>
          </w:p>
        </w:tc>
        <w:tc>
          <w:tcPr>
            <w:tcW w:w="1349" w:type="dxa"/>
            <w:vAlign w:val="bottom"/>
          </w:tcPr>
          <w:p w:rsidR="002265C7" w:rsidRPr="00A454F4" w:rsidRDefault="002265C7" w:rsidP="00BC2119">
            <w:pPr>
              <w:pStyle w:val="TableFigText"/>
              <w:jc w:val="right"/>
            </w:pPr>
            <w:r w:rsidRPr="00A454F4">
              <w:t>60.3</w:t>
            </w:r>
          </w:p>
        </w:tc>
        <w:tc>
          <w:tcPr>
            <w:tcW w:w="1225" w:type="dxa"/>
            <w:vAlign w:val="bottom"/>
          </w:tcPr>
          <w:p w:rsidR="002265C7" w:rsidRPr="00A454F4" w:rsidRDefault="002265C7" w:rsidP="00BC2119">
            <w:pPr>
              <w:pStyle w:val="TableFigText"/>
              <w:jc w:val="right"/>
            </w:pPr>
            <w:r w:rsidRPr="00A454F4">
              <w:t>76.7</w:t>
            </w:r>
          </w:p>
        </w:tc>
        <w:tc>
          <w:tcPr>
            <w:tcW w:w="1023" w:type="dxa"/>
            <w:vAlign w:val="bottom"/>
          </w:tcPr>
          <w:p w:rsidR="002265C7" w:rsidRPr="00A454F4" w:rsidRDefault="002265C7" w:rsidP="00BC2119">
            <w:pPr>
              <w:pStyle w:val="TableFigText"/>
              <w:jc w:val="right"/>
            </w:pPr>
            <w:r w:rsidRPr="00A454F4">
              <w:t>5.5</w:t>
            </w:r>
          </w:p>
        </w:tc>
        <w:tc>
          <w:tcPr>
            <w:tcW w:w="1070" w:type="dxa"/>
            <w:vAlign w:val="bottom"/>
          </w:tcPr>
          <w:p w:rsidR="002265C7" w:rsidRPr="00A454F4" w:rsidRDefault="002265C7" w:rsidP="00BC2119">
            <w:pPr>
              <w:pStyle w:val="TableFigText"/>
              <w:jc w:val="right"/>
            </w:pPr>
            <w:r w:rsidRPr="00A454F4">
              <w:t>2.7</w:t>
            </w:r>
          </w:p>
        </w:tc>
        <w:tc>
          <w:tcPr>
            <w:tcW w:w="1058" w:type="dxa"/>
            <w:vAlign w:val="bottom"/>
          </w:tcPr>
          <w:p w:rsidR="002265C7" w:rsidRPr="00A454F4" w:rsidRDefault="002265C7" w:rsidP="00BC2119">
            <w:pPr>
              <w:pStyle w:val="TableFigText"/>
              <w:jc w:val="right"/>
            </w:pPr>
            <w:r w:rsidRPr="00A454F4">
              <w:t>395.5</w:t>
            </w:r>
          </w:p>
        </w:tc>
      </w:tr>
      <w:tr w:rsidR="002265C7" w:rsidRPr="00B476FB" w:rsidTr="002265C7">
        <w:tc>
          <w:tcPr>
            <w:tcW w:w="2403" w:type="dxa"/>
          </w:tcPr>
          <w:p w:rsidR="002265C7" w:rsidRPr="00B476FB" w:rsidRDefault="002265C7" w:rsidP="002265C7">
            <w:pPr>
              <w:pStyle w:val="TableFigText"/>
              <w:keepNext/>
              <w:rPr>
                <w:rFonts w:asciiTheme="minorHAnsi" w:hAnsiTheme="minorHAnsi" w:cstheme="minorHAnsi"/>
                <w:szCs w:val="22"/>
              </w:rPr>
            </w:pPr>
            <w:r w:rsidRPr="00B476FB">
              <w:rPr>
                <w:rFonts w:asciiTheme="minorHAnsi" w:hAnsiTheme="minorHAnsi" w:cstheme="minorHAnsi"/>
                <w:szCs w:val="22"/>
              </w:rPr>
              <w:t>Diagnostic and health professionals</w:t>
            </w:r>
            <w:r w:rsidRPr="00B476FB">
              <w:rPr>
                <w:rFonts w:asciiTheme="minorHAnsi" w:hAnsiTheme="minorHAnsi" w:cstheme="minorHAnsi"/>
                <w:szCs w:val="22"/>
                <w:vertAlign w:val="superscript"/>
              </w:rPr>
              <w:t>(b)</w:t>
            </w:r>
          </w:p>
        </w:tc>
        <w:tc>
          <w:tcPr>
            <w:tcW w:w="1158" w:type="dxa"/>
            <w:vAlign w:val="bottom"/>
          </w:tcPr>
          <w:p w:rsidR="002265C7" w:rsidRPr="00A454F4" w:rsidRDefault="002265C7" w:rsidP="00BC2119">
            <w:pPr>
              <w:pStyle w:val="TableFigText"/>
              <w:jc w:val="right"/>
            </w:pPr>
            <w:r w:rsidRPr="00A454F4">
              <w:t>405.3</w:t>
            </w:r>
          </w:p>
        </w:tc>
        <w:tc>
          <w:tcPr>
            <w:tcW w:w="1349" w:type="dxa"/>
            <w:vAlign w:val="bottom"/>
          </w:tcPr>
          <w:p w:rsidR="002265C7" w:rsidRPr="00A454F4" w:rsidRDefault="002265C7" w:rsidP="00BC2119">
            <w:pPr>
              <w:pStyle w:val="TableFigText"/>
              <w:jc w:val="right"/>
            </w:pPr>
            <w:r w:rsidRPr="00A454F4">
              <w:t>79.0</w:t>
            </w:r>
          </w:p>
        </w:tc>
        <w:tc>
          <w:tcPr>
            <w:tcW w:w="1225" w:type="dxa"/>
            <w:vAlign w:val="bottom"/>
          </w:tcPr>
          <w:p w:rsidR="002265C7" w:rsidRPr="00A454F4" w:rsidRDefault="002265C7" w:rsidP="00BC2119">
            <w:pPr>
              <w:pStyle w:val="TableFigText"/>
              <w:jc w:val="right"/>
            </w:pPr>
            <w:r w:rsidRPr="00A454F4">
              <w:t>108.0</w:t>
            </w:r>
          </w:p>
        </w:tc>
        <w:tc>
          <w:tcPr>
            <w:tcW w:w="1023" w:type="dxa"/>
            <w:vAlign w:val="bottom"/>
          </w:tcPr>
          <w:p w:rsidR="002265C7" w:rsidRPr="00A454F4" w:rsidRDefault="002265C7" w:rsidP="00BC2119">
            <w:pPr>
              <w:pStyle w:val="TableFigText"/>
              <w:jc w:val="right"/>
            </w:pPr>
            <w:r w:rsidRPr="00A454F4">
              <w:t>9.0</w:t>
            </w:r>
          </w:p>
        </w:tc>
        <w:tc>
          <w:tcPr>
            <w:tcW w:w="1070" w:type="dxa"/>
            <w:vAlign w:val="bottom"/>
          </w:tcPr>
          <w:p w:rsidR="002265C7" w:rsidRPr="00A454F4" w:rsidRDefault="002265C7" w:rsidP="00BC2119">
            <w:pPr>
              <w:pStyle w:val="TableFigText"/>
              <w:jc w:val="right"/>
            </w:pPr>
            <w:r w:rsidRPr="00A454F4">
              <w:t>8.4</w:t>
            </w:r>
          </w:p>
        </w:tc>
        <w:tc>
          <w:tcPr>
            <w:tcW w:w="1058" w:type="dxa"/>
            <w:vAlign w:val="bottom"/>
          </w:tcPr>
          <w:p w:rsidR="002265C7" w:rsidRPr="00A454F4" w:rsidRDefault="002265C7" w:rsidP="00BC2119">
            <w:pPr>
              <w:pStyle w:val="TableFigText"/>
              <w:jc w:val="right"/>
            </w:pPr>
            <w:r w:rsidRPr="00A454F4">
              <w:t>609.7</w:t>
            </w:r>
          </w:p>
        </w:tc>
      </w:tr>
      <w:tr w:rsidR="002265C7" w:rsidRPr="00B476FB" w:rsidTr="002265C7">
        <w:tc>
          <w:tcPr>
            <w:tcW w:w="2403" w:type="dxa"/>
          </w:tcPr>
          <w:p w:rsidR="002265C7" w:rsidRPr="00B476FB" w:rsidRDefault="002265C7" w:rsidP="002265C7">
            <w:pPr>
              <w:pStyle w:val="TableFigText"/>
              <w:keepNext/>
              <w:rPr>
                <w:rFonts w:asciiTheme="minorHAnsi" w:hAnsiTheme="minorHAnsi" w:cstheme="minorHAnsi"/>
                <w:szCs w:val="22"/>
              </w:rPr>
            </w:pPr>
            <w:r w:rsidRPr="00B476FB">
              <w:rPr>
                <w:rFonts w:asciiTheme="minorHAnsi" w:hAnsiTheme="minorHAnsi" w:cstheme="minorHAnsi"/>
                <w:szCs w:val="22"/>
              </w:rPr>
              <w:t>Nurses</w:t>
            </w:r>
            <w:r w:rsidRPr="00B476FB">
              <w:rPr>
                <w:rFonts w:asciiTheme="minorHAnsi" w:hAnsiTheme="minorHAnsi" w:cstheme="minorHAnsi"/>
                <w:szCs w:val="22"/>
                <w:vertAlign w:val="superscript"/>
              </w:rPr>
              <w:t>(c)</w:t>
            </w:r>
          </w:p>
        </w:tc>
        <w:tc>
          <w:tcPr>
            <w:tcW w:w="1158" w:type="dxa"/>
            <w:vAlign w:val="bottom"/>
          </w:tcPr>
          <w:p w:rsidR="002265C7" w:rsidRPr="00A454F4" w:rsidRDefault="002265C7" w:rsidP="00BC2119">
            <w:pPr>
              <w:pStyle w:val="TableFigText"/>
              <w:jc w:val="right"/>
            </w:pPr>
            <w:r w:rsidRPr="00A454F4">
              <w:t>1,567.6</w:t>
            </w:r>
          </w:p>
        </w:tc>
        <w:tc>
          <w:tcPr>
            <w:tcW w:w="1349" w:type="dxa"/>
            <w:vAlign w:val="bottom"/>
          </w:tcPr>
          <w:p w:rsidR="002265C7" w:rsidRPr="00A454F4" w:rsidRDefault="002265C7" w:rsidP="00BC2119">
            <w:pPr>
              <w:pStyle w:val="TableFigText"/>
              <w:jc w:val="right"/>
            </w:pPr>
            <w:r w:rsidRPr="00A454F4">
              <w:t>434.7</w:t>
            </w:r>
          </w:p>
        </w:tc>
        <w:tc>
          <w:tcPr>
            <w:tcW w:w="1225" w:type="dxa"/>
            <w:vAlign w:val="bottom"/>
          </w:tcPr>
          <w:p w:rsidR="002265C7" w:rsidRPr="00A454F4" w:rsidRDefault="002265C7" w:rsidP="00BC2119">
            <w:pPr>
              <w:pStyle w:val="TableFigText"/>
              <w:jc w:val="right"/>
            </w:pPr>
            <w:r w:rsidRPr="00A454F4">
              <w:t>464.3</w:t>
            </w:r>
          </w:p>
        </w:tc>
        <w:tc>
          <w:tcPr>
            <w:tcW w:w="1023" w:type="dxa"/>
            <w:vAlign w:val="bottom"/>
          </w:tcPr>
          <w:p w:rsidR="002265C7" w:rsidRPr="00A454F4" w:rsidRDefault="002265C7" w:rsidP="00BC2119">
            <w:pPr>
              <w:pStyle w:val="TableFigText"/>
              <w:jc w:val="right"/>
            </w:pPr>
            <w:r w:rsidRPr="00A454F4">
              <w:t>30.4</w:t>
            </w:r>
          </w:p>
        </w:tc>
        <w:tc>
          <w:tcPr>
            <w:tcW w:w="1070" w:type="dxa"/>
            <w:vAlign w:val="bottom"/>
          </w:tcPr>
          <w:p w:rsidR="002265C7" w:rsidRPr="00A454F4" w:rsidRDefault="002265C7" w:rsidP="00BC2119">
            <w:pPr>
              <w:pStyle w:val="TableFigText"/>
              <w:jc w:val="right"/>
            </w:pPr>
            <w:r w:rsidRPr="00A454F4">
              <w:t>17.1</w:t>
            </w:r>
          </w:p>
        </w:tc>
        <w:tc>
          <w:tcPr>
            <w:tcW w:w="1058" w:type="dxa"/>
            <w:vAlign w:val="bottom"/>
          </w:tcPr>
          <w:p w:rsidR="002265C7" w:rsidRPr="00A454F4" w:rsidRDefault="002265C7" w:rsidP="00BC2119">
            <w:pPr>
              <w:pStyle w:val="TableFigText"/>
              <w:jc w:val="right"/>
            </w:pPr>
            <w:r w:rsidRPr="00A454F4">
              <w:t>2,514.1</w:t>
            </w:r>
          </w:p>
        </w:tc>
      </w:tr>
      <w:tr w:rsidR="002265C7" w:rsidRPr="00B476FB" w:rsidTr="002265C7">
        <w:tc>
          <w:tcPr>
            <w:tcW w:w="2403" w:type="dxa"/>
          </w:tcPr>
          <w:p w:rsidR="002265C7" w:rsidRPr="00B476FB" w:rsidRDefault="002265C7" w:rsidP="002265C7">
            <w:pPr>
              <w:pStyle w:val="TableFigText"/>
              <w:keepNext/>
              <w:rPr>
                <w:rFonts w:asciiTheme="minorHAnsi" w:hAnsiTheme="minorHAnsi" w:cstheme="minorHAnsi"/>
                <w:szCs w:val="22"/>
              </w:rPr>
            </w:pPr>
            <w:r w:rsidRPr="00B476FB">
              <w:rPr>
                <w:rFonts w:asciiTheme="minorHAnsi" w:hAnsiTheme="minorHAnsi" w:cstheme="minorHAnsi"/>
                <w:szCs w:val="22"/>
              </w:rPr>
              <w:t>Carer workers</w:t>
            </w:r>
            <w:r w:rsidRPr="00B476FB">
              <w:rPr>
                <w:rFonts w:asciiTheme="minorHAnsi" w:hAnsiTheme="minorHAnsi" w:cstheme="minorHAnsi"/>
                <w:szCs w:val="22"/>
                <w:vertAlign w:val="superscript"/>
              </w:rPr>
              <w:t>(d)</w:t>
            </w:r>
          </w:p>
        </w:tc>
        <w:tc>
          <w:tcPr>
            <w:tcW w:w="1158" w:type="dxa"/>
            <w:vAlign w:val="bottom"/>
          </w:tcPr>
          <w:p w:rsidR="002265C7" w:rsidRPr="00A454F4" w:rsidRDefault="002265C7" w:rsidP="00BC2119">
            <w:pPr>
              <w:pStyle w:val="TableFigText"/>
              <w:jc w:val="right"/>
            </w:pPr>
            <w:r w:rsidRPr="00A454F4">
              <w:t>1.1</w:t>
            </w:r>
          </w:p>
        </w:tc>
        <w:tc>
          <w:tcPr>
            <w:tcW w:w="1349" w:type="dxa"/>
            <w:vAlign w:val="bottom"/>
          </w:tcPr>
          <w:p w:rsidR="002265C7" w:rsidRPr="00A454F4" w:rsidRDefault="002265C7" w:rsidP="00BC2119">
            <w:pPr>
              <w:pStyle w:val="TableFigText"/>
              <w:jc w:val="right"/>
            </w:pPr>
            <w:r w:rsidRPr="00A454F4">
              <w:t>0.3</w:t>
            </w:r>
          </w:p>
        </w:tc>
        <w:tc>
          <w:tcPr>
            <w:tcW w:w="1225" w:type="dxa"/>
            <w:vAlign w:val="bottom"/>
          </w:tcPr>
          <w:p w:rsidR="002265C7" w:rsidRPr="00A454F4" w:rsidRDefault="002265C7" w:rsidP="00BC2119">
            <w:pPr>
              <w:pStyle w:val="TableFigText"/>
              <w:jc w:val="right"/>
            </w:pPr>
            <w:r w:rsidRPr="00A454F4">
              <w:t>0.1</w:t>
            </w:r>
          </w:p>
        </w:tc>
        <w:tc>
          <w:tcPr>
            <w:tcW w:w="1023" w:type="dxa"/>
            <w:vAlign w:val="bottom"/>
          </w:tcPr>
          <w:p w:rsidR="002265C7" w:rsidRPr="00A454F4" w:rsidRDefault="002265C7" w:rsidP="00BC2119">
            <w:pPr>
              <w:pStyle w:val="TableFigText"/>
              <w:jc w:val="right"/>
            </w:pPr>
            <w:r w:rsidRPr="00A454F4">
              <w:t>0.0</w:t>
            </w:r>
          </w:p>
        </w:tc>
        <w:tc>
          <w:tcPr>
            <w:tcW w:w="1070" w:type="dxa"/>
            <w:vAlign w:val="bottom"/>
          </w:tcPr>
          <w:p w:rsidR="002265C7" w:rsidRPr="00A454F4" w:rsidRDefault="002265C7" w:rsidP="00BC2119">
            <w:pPr>
              <w:pStyle w:val="TableFigText"/>
              <w:jc w:val="right"/>
            </w:pPr>
            <w:r w:rsidRPr="00A454F4">
              <w:t>0.0</w:t>
            </w:r>
          </w:p>
        </w:tc>
        <w:tc>
          <w:tcPr>
            <w:tcW w:w="1058" w:type="dxa"/>
            <w:vAlign w:val="bottom"/>
          </w:tcPr>
          <w:p w:rsidR="002265C7" w:rsidRPr="00A454F4" w:rsidRDefault="002265C7" w:rsidP="00BC2119">
            <w:pPr>
              <w:pStyle w:val="TableFigText"/>
              <w:jc w:val="right"/>
            </w:pPr>
            <w:r w:rsidRPr="00A454F4">
              <w:t>1.5</w:t>
            </w:r>
          </w:p>
        </w:tc>
      </w:tr>
      <w:tr w:rsidR="002265C7" w:rsidRPr="00B476FB" w:rsidTr="002265C7">
        <w:tc>
          <w:tcPr>
            <w:tcW w:w="2403" w:type="dxa"/>
          </w:tcPr>
          <w:p w:rsidR="002265C7" w:rsidRPr="00B476FB" w:rsidRDefault="002265C7" w:rsidP="002265C7">
            <w:pPr>
              <w:pStyle w:val="TableFigText"/>
              <w:keepNext/>
              <w:rPr>
                <w:rFonts w:asciiTheme="minorHAnsi" w:hAnsiTheme="minorHAnsi" w:cstheme="minorHAnsi"/>
                <w:szCs w:val="22"/>
              </w:rPr>
            </w:pPr>
            <w:r w:rsidRPr="00B476FB">
              <w:rPr>
                <w:rFonts w:asciiTheme="minorHAnsi" w:hAnsiTheme="minorHAnsi" w:cstheme="minorHAnsi"/>
                <w:szCs w:val="22"/>
              </w:rPr>
              <w:t>Consumer workers</w:t>
            </w:r>
            <w:r w:rsidRPr="00B476FB">
              <w:rPr>
                <w:rFonts w:asciiTheme="minorHAnsi" w:hAnsiTheme="minorHAnsi" w:cstheme="minorHAnsi"/>
                <w:szCs w:val="22"/>
                <w:vertAlign w:val="superscript"/>
              </w:rPr>
              <w:t>(d)</w:t>
            </w:r>
          </w:p>
        </w:tc>
        <w:tc>
          <w:tcPr>
            <w:tcW w:w="1158" w:type="dxa"/>
            <w:vAlign w:val="bottom"/>
          </w:tcPr>
          <w:p w:rsidR="002265C7" w:rsidRPr="00A454F4" w:rsidRDefault="002265C7" w:rsidP="00BC2119">
            <w:pPr>
              <w:pStyle w:val="TableFigText"/>
              <w:jc w:val="right"/>
            </w:pPr>
            <w:r w:rsidRPr="00A454F4">
              <w:t>7.2</w:t>
            </w:r>
          </w:p>
        </w:tc>
        <w:tc>
          <w:tcPr>
            <w:tcW w:w="1349" w:type="dxa"/>
            <w:vAlign w:val="bottom"/>
          </w:tcPr>
          <w:p w:rsidR="002265C7" w:rsidRPr="00A454F4" w:rsidRDefault="002265C7" w:rsidP="00BC2119">
            <w:pPr>
              <w:pStyle w:val="TableFigText"/>
              <w:jc w:val="right"/>
            </w:pPr>
            <w:r w:rsidRPr="00A454F4">
              <w:t>1.0</w:t>
            </w:r>
          </w:p>
        </w:tc>
        <w:tc>
          <w:tcPr>
            <w:tcW w:w="1225" w:type="dxa"/>
            <w:vAlign w:val="bottom"/>
          </w:tcPr>
          <w:p w:rsidR="002265C7" w:rsidRPr="00A454F4" w:rsidRDefault="002265C7" w:rsidP="00BC2119">
            <w:pPr>
              <w:pStyle w:val="TableFigText"/>
              <w:jc w:val="right"/>
            </w:pPr>
            <w:r w:rsidRPr="00A454F4">
              <w:t>1.4</w:t>
            </w:r>
          </w:p>
        </w:tc>
        <w:tc>
          <w:tcPr>
            <w:tcW w:w="1023" w:type="dxa"/>
            <w:vAlign w:val="bottom"/>
          </w:tcPr>
          <w:p w:rsidR="002265C7" w:rsidRPr="00A454F4" w:rsidRDefault="002265C7" w:rsidP="00BC2119">
            <w:pPr>
              <w:pStyle w:val="TableFigText"/>
              <w:jc w:val="right"/>
            </w:pPr>
            <w:r w:rsidRPr="00A454F4">
              <w:t>0.1</w:t>
            </w:r>
          </w:p>
        </w:tc>
        <w:tc>
          <w:tcPr>
            <w:tcW w:w="1070" w:type="dxa"/>
            <w:vAlign w:val="bottom"/>
          </w:tcPr>
          <w:p w:rsidR="002265C7" w:rsidRPr="00A454F4" w:rsidRDefault="002265C7" w:rsidP="00BC2119">
            <w:pPr>
              <w:pStyle w:val="TableFigText"/>
              <w:jc w:val="right"/>
            </w:pPr>
            <w:r w:rsidRPr="00A454F4">
              <w:t>0.0</w:t>
            </w:r>
          </w:p>
        </w:tc>
        <w:tc>
          <w:tcPr>
            <w:tcW w:w="1058" w:type="dxa"/>
            <w:vAlign w:val="bottom"/>
          </w:tcPr>
          <w:p w:rsidR="002265C7" w:rsidRPr="00A454F4" w:rsidRDefault="002265C7" w:rsidP="00BC2119">
            <w:pPr>
              <w:pStyle w:val="TableFigText"/>
              <w:jc w:val="right"/>
            </w:pPr>
            <w:r w:rsidRPr="00A454F4">
              <w:t>9.7</w:t>
            </w:r>
          </w:p>
        </w:tc>
      </w:tr>
      <w:tr w:rsidR="002265C7" w:rsidRPr="00B476FB" w:rsidTr="002265C7">
        <w:tc>
          <w:tcPr>
            <w:tcW w:w="2403" w:type="dxa"/>
          </w:tcPr>
          <w:p w:rsidR="002265C7" w:rsidRPr="00B476FB" w:rsidRDefault="002265C7" w:rsidP="002265C7">
            <w:pPr>
              <w:pStyle w:val="TableFigText"/>
              <w:keepNext/>
              <w:rPr>
                <w:rFonts w:asciiTheme="minorHAnsi" w:hAnsiTheme="minorHAnsi" w:cstheme="minorHAnsi"/>
                <w:szCs w:val="22"/>
              </w:rPr>
            </w:pPr>
            <w:r w:rsidRPr="00B476FB">
              <w:rPr>
                <w:rFonts w:asciiTheme="minorHAnsi" w:hAnsiTheme="minorHAnsi" w:cstheme="minorHAnsi"/>
                <w:szCs w:val="22"/>
              </w:rPr>
              <w:t>Other personal care</w:t>
            </w:r>
            <w:r w:rsidRPr="00B476FB">
              <w:rPr>
                <w:rFonts w:asciiTheme="minorHAnsi" w:hAnsiTheme="minorHAnsi" w:cstheme="minorHAnsi"/>
                <w:szCs w:val="22"/>
                <w:vertAlign w:val="superscript"/>
              </w:rPr>
              <w:t>(e)</w:t>
            </w:r>
          </w:p>
        </w:tc>
        <w:tc>
          <w:tcPr>
            <w:tcW w:w="1158" w:type="dxa"/>
            <w:vAlign w:val="bottom"/>
          </w:tcPr>
          <w:p w:rsidR="002265C7" w:rsidRPr="00A454F4" w:rsidRDefault="002265C7" w:rsidP="00BC2119">
            <w:pPr>
              <w:pStyle w:val="TableFigText"/>
              <w:jc w:val="right"/>
            </w:pPr>
            <w:r w:rsidRPr="00A454F4">
              <w:t>97.0</w:t>
            </w:r>
          </w:p>
        </w:tc>
        <w:tc>
          <w:tcPr>
            <w:tcW w:w="1349" w:type="dxa"/>
            <w:vAlign w:val="bottom"/>
          </w:tcPr>
          <w:p w:rsidR="002265C7" w:rsidRPr="00A454F4" w:rsidRDefault="002265C7" w:rsidP="00BC2119">
            <w:pPr>
              <w:pStyle w:val="TableFigText"/>
              <w:jc w:val="right"/>
            </w:pPr>
            <w:r w:rsidRPr="00A454F4">
              <w:t>26.5</w:t>
            </w:r>
          </w:p>
        </w:tc>
        <w:tc>
          <w:tcPr>
            <w:tcW w:w="1225" w:type="dxa"/>
            <w:vAlign w:val="bottom"/>
          </w:tcPr>
          <w:p w:rsidR="002265C7" w:rsidRPr="00A454F4" w:rsidRDefault="002265C7" w:rsidP="00BC2119">
            <w:pPr>
              <w:pStyle w:val="TableFigText"/>
              <w:jc w:val="right"/>
            </w:pPr>
            <w:r w:rsidRPr="00A454F4">
              <w:t>64.1</w:t>
            </w:r>
          </w:p>
        </w:tc>
        <w:tc>
          <w:tcPr>
            <w:tcW w:w="1023" w:type="dxa"/>
            <w:vAlign w:val="bottom"/>
          </w:tcPr>
          <w:p w:rsidR="002265C7" w:rsidRPr="00A454F4" w:rsidRDefault="002265C7" w:rsidP="00BC2119">
            <w:pPr>
              <w:pStyle w:val="TableFigText"/>
              <w:jc w:val="right"/>
            </w:pPr>
            <w:r w:rsidRPr="00A454F4">
              <w:t>6.0</w:t>
            </w:r>
          </w:p>
        </w:tc>
        <w:tc>
          <w:tcPr>
            <w:tcW w:w="1070" w:type="dxa"/>
            <w:vAlign w:val="bottom"/>
          </w:tcPr>
          <w:p w:rsidR="002265C7" w:rsidRPr="00A454F4" w:rsidRDefault="002265C7" w:rsidP="00BC2119">
            <w:pPr>
              <w:pStyle w:val="TableFigText"/>
              <w:jc w:val="right"/>
            </w:pPr>
            <w:r w:rsidRPr="00A454F4">
              <w:t>5.5</w:t>
            </w:r>
          </w:p>
        </w:tc>
        <w:tc>
          <w:tcPr>
            <w:tcW w:w="1058" w:type="dxa"/>
            <w:vAlign w:val="bottom"/>
          </w:tcPr>
          <w:p w:rsidR="002265C7" w:rsidRPr="00A454F4" w:rsidRDefault="002265C7" w:rsidP="00BC2119">
            <w:pPr>
              <w:pStyle w:val="TableFigText"/>
              <w:jc w:val="right"/>
            </w:pPr>
            <w:r w:rsidRPr="00A454F4">
              <w:t>199.1</w:t>
            </w:r>
          </w:p>
        </w:tc>
      </w:tr>
      <w:tr w:rsidR="002265C7" w:rsidRPr="00B476FB" w:rsidTr="002265C7">
        <w:tc>
          <w:tcPr>
            <w:tcW w:w="2403" w:type="dxa"/>
          </w:tcPr>
          <w:p w:rsidR="002265C7" w:rsidRPr="00B476FB" w:rsidRDefault="002265C7" w:rsidP="002265C7">
            <w:pPr>
              <w:pStyle w:val="TableFigText"/>
              <w:keepNext/>
              <w:rPr>
                <w:rFonts w:asciiTheme="minorHAnsi" w:hAnsiTheme="minorHAnsi" w:cstheme="minorHAnsi"/>
                <w:szCs w:val="22"/>
              </w:rPr>
            </w:pPr>
            <w:r w:rsidRPr="00B476FB">
              <w:rPr>
                <w:rFonts w:asciiTheme="minorHAnsi" w:hAnsiTheme="minorHAnsi" w:cstheme="minorHAnsi"/>
                <w:szCs w:val="22"/>
              </w:rPr>
              <w:t>Other staffing categories</w:t>
            </w:r>
            <w:r w:rsidRPr="00B476FB">
              <w:rPr>
                <w:rFonts w:asciiTheme="minorHAnsi" w:hAnsiTheme="minorHAnsi" w:cstheme="minorHAnsi"/>
                <w:szCs w:val="22"/>
                <w:vertAlign w:val="superscript"/>
              </w:rPr>
              <w:t>(f)</w:t>
            </w:r>
          </w:p>
        </w:tc>
        <w:tc>
          <w:tcPr>
            <w:tcW w:w="1158" w:type="dxa"/>
            <w:vAlign w:val="bottom"/>
          </w:tcPr>
          <w:p w:rsidR="002265C7" w:rsidRPr="00A454F4" w:rsidRDefault="002265C7" w:rsidP="00BC2119">
            <w:pPr>
              <w:pStyle w:val="TableFigText"/>
              <w:jc w:val="right"/>
            </w:pPr>
            <w:r w:rsidRPr="00A454F4">
              <w:t>454.0</w:t>
            </w:r>
          </w:p>
        </w:tc>
        <w:tc>
          <w:tcPr>
            <w:tcW w:w="1349" w:type="dxa"/>
            <w:vAlign w:val="bottom"/>
          </w:tcPr>
          <w:p w:rsidR="002265C7" w:rsidRPr="00A454F4" w:rsidRDefault="002265C7" w:rsidP="00BC2119">
            <w:pPr>
              <w:pStyle w:val="TableFigText"/>
              <w:jc w:val="right"/>
            </w:pPr>
            <w:r w:rsidRPr="00A454F4">
              <w:t>153.0</w:t>
            </w:r>
          </w:p>
        </w:tc>
        <w:tc>
          <w:tcPr>
            <w:tcW w:w="1225" w:type="dxa"/>
            <w:vAlign w:val="bottom"/>
          </w:tcPr>
          <w:p w:rsidR="002265C7" w:rsidRPr="00A454F4" w:rsidRDefault="002265C7" w:rsidP="00BC2119">
            <w:pPr>
              <w:pStyle w:val="TableFigText"/>
              <w:jc w:val="right"/>
            </w:pPr>
            <w:r w:rsidRPr="00A454F4">
              <w:t>170.8</w:t>
            </w:r>
          </w:p>
        </w:tc>
        <w:tc>
          <w:tcPr>
            <w:tcW w:w="1023" w:type="dxa"/>
            <w:vAlign w:val="bottom"/>
          </w:tcPr>
          <w:p w:rsidR="002265C7" w:rsidRPr="00A454F4" w:rsidRDefault="002265C7" w:rsidP="00BC2119">
            <w:pPr>
              <w:pStyle w:val="TableFigText"/>
              <w:jc w:val="right"/>
            </w:pPr>
            <w:r w:rsidRPr="00A454F4">
              <w:t>14.4</w:t>
            </w:r>
          </w:p>
        </w:tc>
        <w:tc>
          <w:tcPr>
            <w:tcW w:w="1070" w:type="dxa"/>
            <w:vAlign w:val="bottom"/>
          </w:tcPr>
          <w:p w:rsidR="002265C7" w:rsidRPr="00A454F4" w:rsidRDefault="002265C7" w:rsidP="00BC2119">
            <w:pPr>
              <w:pStyle w:val="TableFigText"/>
              <w:jc w:val="right"/>
            </w:pPr>
            <w:r w:rsidRPr="00A454F4">
              <w:t>10.0</w:t>
            </w:r>
          </w:p>
        </w:tc>
        <w:tc>
          <w:tcPr>
            <w:tcW w:w="1058" w:type="dxa"/>
            <w:vAlign w:val="bottom"/>
          </w:tcPr>
          <w:p w:rsidR="002265C7" w:rsidRPr="00A454F4" w:rsidRDefault="002265C7" w:rsidP="00BC2119">
            <w:pPr>
              <w:pStyle w:val="TableFigText"/>
              <w:jc w:val="right"/>
            </w:pPr>
            <w:r w:rsidRPr="00A454F4">
              <w:t>802.3</w:t>
            </w:r>
          </w:p>
        </w:tc>
      </w:tr>
      <w:tr w:rsidR="002265C7" w:rsidRPr="00B476FB" w:rsidTr="002265C7">
        <w:tc>
          <w:tcPr>
            <w:tcW w:w="2403" w:type="dxa"/>
          </w:tcPr>
          <w:p w:rsidR="002265C7" w:rsidRPr="00B476FB" w:rsidRDefault="002265C7" w:rsidP="002265C7">
            <w:pPr>
              <w:pStyle w:val="TableFigText"/>
              <w:keepNext/>
              <w:rPr>
                <w:rFonts w:asciiTheme="minorHAnsi" w:hAnsiTheme="minorHAnsi" w:cstheme="minorHAnsi"/>
                <w:b/>
                <w:szCs w:val="22"/>
              </w:rPr>
            </w:pPr>
            <w:r w:rsidRPr="00B476FB">
              <w:rPr>
                <w:rFonts w:asciiTheme="minorHAnsi" w:hAnsiTheme="minorHAnsi" w:cstheme="minorHAnsi"/>
                <w:b/>
                <w:szCs w:val="22"/>
              </w:rPr>
              <w:t>Total</w:t>
            </w:r>
            <w:r w:rsidRPr="00B476FB">
              <w:rPr>
                <w:rFonts w:asciiTheme="minorHAnsi" w:hAnsiTheme="minorHAnsi" w:cstheme="minorHAnsi"/>
                <w:b/>
                <w:szCs w:val="22"/>
                <w:vertAlign w:val="superscript"/>
              </w:rPr>
              <w:t>(a)</w:t>
            </w:r>
          </w:p>
        </w:tc>
        <w:tc>
          <w:tcPr>
            <w:tcW w:w="1158" w:type="dxa"/>
            <w:vAlign w:val="bottom"/>
          </w:tcPr>
          <w:p w:rsidR="002265C7" w:rsidRPr="00BC2119" w:rsidRDefault="002265C7" w:rsidP="00BC2119">
            <w:pPr>
              <w:pStyle w:val="TableFigText"/>
              <w:jc w:val="right"/>
              <w:rPr>
                <w:b/>
              </w:rPr>
            </w:pPr>
            <w:r w:rsidRPr="00BC2119">
              <w:rPr>
                <w:b/>
              </w:rPr>
              <w:t>3,142.2</w:t>
            </w:r>
          </w:p>
        </w:tc>
        <w:tc>
          <w:tcPr>
            <w:tcW w:w="1349" w:type="dxa"/>
            <w:vAlign w:val="bottom"/>
          </w:tcPr>
          <w:p w:rsidR="002265C7" w:rsidRPr="00BC2119" w:rsidRDefault="002265C7" w:rsidP="00BC2119">
            <w:pPr>
              <w:pStyle w:val="TableFigText"/>
              <w:jc w:val="right"/>
              <w:rPr>
                <w:b/>
              </w:rPr>
            </w:pPr>
            <w:r w:rsidRPr="00BC2119">
              <w:rPr>
                <w:b/>
              </w:rPr>
              <w:t>816.2</w:t>
            </w:r>
          </w:p>
        </w:tc>
        <w:tc>
          <w:tcPr>
            <w:tcW w:w="1225" w:type="dxa"/>
            <w:vAlign w:val="bottom"/>
          </w:tcPr>
          <w:p w:rsidR="002265C7" w:rsidRPr="00BC2119" w:rsidRDefault="002265C7" w:rsidP="00BC2119">
            <w:pPr>
              <w:pStyle w:val="TableFigText"/>
              <w:jc w:val="right"/>
              <w:rPr>
                <w:b/>
              </w:rPr>
            </w:pPr>
            <w:r w:rsidRPr="00BC2119">
              <w:rPr>
                <w:b/>
              </w:rPr>
              <w:t>961.7</w:t>
            </w:r>
          </w:p>
        </w:tc>
        <w:tc>
          <w:tcPr>
            <w:tcW w:w="1023" w:type="dxa"/>
            <w:vAlign w:val="bottom"/>
          </w:tcPr>
          <w:p w:rsidR="002265C7" w:rsidRPr="00BC2119" w:rsidRDefault="002265C7" w:rsidP="00BC2119">
            <w:pPr>
              <w:pStyle w:val="TableFigText"/>
              <w:jc w:val="right"/>
              <w:rPr>
                <w:b/>
              </w:rPr>
            </w:pPr>
            <w:r w:rsidRPr="00BC2119">
              <w:rPr>
                <w:b/>
              </w:rPr>
              <w:t>70.1</w:t>
            </w:r>
          </w:p>
        </w:tc>
        <w:tc>
          <w:tcPr>
            <w:tcW w:w="1070" w:type="dxa"/>
            <w:vAlign w:val="bottom"/>
          </w:tcPr>
          <w:p w:rsidR="002265C7" w:rsidRPr="00BC2119" w:rsidRDefault="002265C7" w:rsidP="00BC2119">
            <w:pPr>
              <w:pStyle w:val="TableFigText"/>
              <w:jc w:val="right"/>
              <w:rPr>
                <w:b/>
              </w:rPr>
            </w:pPr>
            <w:r w:rsidRPr="00BC2119">
              <w:rPr>
                <w:b/>
              </w:rPr>
              <w:t>45.5</w:t>
            </w:r>
          </w:p>
        </w:tc>
        <w:tc>
          <w:tcPr>
            <w:tcW w:w="1058" w:type="dxa"/>
            <w:vAlign w:val="bottom"/>
          </w:tcPr>
          <w:p w:rsidR="002265C7" w:rsidRPr="00BC2119" w:rsidRDefault="002265C7" w:rsidP="00BC2119">
            <w:pPr>
              <w:pStyle w:val="TableFigText"/>
              <w:jc w:val="right"/>
              <w:rPr>
                <w:b/>
              </w:rPr>
            </w:pPr>
            <w:r w:rsidRPr="00BC2119">
              <w:rPr>
                <w:b/>
              </w:rPr>
              <w:t>5,035.7</w:t>
            </w:r>
          </w:p>
        </w:tc>
      </w:tr>
    </w:tbl>
    <w:p w:rsidR="002265C7" w:rsidRPr="006876F2" w:rsidRDefault="002265C7" w:rsidP="00540186">
      <w:pPr>
        <w:pStyle w:val="TableFigNotesnumbered"/>
        <w:numPr>
          <w:ilvl w:val="0"/>
          <w:numId w:val="75"/>
        </w:numPr>
        <w:rPr>
          <w:rStyle w:val="table-note"/>
        </w:rPr>
      </w:pPr>
      <w:r w:rsidRPr="006876F2">
        <w:rPr>
          <w:rStyle w:val="table-note"/>
        </w:rPr>
        <w:t>Totals may not add due to rounding.</w:t>
      </w:r>
    </w:p>
    <w:p w:rsidR="002265C7" w:rsidRPr="006876F2" w:rsidRDefault="002265C7" w:rsidP="00540186">
      <w:pPr>
        <w:pStyle w:val="TableFigNotesnumbered"/>
        <w:numPr>
          <w:ilvl w:val="0"/>
          <w:numId w:val="75"/>
        </w:numPr>
        <w:rPr>
          <w:rStyle w:val="table-note"/>
        </w:rPr>
      </w:pPr>
      <w:r w:rsidRPr="006876F2">
        <w:rPr>
          <w:rStyle w:val="table-note"/>
        </w:rPr>
        <w:t>Diagnostic and health professionals includes qualified staff (other than qualified medical or nursing staff) engaged in duties of a diagnostic, professional or technical nature and covers all allied health professionals and laboratory technicians, including Social Workers, Occupational Therapists and others  (</w:t>
      </w:r>
      <w:proofErr w:type="spellStart"/>
      <w:r w:rsidRPr="006876F2">
        <w:rPr>
          <w:rStyle w:val="table-note"/>
        </w:rPr>
        <w:t>METeOR</w:t>
      </w:r>
      <w:proofErr w:type="spellEnd"/>
      <w:r w:rsidRPr="006876F2">
        <w:rPr>
          <w:rStyle w:val="table-note"/>
        </w:rPr>
        <w:t xml:space="preserve"> identifier 287611).</w:t>
      </w:r>
    </w:p>
    <w:p w:rsidR="002265C7" w:rsidRPr="006876F2" w:rsidRDefault="002265C7" w:rsidP="00540186">
      <w:pPr>
        <w:pStyle w:val="TableFigNotesnumbered"/>
        <w:numPr>
          <w:ilvl w:val="0"/>
          <w:numId w:val="75"/>
        </w:numPr>
        <w:rPr>
          <w:rStyle w:val="table-note"/>
        </w:rPr>
      </w:pPr>
      <w:r w:rsidRPr="006876F2">
        <w:rPr>
          <w:rStyle w:val="table-note"/>
        </w:rPr>
        <w:lastRenderedPageBreak/>
        <w:t>Includes registered and enrolled nurses.</w:t>
      </w:r>
    </w:p>
    <w:p w:rsidR="002265C7" w:rsidRPr="006876F2" w:rsidRDefault="002265C7" w:rsidP="00540186">
      <w:pPr>
        <w:pStyle w:val="TableFigNotesnumbered"/>
        <w:numPr>
          <w:ilvl w:val="0"/>
          <w:numId w:val="75"/>
        </w:numPr>
        <w:rPr>
          <w:rStyle w:val="table-note"/>
        </w:rPr>
      </w:pPr>
      <w:r w:rsidRPr="006876F2">
        <w:rPr>
          <w:rStyle w:val="table-note"/>
        </w:rPr>
        <w:t xml:space="preserve">The definition of these categories was modified from 'consultants' to 'mental health workers' for the 2010–11 collection, in order to capture a variety of contemporary roles. </w:t>
      </w:r>
    </w:p>
    <w:p w:rsidR="002265C7" w:rsidRPr="006876F2" w:rsidRDefault="002265C7" w:rsidP="00540186">
      <w:pPr>
        <w:pStyle w:val="TableFigNotesnumbered"/>
        <w:numPr>
          <w:ilvl w:val="0"/>
          <w:numId w:val="75"/>
        </w:numPr>
        <w:rPr>
          <w:rStyle w:val="table-note"/>
        </w:rPr>
      </w:pPr>
      <w:r w:rsidRPr="006876F2">
        <w:rPr>
          <w:rStyle w:val="table-note"/>
        </w:rPr>
        <w:t>Other personal care staff includes staff engaged primarily in the provision of personal care to patients or residents, not formally qualified, for example attendants, assistants of home assistance, home companions, family aides, ward helpers, warders, orderlies, ward assistants and nursing assistants (</w:t>
      </w:r>
      <w:proofErr w:type="spellStart"/>
      <w:r w:rsidRPr="006876F2">
        <w:rPr>
          <w:rStyle w:val="table-note"/>
        </w:rPr>
        <w:t>METeOR</w:t>
      </w:r>
      <w:proofErr w:type="spellEnd"/>
      <w:r w:rsidRPr="006876F2">
        <w:rPr>
          <w:rStyle w:val="table-note"/>
        </w:rPr>
        <w:t xml:space="preserve"> 270171).</w:t>
      </w:r>
    </w:p>
    <w:p w:rsidR="002265C7" w:rsidRPr="006876F2" w:rsidRDefault="002265C7" w:rsidP="00540186">
      <w:pPr>
        <w:pStyle w:val="TableFigNotesnumbered"/>
        <w:numPr>
          <w:ilvl w:val="0"/>
          <w:numId w:val="75"/>
        </w:numPr>
        <w:rPr>
          <w:rStyle w:val="table-note"/>
        </w:rPr>
      </w:pPr>
      <w:r w:rsidRPr="006876F2">
        <w:rPr>
          <w:rStyle w:val="table-note"/>
        </w:rPr>
        <w:t xml:space="preserve">Other </w:t>
      </w:r>
      <w:proofErr w:type="gramStart"/>
      <w:r w:rsidRPr="006876F2">
        <w:rPr>
          <w:rStyle w:val="table-note"/>
        </w:rPr>
        <w:t>staff</w:t>
      </w:r>
      <w:proofErr w:type="gramEnd"/>
      <w:r w:rsidRPr="006876F2">
        <w:rPr>
          <w:rStyle w:val="table-note"/>
        </w:rPr>
        <w:t xml:space="preserve"> includes administrative and clerical and domestic and other staff categories. </w:t>
      </w:r>
    </w:p>
    <w:p w:rsidR="002265C7" w:rsidRPr="00207B28" w:rsidRDefault="002265C7" w:rsidP="002265C7">
      <w:pPr>
        <w:spacing w:before="0" w:after="0" w:line="240" w:lineRule="auto"/>
        <w:rPr>
          <w:rFonts w:asciiTheme="minorHAnsi" w:hAnsiTheme="minorHAnsi" w:cstheme="minorHAnsi"/>
        </w:rPr>
      </w:pPr>
    </w:p>
    <w:p w:rsidR="002265C7" w:rsidRPr="006876F2" w:rsidRDefault="002265C7" w:rsidP="002265C7">
      <w:pPr>
        <w:spacing w:before="0" w:after="0" w:line="240" w:lineRule="auto"/>
        <w:rPr>
          <w:rStyle w:val="table-note"/>
          <w:rFonts w:ascii="Arial" w:hAnsi="Arial"/>
        </w:rPr>
      </w:pPr>
      <w:r w:rsidRPr="006876F2">
        <w:rPr>
          <w:rStyle w:val="table-note"/>
          <w:rFonts w:ascii="Arial" w:hAnsi="Arial"/>
          <w:sz w:val="14"/>
          <w:szCs w:val="20"/>
          <w:lang w:eastAsia="en-US"/>
        </w:rPr>
        <w:t>Notes:</w:t>
      </w:r>
      <w:r w:rsidRPr="006876F2">
        <w:rPr>
          <w:rStyle w:val="table-note"/>
          <w:rFonts w:ascii="Arial" w:hAnsi="Arial"/>
        </w:rPr>
        <w:tab/>
      </w:r>
    </w:p>
    <w:p w:rsidR="002265C7" w:rsidRPr="006876F2" w:rsidRDefault="002265C7" w:rsidP="00591D14">
      <w:pPr>
        <w:pStyle w:val="ListParagraph"/>
        <w:numPr>
          <w:ilvl w:val="0"/>
          <w:numId w:val="21"/>
        </w:numPr>
        <w:spacing w:after="0" w:line="240" w:lineRule="auto"/>
        <w:rPr>
          <w:rStyle w:val="table-note"/>
          <w:rFonts w:ascii="Arial" w:eastAsia="Times New Roman" w:hAnsi="Arial" w:cs="Times New Roman"/>
          <w:sz w:val="14"/>
          <w:szCs w:val="20"/>
          <w:lang w:eastAsia="en-US"/>
        </w:rPr>
      </w:pPr>
      <w:r w:rsidRPr="006876F2">
        <w:rPr>
          <w:rStyle w:val="table-note"/>
          <w:rFonts w:ascii="Arial" w:eastAsia="Times New Roman" w:hAnsi="Arial" w:cs="Times New Roman"/>
          <w:sz w:val="14"/>
          <w:szCs w:val="20"/>
          <w:lang w:eastAsia="en-US"/>
        </w:rPr>
        <w:t xml:space="preserve">Includes consumer and carer workers and staff employed at a higher organisational level. Excludes staff employed at regional or state level in mental health policy units of the associated relevant health department or equivalent. </w:t>
      </w:r>
    </w:p>
    <w:p w:rsidR="002265C7" w:rsidRPr="006876F2" w:rsidRDefault="002265C7" w:rsidP="00591D14">
      <w:pPr>
        <w:pStyle w:val="ListParagraph"/>
        <w:numPr>
          <w:ilvl w:val="0"/>
          <w:numId w:val="21"/>
        </w:numPr>
        <w:spacing w:after="0" w:line="240" w:lineRule="auto"/>
        <w:rPr>
          <w:rStyle w:val="table-note"/>
          <w:rFonts w:ascii="Arial" w:eastAsia="Times New Roman" w:hAnsi="Arial" w:cs="Times New Roman"/>
          <w:sz w:val="14"/>
          <w:szCs w:val="20"/>
          <w:lang w:eastAsia="en-US"/>
        </w:rPr>
      </w:pPr>
      <w:r w:rsidRPr="006876F2">
        <w:rPr>
          <w:rStyle w:val="table-note"/>
          <w:rFonts w:ascii="Arial" w:eastAsia="Times New Roman" w:hAnsi="Arial" w:cs="Times New Roman"/>
          <w:sz w:val="14"/>
          <w:szCs w:val="20"/>
          <w:lang w:eastAsia="en-US"/>
        </w:rPr>
        <w:t>Queensland implemented a new methodology to calculate FTE in 2009–10 therefore caution should be exercised when conducting time series analysis.</w:t>
      </w:r>
    </w:p>
    <w:p w:rsidR="002265C7" w:rsidRPr="0096114C" w:rsidRDefault="0096114C" w:rsidP="002265C7">
      <w:pPr>
        <w:pStyle w:val="TableCaption"/>
        <w:rPr>
          <w:rStyle w:val="table-note"/>
        </w:rPr>
      </w:pPr>
      <w:r w:rsidRPr="0096114C">
        <w:rPr>
          <w:rStyle w:val="table-note"/>
        </w:rPr>
        <w:t xml:space="preserve">Table 29: </w:t>
      </w:r>
      <w:r w:rsidR="002265C7" w:rsidRPr="0096114C">
        <w:rPr>
          <w:rStyle w:val="table-note"/>
        </w:rPr>
        <w:t>QLD: Full-time-equivalent staff, state and territory specialised mental health care facilities, by staffing category, 2011–12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QLD: Full-time-equivalent staff, state and territory specialised mental health care facilities, by staffing category, 2011–12"/>
        <w:tblDescription w:val="Table showing, in 2011-12, the number of full-time-equivalent (FTE) staff in specialised mental health care facilities across QLD region types.  Major cities have the highest number of all types of FTE staff at 3,696.9 and very remote have the least at 63.1. Nurses were the highest FTE staff type overall, across all region types, at 2,889.2."/>
      </w:tblPr>
      <w:tblGrid>
        <w:gridCol w:w="2399"/>
        <w:gridCol w:w="1157"/>
        <w:gridCol w:w="1348"/>
        <w:gridCol w:w="1231"/>
        <w:gridCol w:w="1023"/>
        <w:gridCol w:w="1070"/>
        <w:gridCol w:w="1058"/>
      </w:tblGrid>
      <w:tr w:rsidR="002265C7" w:rsidRPr="00B476FB" w:rsidTr="000C3DEA">
        <w:trPr>
          <w:tblHeader/>
        </w:trPr>
        <w:tc>
          <w:tcPr>
            <w:tcW w:w="2399" w:type="dxa"/>
          </w:tcPr>
          <w:p w:rsidR="002265C7" w:rsidRPr="00B476FB" w:rsidRDefault="002265C7" w:rsidP="002265C7">
            <w:pPr>
              <w:pStyle w:val="TableFigText"/>
              <w:keepNext/>
              <w:rPr>
                <w:rFonts w:asciiTheme="minorHAnsi" w:hAnsiTheme="minorHAnsi" w:cstheme="minorHAnsi"/>
                <w:szCs w:val="22"/>
              </w:rPr>
            </w:pPr>
          </w:p>
        </w:tc>
        <w:tc>
          <w:tcPr>
            <w:tcW w:w="1157" w:type="dxa"/>
          </w:tcPr>
          <w:p w:rsidR="002265C7" w:rsidRPr="00B476FB" w:rsidRDefault="002265C7" w:rsidP="002265C7">
            <w:pPr>
              <w:pStyle w:val="TableFigText"/>
              <w:keepNext/>
              <w:jc w:val="right"/>
              <w:rPr>
                <w:rFonts w:asciiTheme="minorHAnsi" w:hAnsiTheme="minorHAnsi" w:cstheme="minorHAnsi"/>
                <w:b/>
                <w:szCs w:val="22"/>
              </w:rPr>
            </w:pPr>
            <w:r w:rsidRPr="00B476FB">
              <w:rPr>
                <w:rFonts w:asciiTheme="minorHAnsi" w:hAnsiTheme="minorHAnsi" w:cstheme="minorHAnsi"/>
                <w:b/>
                <w:szCs w:val="22"/>
              </w:rPr>
              <w:t>Major cities</w:t>
            </w:r>
          </w:p>
        </w:tc>
        <w:tc>
          <w:tcPr>
            <w:tcW w:w="1348" w:type="dxa"/>
          </w:tcPr>
          <w:p w:rsidR="002265C7" w:rsidRPr="00B476FB" w:rsidRDefault="002265C7" w:rsidP="002265C7">
            <w:pPr>
              <w:pStyle w:val="TableFigText"/>
              <w:keepNext/>
              <w:jc w:val="right"/>
              <w:rPr>
                <w:rFonts w:asciiTheme="minorHAnsi" w:hAnsiTheme="minorHAnsi" w:cstheme="minorHAnsi"/>
                <w:b/>
                <w:szCs w:val="22"/>
              </w:rPr>
            </w:pPr>
            <w:r w:rsidRPr="00B476FB">
              <w:rPr>
                <w:rFonts w:asciiTheme="minorHAnsi" w:hAnsiTheme="minorHAnsi" w:cstheme="minorHAnsi"/>
                <w:b/>
                <w:szCs w:val="22"/>
              </w:rPr>
              <w:t>Inner regional</w:t>
            </w:r>
          </w:p>
        </w:tc>
        <w:tc>
          <w:tcPr>
            <w:tcW w:w="1231" w:type="dxa"/>
          </w:tcPr>
          <w:p w:rsidR="002265C7" w:rsidRPr="00B476FB" w:rsidRDefault="002265C7" w:rsidP="002265C7">
            <w:pPr>
              <w:pStyle w:val="TableFigText"/>
              <w:keepNext/>
              <w:jc w:val="right"/>
              <w:rPr>
                <w:rFonts w:asciiTheme="minorHAnsi" w:hAnsiTheme="minorHAnsi" w:cstheme="minorHAnsi"/>
                <w:b/>
                <w:szCs w:val="22"/>
              </w:rPr>
            </w:pPr>
            <w:r w:rsidRPr="00B476FB">
              <w:rPr>
                <w:rFonts w:asciiTheme="minorHAnsi" w:hAnsiTheme="minorHAnsi" w:cstheme="minorHAnsi"/>
                <w:b/>
                <w:szCs w:val="22"/>
              </w:rPr>
              <w:t>Outer regional</w:t>
            </w:r>
          </w:p>
        </w:tc>
        <w:tc>
          <w:tcPr>
            <w:tcW w:w="1023" w:type="dxa"/>
          </w:tcPr>
          <w:p w:rsidR="002265C7" w:rsidRPr="00B476FB" w:rsidRDefault="002265C7" w:rsidP="002265C7">
            <w:pPr>
              <w:pStyle w:val="TableFigText"/>
              <w:keepNext/>
              <w:jc w:val="right"/>
              <w:rPr>
                <w:rFonts w:asciiTheme="minorHAnsi" w:hAnsiTheme="minorHAnsi" w:cstheme="minorHAnsi"/>
                <w:b/>
                <w:szCs w:val="22"/>
              </w:rPr>
            </w:pPr>
            <w:r w:rsidRPr="00B476FB">
              <w:rPr>
                <w:rFonts w:asciiTheme="minorHAnsi" w:hAnsiTheme="minorHAnsi" w:cstheme="minorHAnsi"/>
                <w:b/>
                <w:szCs w:val="22"/>
              </w:rPr>
              <w:t>Remote</w:t>
            </w:r>
          </w:p>
        </w:tc>
        <w:tc>
          <w:tcPr>
            <w:tcW w:w="1070" w:type="dxa"/>
          </w:tcPr>
          <w:p w:rsidR="002265C7" w:rsidRPr="00B476FB" w:rsidRDefault="002265C7" w:rsidP="002265C7">
            <w:pPr>
              <w:pStyle w:val="TableFigText"/>
              <w:keepNext/>
              <w:jc w:val="right"/>
              <w:rPr>
                <w:rFonts w:asciiTheme="minorHAnsi" w:hAnsiTheme="minorHAnsi" w:cstheme="minorHAnsi"/>
                <w:b/>
                <w:szCs w:val="22"/>
              </w:rPr>
            </w:pPr>
            <w:r w:rsidRPr="00B476FB">
              <w:rPr>
                <w:rFonts w:asciiTheme="minorHAnsi" w:hAnsiTheme="minorHAnsi" w:cstheme="minorHAnsi"/>
                <w:b/>
                <w:szCs w:val="22"/>
              </w:rPr>
              <w:t>Very remote</w:t>
            </w:r>
          </w:p>
        </w:tc>
        <w:tc>
          <w:tcPr>
            <w:tcW w:w="1058" w:type="dxa"/>
          </w:tcPr>
          <w:p w:rsidR="002265C7" w:rsidRPr="00B476FB" w:rsidRDefault="002265C7" w:rsidP="002265C7">
            <w:pPr>
              <w:pStyle w:val="TableFigText"/>
              <w:keepNext/>
              <w:jc w:val="right"/>
              <w:rPr>
                <w:rFonts w:asciiTheme="minorHAnsi" w:hAnsiTheme="minorHAnsi" w:cstheme="minorHAnsi"/>
                <w:b/>
                <w:szCs w:val="22"/>
              </w:rPr>
            </w:pPr>
            <w:r w:rsidRPr="00B476FB">
              <w:rPr>
                <w:rFonts w:asciiTheme="minorHAnsi" w:hAnsiTheme="minorHAnsi" w:cstheme="minorHAnsi"/>
                <w:b/>
                <w:szCs w:val="22"/>
              </w:rPr>
              <w:t>Total</w:t>
            </w:r>
            <w:r w:rsidRPr="00E86D05">
              <w:rPr>
                <w:rFonts w:asciiTheme="minorHAnsi" w:hAnsiTheme="minorHAnsi" w:cstheme="minorHAnsi"/>
                <w:b/>
                <w:szCs w:val="22"/>
                <w:vertAlign w:val="superscript"/>
              </w:rPr>
              <w:t>(a)</w:t>
            </w:r>
          </w:p>
        </w:tc>
      </w:tr>
      <w:tr w:rsidR="002265C7" w:rsidRPr="00B476FB" w:rsidTr="002265C7">
        <w:tc>
          <w:tcPr>
            <w:tcW w:w="2399" w:type="dxa"/>
          </w:tcPr>
          <w:p w:rsidR="002265C7" w:rsidRPr="00B476FB" w:rsidRDefault="002265C7" w:rsidP="002265C7">
            <w:pPr>
              <w:pStyle w:val="TableFigText"/>
              <w:keepNext/>
              <w:rPr>
                <w:rFonts w:asciiTheme="minorHAnsi" w:hAnsiTheme="minorHAnsi" w:cstheme="minorHAnsi"/>
                <w:szCs w:val="22"/>
              </w:rPr>
            </w:pPr>
            <w:r w:rsidRPr="00B476FB">
              <w:rPr>
                <w:rFonts w:asciiTheme="minorHAnsi" w:hAnsiTheme="minorHAnsi" w:cstheme="minorHAnsi"/>
                <w:szCs w:val="22"/>
              </w:rPr>
              <w:t>Consultant psychiatrists and psychiatrists</w:t>
            </w:r>
          </w:p>
        </w:tc>
        <w:tc>
          <w:tcPr>
            <w:tcW w:w="1157" w:type="dxa"/>
            <w:vAlign w:val="bottom"/>
          </w:tcPr>
          <w:p w:rsidR="002265C7" w:rsidRPr="00A454F4" w:rsidRDefault="002265C7" w:rsidP="00694F64">
            <w:pPr>
              <w:pStyle w:val="TableFigText"/>
              <w:jc w:val="right"/>
            </w:pPr>
            <w:r w:rsidRPr="00A454F4">
              <w:t>198.0</w:t>
            </w:r>
          </w:p>
        </w:tc>
        <w:tc>
          <w:tcPr>
            <w:tcW w:w="1348" w:type="dxa"/>
            <w:vAlign w:val="bottom"/>
          </w:tcPr>
          <w:p w:rsidR="002265C7" w:rsidRPr="00A454F4" w:rsidRDefault="002265C7" w:rsidP="00694F64">
            <w:pPr>
              <w:pStyle w:val="TableFigText"/>
              <w:jc w:val="right"/>
            </w:pPr>
            <w:r w:rsidRPr="00A454F4">
              <w:t>36.5</w:t>
            </w:r>
          </w:p>
        </w:tc>
        <w:tc>
          <w:tcPr>
            <w:tcW w:w="1231" w:type="dxa"/>
            <w:vAlign w:val="bottom"/>
          </w:tcPr>
          <w:p w:rsidR="002265C7" w:rsidRPr="00A454F4" w:rsidRDefault="002265C7" w:rsidP="00694F64">
            <w:pPr>
              <w:pStyle w:val="TableFigText"/>
              <w:jc w:val="right"/>
            </w:pPr>
            <w:r w:rsidRPr="00A454F4">
              <w:t>42.8</w:t>
            </w:r>
          </w:p>
        </w:tc>
        <w:tc>
          <w:tcPr>
            <w:tcW w:w="1023" w:type="dxa"/>
            <w:vAlign w:val="bottom"/>
          </w:tcPr>
          <w:p w:rsidR="002265C7" w:rsidRPr="00A454F4" w:rsidRDefault="002265C7" w:rsidP="00694F64">
            <w:pPr>
              <w:pStyle w:val="TableFigText"/>
              <w:jc w:val="right"/>
            </w:pPr>
            <w:r w:rsidRPr="00A454F4">
              <w:t>3.0</w:t>
            </w:r>
          </w:p>
        </w:tc>
        <w:tc>
          <w:tcPr>
            <w:tcW w:w="1070" w:type="dxa"/>
            <w:vAlign w:val="bottom"/>
          </w:tcPr>
          <w:p w:rsidR="002265C7" w:rsidRPr="00A454F4" w:rsidRDefault="002265C7" w:rsidP="00694F64">
            <w:pPr>
              <w:pStyle w:val="TableFigText"/>
              <w:jc w:val="right"/>
            </w:pPr>
            <w:r w:rsidRPr="00A454F4">
              <w:t>1.4</w:t>
            </w:r>
          </w:p>
        </w:tc>
        <w:tc>
          <w:tcPr>
            <w:tcW w:w="1058" w:type="dxa"/>
            <w:vAlign w:val="bottom"/>
          </w:tcPr>
          <w:p w:rsidR="002265C7" w:rsidRPr="00A454F4" w:rsidRDefault="002265C7" w:rsidP="00694F64">
            <w:pPr>
              <w:pStyle w:val="TableFigText"/>
              <w:jc w:val="right"/>
            </w:pPr>
            <w:r w:rsidRPr="00A454F4">
              <w:t>281.6</w:t>
            </w:r>
          </w:p>
        </w:tc>
      </w:tr>
      <w:tr w:rsidR="002265C7" w:rsidRPr="00B476FB" w:rsidTr="002265C7">
        <w:tc>
          <w:tcPr>
            <w:tcW w:w="2399" w:type="dxa"/>
          </w:tcPr>
          <w:p w:rsidR="002265C7" w:rsidRPr="00B476FB" w:rsidRDefault="002265C7" w:rsidP="002265C7">
            <w:pPr>
              <w:pStyle w:val="TableFigText"/>
              <w:keepNext/>
              <w:rPr>
                <w:rFonts w:asciiTheme="minorHAnsi" w:hAnsiTheme="minorHAnsi" w:cstheme="minorHAnsi"/>
                <w:szCs w:val="22"/>
              </w:rPr>
            </w:pPr>
            <w:r w:rsidRPr="00B476FB">
              <w:rPr>
                <w:rFonts w:asciiTheme="minorHAnsi" w:hAnsiTheme="minorHAnsi" w:cstheme="minorHAnsi"/>
                <w:szCs w:val="22"/>
              </w:rPr>
              <w:t>Psychiatry registrars and trainees</w:t>
            </w:r>
          </w:p>
        </w:tc>
        <w:tc>
          <w:tcPr>
            <w:tcW w:w="1157" w:type="dxa"/>
            <w:vAlign w:val="bottom"/>
          </w:tcPr>
          <w:p w:rsidR="002265C7" w:rsidRPr="00A454F4" w:rsidRDefault="002265C7" w:rsidP="00694F64">
            <w:pPr>
              <w:pStyle w:val="TableFigText"/>
              <w:jc w:val="right"/>
            </w:pPr>
            <w:r w:rsidRPr="00A454F4">
              <w:t>233.2</w:t>
            </w:r>
          </w:p>
        </w:tc>
        <w:tc>
          <w:tcPr>
            <w:tcW w:w="1348" w:type="dxa"/>
            <w:vAlign w:val="bottom"/>
          </w:tcPr>
          <w:p w:rsidR="002265C7" w:rsidRPr="00A454F4" w:rsidRDefault="002265C7" w:rsidP="00694F64">
            <w:pPr>
              <w:pStyle w:val="TableFigText"/>
              <w:jc w:val="right"/>
            </w:pPr>
            <w:r w:rsidRPr="00A454F4">
              <w:t>26.8</w:t>
            </w:r>
          </w:p>
        </w:tc>
        <w:tc>
          <w:tcPr>
            <w:tcW w:w="1231" w:type="dxa"/>
            <w:vAlign w:val="bottom"/>
          </w:tcPr>
          <w:p w:rsidR="002265C7" w:rsidRPr="00A454F4" w:rsidRDefault="002265C7" w:rsidP="00694F64">
            <w:pPr>
              <w:pStyle w:val="TableFigText"/>
              <w:jc w:val="right"/>
            </w:pPr>
            <w:r w:rsidRPr="00A454F4">
              <w:t>37.7</w:t>
            </w:r>
          </w:p>
        </w:tc>
        <w:tc>
          <w:tcPr>
            <w:tcW w:w="1023" w:type="dxa"/>
            <w:vAlign w:val="bottom"/>
          </w:tcPr>
          <w:p w:rsidR="002265C7" w:rsidRPr="00A454F4" w:rsidRDefault="002265C7" w:rsidP="00694F64">
            <w:pPr>
              <w:pStyle w:val="TableFigText"/>
              <w:jc w:val="right"/>
            </w:pPr>
            <w:r w:rsidRPr="00A454F4">
              <w:t>1.6</w:t>
            </w:r>
          </w:p>
        </w:tc>
        <w:tc>
          <w:tcPr>
            <w:tcW w:w="1070" w:type="dxa"/>
            <w:vAlign w:val="bottom"/>
          </w:tcPr>
          <w:p w:rsidR="002265C7" w:rsidRPr="00A454F4" w:rsidRDefault="002265C7" w:rsidP="00694F64">
            <w:pPr>
              <w:pStyle w:val="TableFigText"/>
              <w:jc w:val="right"/>
            </w:pPr>
            <w:r w:rsidRPr="00A454F4">
              <w:t>0.1</w:t>
            </w:r>
          </w:p>
        </w:tc>
        <w:tc>
          <w:tcPr>
            <w:tcW w:w="1058" w:type="dxa"/>
            <w:vAlign w:val="bottom"/>
          </w:tcPr>
          <w:p w:rsidR="002265C7" w:rsidRPr="00A454F4" w:rsidRDefault="002265C7" w:rsidP="00694F64">
            <w:pPr>
              <w:pStyle w:val="TableFigText"/>
              <w:jc w:val="right"/>
            </w:pPr>
            <w:r w:rsidRPr="00A454F4">
              <w:t>299.5</w:t>
            </w:r>
          </w:p>
        </w:tc>
      </w:tr>
      <w:tr w:rsidR="002265C7" w:rsidRPr="00B476FB" w:rsidTr="002265C7">
        <w:tc>
          <w:tcPr>
            <w:tcW w:w="2399" w:type="dxa"/>
          </w:tcPr>
          <w:p w:rsidR="002265C7" w:rsidRPr="00B476FB" w:rsidRDefault="002265C7" w:rsidP="002265C7">
            <w:pPr>
              <w:pStyle w:val="TableFigText"/>
              <w:keepNext/>
              <w:rPr>
                <w:rFonts w:asciiTheme="minorHAnsi" w:hAnsiTheme="minorHAnsi" w:cstheme="minorHAnsi"/>
                <w:szCs w:val="22"/>
              </w:rPr>
            </w:pPr>
            <w:r w:rsidRPr="00B476FB">
              <w:rPr>
                <w:rFonts w:asciiTheme="minorHAnsi" w:hAnsiTheme="minorHAnsi" w:cstheme="minorHAnsi"/>
                <w:szCs w:val="22"/>
              </w:rPr>
              <w:t>Other medical officers</w:t>
            </w:r>
          </w:p>
        </w:tc>
        <w:tc>
          <w:tcPr>
            <w:tcW w:w="1157" w:type="dxa"/>
            <w:vAlign w:val="bottom"/>
          </w:tcPr>
          <w:p w:rsidR="002265C7" w:rsidRPr="00A454F4" w:rsidRDefault="002265C7" w:rsidP="00694F64">
            <w:pPr>
              <w:pStyle w:val="TableFigText"/>
              <w:jc w:val="right"/>
            </w:pPr>
            <w:r w:rsidRPr="00A454F4">
              <w:t>14.7</w:t>
            </w:r>
          </w:p>
        </w:tc>
        <w:tc>
          <w:tcPr>
            <w:tcW w:w="1348" w:type="dxa"/>
            <w:vAlign w:val="bottom"/>
          </w:tcPr>
          <w:p w:rsidR="002265C7" w:rsidRPr="00A454F4" w:rsidRDefault="002265C7" w:rsidP="00694F64">
            <w:pPr>
              <w:pStyle w:val="TableFigText"/>
              <w:jc w:val="right"/>
            </w:pPr>
            <w:r w:rsidRPr="00A454F4">
              <w:t>6.9</w:t>
            </w:r>
          </w:p>
        </w:tc>
        <w:tc>
          <w:tcPr>
            <w:tcW w:w="1231" w:type="dxa"/>
            <w:vAlign w:val="bottom"/>
          </w:tcPr>
          <w:p w:rsidR="002265C7" w:rsidRPr="00A454F4" w:rsidRDefault="002265C7" w:rsidP="00694F64">
            <w:pPr>
              <w:pStyle w:val="TableFigText"/>
              <w:jc w:val="right"/>
            </w:pPr>
            <w:r w:rsidRPr="00A454F4">
              <w:t>10.9</w:t>
            </w:r>
          </w:p>
        </w:tc>
        <w:tc>
          <w:tcPr>
            <w:tcW w:w="1023" w:type="dxa"/>
            <w:vAlign w:val="bottom"/>
          </w:tcPr>
          <w:p w:rsidR="002265C7" w:rsidRPr="00A454F4" w:rsidRDefault="002265C7" w:rsidP="00694F64">
            <w:pPr>
              <w:pStyle w:val="TableFigText"/>
              <w:jc w:val="right"/>
            </w:pPr>
            <w:r w:rsidRPr="00A454F4">
              <w:t>1.2</w:t>
            </w:r>
          </w:p>
        </w:tc>
        <w:tc>
          <w:tcPr>
            <w:tcW w:w="1070" w:type="dxa"/>
            <w:vAlign w:val="bottom"/>
          </w:tcPr>
          <w:p w:rsidR="002265C7" w:rsidRPr="00A454F4" w:rsidRDefault="002265C7" w:rsidP="00694F64">
            <w:pPr>
              <w:pStyle w:val="TableFigText"/>
              <w:jc w:val="right"/>
            </w:pPr>
            <w:r w:rsidRPr="00A454F4">
              <w:t>0.2</w:t>
            </w:r>
          </w:p>
        </w:tc>
        <w:tc>
          <w:tcPr>
            <w:tcW w:w="1058" w:type="dxa"/>
            <w:vAlign w:val="bottom"/>
          </w:tcPr>
          <w:p w:rsidR="002265C7" w:rsidRPr="00A454F4" w:rsidRDefault="002265C7" w:rsidP="00694F64">
            <w:pPr>
              <w:pStyle w:val="TableFigText"/>
              <w:jc w:val="right"/>
            </w:pPr>
            <w:r w:rsidRPr="00A454F4">
              <w:t>33.8</w:t>
            </w:r>
          </w:p>
        </w:tc>
      </w:tr>
      <w:tr w:rsidR="002265C7" w:rsidRPr="00B476FB" w:rsidTr="002265C7">
        <w:tc>
          <w:tcPr>
            <w:tcW w:w="2399" w:type="dxa"/>
          </w:tcPr>
          <w:p w:rsidR="002265C7" w:rsidRPr="00B476FB" w:rsidRDefault="002265C7" w:rsidP="002265C7">
            <w:pPr>
              <w:pStyle w:val="TableFigText"/>
              <w:keepNext/>
              <w:rPr>
                <w:rFonts w:asciiTheme="minorHAnsi" w:hAnsiTheme="minorHAnsi" w:cstheme="minorHAnsi"/>
                <w:szCs w:val="22"/>
              </w:rPr>
            </w:pPr>
            <w:r w:rsidRPr="00B476FB">
              <w:rPr>
                <w:rFonts w:asciiTheme="minorHAnsi" w:hAnsiTheme="minorHAnsi" w:cstheme="minorHAnsi"/>
                <w:szCs w:val="22"/>
              </w:rPr>
              <w:t>Psychologists</w:t>
            </w:r>
          </w:p>
        </w:tc>
        <w:tc>
          <w:tcPr>
            <w:tcW w:w="1157" w:type="dxa"/>
            <w:vAlign w:val="bottom"/>
          </w:tcPr>
          <w:p w:rsidR="002265C7" w:rsidRPr="00A454F4" w:rsidRDefault="002265C7" w:rsidP="00694F64">
            <w:pPr>
              <w:pStyle w:val="TableFigText"/>
              <w:jc w:val="right"/>
            </w:pPr>
            <w:r w:rsidRPr="00A454F4">
              <w:t>264.1</w:t>
            </w:r>
          </w:p>
        </w:tc>
        <w:tc>
          <w:tcPr>
            <w:tcW w:w="1348" w:type="dxa"/>
            <w:vAlign w:val="bottom"/>
          </w:tcPr>
          <w:p w:rsidR="002265C7" w:rsidRPr="00A454F4" w:rsidRDefault="002265C7" w:rsidP="00694F64">
            <w:pPr>
              <w:pStyle w:val="TableFigText"/>
              <w:jc w:val="right"/>
            </w:pPr>
            <w:r w:rsidRPr="00A454F4">
              <w:t>65.8</w:t>
            </w:r>
          </w:p>
        </w:tc>
        <w:tc>
          <w:tcPr>
            <w:tcW w:w="1231" w:type="dxa"/>
            <w:vAlign w:val="bottom"/>
          </w:tcPr>
          <w:p w:rsidR="002265C7" w:rsidRPr="00A454F4" w:rsidRDefault="002265C7" w:rsidP="00694F64">
            <w:pPr>
              <w:pStyle w:val="TableFigText"/>
              <w:jc w:val="right"/>
            </w:pPr>
            <w:r w:rsidRPr="00A454F4">
              <w:t>96.2</w:t>
            </w:r>
          </w:p>
        </w:tc>
        <w:tc>
          <w:tcPr>
            <w:tcW w:w="1023" w:type="dxa"/>
            <w:vAlign w:val="bottom"/>
          </w:tcPr>
          <w:p w:rsidR="002265C7" w:rsidRPr="00A454F4" w:rsidRDefault="002265C7" w:rsidP="00694F64">
            <w:pPr>
              <w:pStyle w:val="TableFigText"/>
              <w:jc w:val="right"/>
            </w:pPr>
            <w:r w:rsidRPr="00A454F4">
              <w:t>7.0</w:t>
            </w:r>
          </w:p>
        </w:tc>
        <w:tc>
          <w:tcPr>
            <w:tcW w:w="1070" w:type="dxa"/>
            <w:vAlign w:val="bottom"/>
          </w:tcPr>
          <w:p w:rsidR="002265C7" w:rsidRPr="00A454F4" w:rsidRDefault="002265C7" w:rsidP="00694F64">
            <w:pPr>
              <w:pStyle w:val="TableFigText"/>
              <w:jc w:val="right"/>
            </w:pPr>
            <w:r w:rsidRPr="00A454F4">
              <w:t>6.3</w:t>
            </w:r>
          </w:p>
        </w:tc>
        <w:tc>
          <w:tcPr>
            <w:tcW w:w="1058" w:type="dxa"/>
            <w:vAlign w:val="bottom"/>
          </w:tcPr>
          <w:p w:rsidR="002265C7" w:rsidRPr="00A454F4" w:rsidRDefault="002265C7" w:rsidP="00694F64">
            <w:pPr>
              <w:pStyle w:val="TableFigText"/>
              <w:jc w:val="right"/>
            </w:pPr>
            <w:r w:rsidRPr="00A454F4">
              <w:t>439.4</w:t>
            </w:r>
          </w:p>
        </w:tc>
      </w:tr>
      <w:tr w:rsidR="002265C7" w:rsidRPr="00B476FB" w:rsidTr="002265C7">
        <w:tc>
          <w:tcPr>
            <w:tcW w:w="2399" w:type="dxa"/>
          </w:tcPr>
          <w:p w:rsidR="002265C7" w:rsidRPr="00B476FB" w:rsidRDefault="002265C7" w:rsidP="002265C7">
            <w:pPr>
              <w:pStyle w:val="TableFigText"/>
              <w:keepNext/>
              <w:rPr>
                <w:rFonts w:asciiTheme="minorHAnsi" w:hAnsiTheme="minorHAnsi" w:cstheme="minorHAnsi"/>
                <w:szCs w:val="22"/>
              </w:rPr>
            </w:pPr>
            <w:r w:rsidRPr="00B476FB">
              <w:rPr>
                <w:rFonts w:asciiTheme="minorHAnsi" w:hAnsiTheme="minorHAnsi" w:cstheme="minorHAnsi"/>
                <w:szCs w:val="22"/>
              </w:rPr>
              <w:t>Diagnostic and health professionals</w:t>
            </w:r>
            <w:r w:rsidRPr="00B476FB">
              <w:rPr>
                <w:rFonts w:asciiTheme="minorHAnsi" w:hAnsiTheme="minorHAnsi" w:cstheme="minorHAnsi"/>
                <w:szCs w:val="22"/>
                <w:vertAlign w:val="superscript"/>
              </w:rPr>
              <w:t>(b)</w:t>
            </w:r>
          </w:p>
        </w:tc>
        <w:tc>
          <w:tcPr>
            <w:tcW w:w="1157" w:type="dxa"/>
            <w:vAlign w:val="bottom"/>
          </w:tcPr>
          <w:p w:rsidR="002265C7" w:rsidRPr="00A454F4" w:rsidRDefault="002265C7" w:rsidP="00694F64">
            <w:pPr>
              <w:pStyle w:val="TableFigText"/>
              <w:jc w:val="right"/>
            </w:pPr>
            <w:r w:rsidRPr="00A454F4">
              <w:t>541.4</w:t>
            </w:r>
          </w:p>
        </w:tc>
        <w:tc>
          <w:tcPr>
            <w:tcW w:w="1348" w:type="dxa"/>
            <w:vAlign w:val="bottom"/>
          </w:tcPr>
          <w:p w:rsidR="002265C7" w:rsidRPr="00A454F4" w:rsidRDefault="002265C7" w:rsidP="00694F64">
            <w:pPr>
              <w:pStyle w:val="TableFigText"/>
              <w:jc w:val="right"/>
            </w:pPr>
            <w:r w:rsidRPr="00A454F4">
              <w:t>91.2</w:t>
            </w:r>
          </w:p>
        </w:tc>
        <w:tc>
          <w:tcPr>
            <w:tcW w:w="1231" w:type="dxa"/>
            <w:vAlign w:val="bottom"/>
          </w:tcPr>
          <w:p w:rsidR="002265C7" w:rsidRPr="00A454F4" w:rsidRDefault="002265C7" w:rsidP="00694F64">
            <w:pPr>
              <w:pStyle w:val="TableFigText"/>
              <w:jc w:val="right"/>
            </w:pPr>
            <w:r w:rsidRPr="00A454F4">
              <w:t>139.5</w:t>
            </w:r>
          </w:p>
        </w:tc>
        <w:tc>
          <w:tcPr>
            <w:tcW w:w="1023" w:type="dxa"/>
            <w:vAlign w:val="bottom"/>
          </w:tcPr>
          <w:p w:rsidR="002265C7" w:rsidRPr="00A454F4" w:rsidRDefault="002265C7" w:rsidP="00694F64">
            <w:pPr>
              <w:pStyle w:val="TableFigText"/>
              <w:jc w:val="right"/>
            </w:pPr>
            <w:r w:rsidRPr="00A454F4">
              <w:t>12.0</w:t>
            </w:r>
          </w:p>
        </w:tc>
        <w:tc>
          <w:tcPr>
            <w:tcW w:w="1070" w:type="dxa"/>
            <w:vAlign w:val="bottom"/>
          </w:tcPr>
          <w:p w:rsidR="002265C7" w:rsidRPr="00A454F4" w:rsidRDefault="002265C7" w:rsidP="00694F64">
            <w:pPr>
              <w:pStyle w:val="TableFigText"/>
              <w:jc w:val="right"/>
            </w:pPr>
            <w:r w:rsidRPr="00A454F4">
              <w:t>11.9</w:t>
            </w:r>
          </w:p>
        </w:tc>
        <w:tc>
          <w:tcPr>
            <w:tcW w:w="1058" w:type="dxa"/>
            <w:vAlign w:val="bottom"/>
          </w:tcPr>
          <w:p w:rsidR="002265C7" w:rsidRPr="00A454F4" w:rsidRDefault="002265C7" w:rsidP="00694F64">
            <w:pPr>
              <w:pStyle w:val="TableFigText"/>
              <w:jc w:val="right"/>
            </w:pPr>
            <w:r w:rsidRPr="00A454F4">
              <w:t>796.0</w:t>
            </w:r>
          </w:p>
        </w:tc>
      </w:tr>
      <w:tr w:rsidR="002265C7" w:rsidRPr="00B476FB" w:rsidTr="002265C7">
        <w:tc>
          <w:tcPr>
            <w:tcW w:w="2399" w:type="dxa"/>
          </w:tcPr>
          <w:p w:rsidR="002265C7" w:rsidRPr="00B476FB" w:rsidRDefault="002265C7" w:rsidP="002265C7">
            <w:pPr>
              <w:pStyle w:val="TableFigText"/>
              <w:keepNext/>
              <w:rPr>
                <w:rFonts w:asciiTheme="minorHAnsi" w:hAnsiTheme="minorHAnsi" w:cstheme="minorHAnsi"/>
                <w:szCs w:val="22"/>
              </w:rPr>
            </w:pPr>
            <w:r w:rsidRPr="00B476FB">
              <w:rPr>
                <w:rFonts w:asciiTheme="minorHAnsi" w:hAnsiTheme="minorHAnsi" w:cstheme="minorHAnsi"/>
                <w:szCs w:val="22"/>
              </w:rPr>
              <w:t>Nurses</w:t>
            </w:r>
            <w:r w:rsidRPr="00B476FB">
              <w:rPr>
                <w:rFonts w:asciiTheme="minorHAnsi" w:hAnsiTheme="minorHAnsi" w:cstheme="minorHAnsi"/>
                <w:szCs w:val="22"/>
                <w:vertAlign w:val="superscript"/>
              </w:rPr>
              <w:t>(c)</w:t>
            </w:r>
          </w:p>
        </w:tc>
        <w:tc>
          <w:tcPr>
            <w:tcW w:w="1157" w:type="dxa"/>
            <w:vAlign w:val="bottom"/>
          </w:tcPr>
          <w:p w:rsidR="002265C7" w:rsidRPr="00A454F4" w:rsidRDefault="002265C7" w:rsidP="00694F64">
            <w:pPr>
              <w:pStyle w:val="TableFigText"/>
              <w:jc w:val="right"/>
            </w:pPr>
            <w:r w:rsidRPr="00A454F4">
              <w:t>1,841.2</w:t>
            </w:r>
          </w:p>
        </w:tc>
        <w:tc>
          <w:tcPr>
            <w:tcW w:w="1348" w:type="dxa"/>
            <w:vAlign w:val="bottom"/>
          </w:tcPr>
          <w:p w:rsidR="002265C7" w:rsidRPr="00A454F4" w:rsidRDefault="002265C7" w:rsidP="00694F64">
            <w:pPr>
              <w:pStyle w:val="TableFigText"/>
              <w:jc w:val="right"/>
            </w:pPr>
            <w:r w:rsidRPr="00A454F4">
              <w:t>430.5</w:t>
            </w:r>
          </w:p>
        </w:tc>
        <w:tc>
          <w:tcPr>
            <w:tcW w:w="1231" w:type="dxa"/>
            <w:vAlign w:val="bottom"/>
          </w:tcPr>
          <w:p w:rsidR="002265C7" w:rsidRPr="00A454F4" w:rsidRDefault="002265C7" w:rsidP="00694F64">
            <w:pPr>
              <w:pStyle w:val="TableFigText"/>
              <w:jc w:val="right"/>
            </w:pPr>
            <w:r w:rsidRPr="00A454F4">
              <w:t>559.6</w:t>
            </w:r>
          </w:p>
        </w:tc>
        <w:tc>
          <w:tcPr>
            <w:tcW w:w="1023" w:type="dxa"/>
            <w:vAlign w:val="bottom"/>
          </w:tcPr>
          <w:p w:rsidR="002265C7" w:rsidRPr="00A454F4" w:rsidRDefault="002265C7" w:rsidP="00694F64">
            <w:pPr>
              <w:pStyle w:val="TableFigText"/>
              <w:jc w:val="right"/>
            </w:pPr>
            <w:r w:rsidRPr="00A454F4">
              <w:t>34.8</w:t>
            </w:r>
          </w:p>
        </w:tc>
        <w:tc>
          <w:tcPr>
            <w:tcW w:w="1070" w:type="dxa"/>
            <w:vAlign w:val="bottom"/>
          </w:tcPr>
          <w:p w:rsidR="002265C7" w:rsidRPr="00A454F4" w:rsidRDefault="002265C7" w:rsidP="00694F64">
            <w:pPr>
              <w:pStyle w:val="TableFigText"/>
              <w:jc w:val="right"/>
            </w:pPr>
            <w:r w:rsidRPr="00A454F4">
              <w:t>23.1</w:t>
            </w:r>
          </w:p>
        </w:tc>
        <w:tc>
          <w:tcPr>
            <w:tcW w:w="1058" w:type="dxa"/>
            <w:vAlign w:val="bottom"/>
          </w:tcPr>
          <w:p w:rsidR="002265C7" w:rsidRPr="00A454F4" w:rsidRDefault="002265C7" w:rsidP="00694F64">
            <w:pPr>
              <w:pStyle w:val="TableFigText"/>
              <w:jc w:val="right"/>
            </w:pPr>
            <w:r w:rsidRPr="00A454F4">
              <w:t>2,889.2</w:t>
            </w:r>
          </w:p>
        </w:tc>
      </w:tr>
      <w:tr w:rsidR="002265C7" w:rsidRPr="00B476FB" w:rsidTr="002265C7">
        <w:tc>
          <w:tcPr>
            <w:tcW w:w="2399" w:type="dxa"/>
          </w:tcPr>
          <w:p w:rsidR="002265C7" w:rsidRPr="00B476FB" w:rsidRDefault="002265C7" w:rsidP="002265C7">
            <w:pPr>
              <w:pStyle w:val="TableFigText"/>
              <w:keepNext/>
              <w:rPr>
                <w:rFonts w:asciiTheme="minorHAnsi" w:hAnsiTheme="minorHAnsi" w:cstheme="minorHAnsi"/>
                <w:szCs w:val="22"/>
              </w:rPr>
            </w:pPr>
            <w:r w:rsidRPr="00B476FB">
              <w:rPr>
                <w:rFonts w:asciiTheme="minorHAnsi" w:hAnsiTheme="minorHAnsi" w:cstheme="minorHAnsi"/>
                <w:szCs w:val="22"/>
              </w:rPr>
              <w:t>Carer workers</w:t>
            </w:r>
            <w:r w:rsidRPr="00B476FB">
              <w:rPr>
                <w:rFonts w:asciiTheme="minorHAnsi" w:hAnsiTheme="minorHAnsi" w:cstheme="minorHAnsi"/>
                <w:szCs w:val="22"/>
                <w:vertAlign w:val="superscript"/>
              </w:rPr>
              <w:t>(d)</w:t>
            </w:r>
          </w:p>
        </w:tc>
        <w:tc>
          <w:tcPr>
            <w:tcW w:w="1157" w:type="dxa"/>
            <w:vAlign w:val="bottom"/>
          </w:tcPr>
          <w:p w:rsidR="002265C7" w:rsidRPr="00A454F4" w:rsidRDefault="002265C7" w:rsidP="00694F64">
            <w:pPr>
              <w:pStyle w:val="TableFigText"/>
              <w:jc w:val="right"/>
            </w:pPr>
            <w:r w:rsidRPr="00A454F4">
              <w:t>5.1</w:t>
            </w:r>
          </w:p>
        </w:tc>
        <w:tc>
          <w:tcPr>
            <w:tcW w:w="1348" w:type="dxa"/>
            <w:vAlign w:val="bottom"/>
          </w:tcPr>
          <w:p w:rsidR="002265C7" w:rsidRPr="00A454F4" w:rsidRDefault="002265C7" w:rsidP="00694F64">
            <w:pPr>
              <w:pStyle w:val="TableFigText"/>
              <w:jc w:val="right"/>
            </w:pPr>
            <w:r w:rsidRPr="00A454F4">
              <w:t>0.8</w:t>
            </w:r>
          </w:p>
        </w:tc>
        <w:tc>
          <w:tcPr>
            <w:tcW w:w="1231" w:type="dxa"/>
            <w:vAlign w:val="bottom"/>
          </w:tcPr>
          <w:p w:rsidR="002265C7" w:rsidRPr="00A454F4" w:rsidRDefault="002265C7" w:rsidP="00694F64">
            <w:pPr>
              <w:pStyle w:val="TableFigText"/>
              <w:jc w:val="right"/>
            </w:pPr>
            <w:r w:rsidRPr="00A454F4">
              <w:t>0.4</w:t>
            </w:r>
          </w:p>
        </w:tc>
        <w:tc>
          <w:tcPr>
            <w:tcW w:w="1023" w:type="dxa"/>
            <w:vAlign w:val="bottom"/>
          </w:tcPr>
          <w:p w:rsidR="002265C7" w:rsidRPr="00A454F4" w:rsidRDefault="002265C7" w:rsidP="00694F64">
            <w:pPr>
              <w:pStyle w:val="TableFigText"/>
              <w:jc w:val="right"/>
            </w:pPr>
            <w:r w:rsidRPr="00A454F4">
              <w:t>0.0</w:t>
            </w:r>
          </w:p>
        </w:tc>
        <w:tc>
          <w:tcPr>
            <w:tcW w:w="1070" w:type="dxa"/>
            <w:vAlign w:val="bottom"/>
          </w:tcPr>
          <w:p w:rsidR="002265C7" w:rsidRPr="00A454F4" w:rsidRDefault="002265C7" w:rsidP="00694F64">
            <w:pPr>
              <w:pStyle w:val="TableFigText"/>
              <w:jc w:val="right"/>
            </w:pPr>
            <w:r w:rsidRPr="00A454F4">
              <w:t>0.0</w:t>
            </w:r>
          </w:p>
        </w:tc>
        <w:tc>
          <w:tcPr>
            <w:tcW w:w="1058" w:type="dxa"/>
            <w:vAlign w:val="bottom"/>
          </w:tcPr>
          <w:p w:rsidR="002265C7" w:rsidRPr="00A454F4" w:rsidRDefault="002265C7" w:rsidP="00694F64">
            <w:pPr>
              <w:pStyle w:val="TableFigText"/>
              <w:jc w:val="right"/>
            </w:pPr>
            <w:r w:rsidRPr="00A454F4">
              <w:t>6.4</w:t>
            </w:r>
          </w:p>
        </w:tc>
      </w:tr>
      <w:tr w:rsidR="002265C7" w:rsidRPr="00B476FB" w:rsidTr="002265C7">
        <w:tc>
          <w:tcPr>
            <w:tcW w:w="2399" w:type="dxa"/>
          </w:tcPr>
          <w:p w:rsidR="002265C7" w:rsidRPr="00B476FB" w:rsidRDefault="002265C7" w:rsidP="002265C7">
            <w:pPr>
              <w:pStyle w:val="TableFigText"/>
              <w:keepNext/>
              <w:rPr>
                <w:rFonts w:asciiTheme="minorHAnsi" w:hAnsiTheme="minorHAnsi" w:cstheme="minorHAnsi"/>
                <w:szCs w:val="22"/>
              </w:rPr>
            </w:pPr>
            <w:r w:rsidRPr="00B476FB">
              <w:rPr>
                <w:rFonts w:asciiTheme="minorHAnsi" w:hAnsiTheme="minorHAnsi" w:cstheme="minorHAnsi"/>
                <w:szCs w:val="22"/>
              </w:rPr>
              <w:t>Consumer workers</w:t>
            </w:r>
            <w:r w:rsidRPr="00B476FB">
              <w:rPr>
                <w:rFonts w:asciiTheme="minorHAnsi" w:hAnsiTheme="minorHAnsi" w:cstheme="minorHAnsi"/>
                <w:szCs w:val="22"/>
                <w:vertAlign w:val="superscript"/>
              </w:rPr>
              <w:t>(d)</w:t>
            </w:r>
          </w:p>
        </w:tc>
        <w:tc>
          <w:tcPr>
            <w:tcW w:w="1157" w:type="dxa"/>
            <w:vAlign w:val="bottom"/>
          </w:tcPr>
          <w:p w:rsidR="002265C7" w:rsidRPr="00A454F4" w:rsidRDefault="002265C7" w:rsidP="00694F64">
            <w:pPr>
              <w:pStyle w:val="TableFigText"/>
              <w:jc w:val="right"/>
            </w:pPr>
            <w:r w:rsidRPr="00A454F4">
              <w:t>11.8</w:t>
            </w:r>
          </w:p>
        </w:tc>
        <w:tc>
          <w:tcPr>
            <w:tcW w:w="1348" w:type="dxa"/>
            <w:vAlign w:val="bottom"/>
          </w:tcPr>
          <w:p w:rsidR="002265C7" w:rsidRPr="00A454F4" w:rsidRDefault="002265C7" w:rsidP="00694F64">
            <w:pPr>
              <w:pStyle w:val="TableFigText"/>
              <w:jc w:val="right"/>
            </w:pPr>
            <w:r w:rsidRPr="00A454F4">
              <w:t>3.2</w:t>
            </w:r>
          </w:p>
        </w:tc>
        <w:tc>
          <w:tcPr>
            <w:tcW w:w="1231" w:type="dxa"/>
            <w:vAlign w:val="bottom"/>
          </w:tcPr>
          <w:p w:rsidR="002265C7" w:rsidRPr="00A454F4" w:rsidRDefault="002265C7" w:rsidP="00694F64">
            <w:pPr>
              <w:pStyle w:val="TableFigText"/>
              <w:jc w:val="right"/>
            </w:pPr>
            <w:r w:rsidRPr="00A454F4">
              <w:t>3.7</w:t>
            </w:r>
          </w:p>
        </w:tc>
        <w:tc>
          <w:tcPr>
            <w:tcW w:w="1023" w:type="dxa"/>
            <w:vAlign w:val="bottom"/>
          </w:tcPr>
          <w:p w:rsidR="002265C7" w:rsidRPr="00A454F4" w:rsidRDefault="002265C7" w:rsidP="00694F64">
            <w:pPr>
              <w:pStyle w:val="TableFigText"/>
              <w:jc w:val="right"/>
            </w:pPr>
            <w:r w:rsidRPr="00A454F4">
              <w:t>0.5</w:t>
            </w:r>
          </w:p>
        </w:tc>
        <w:tc>
          <w:tcPr>
            <w:tcW w:w="1070" w:type="dxa"/>
            <w:vAlign w:val="bottom"/>
          </w:tcPr>
          <w:p w:rsidR="002265C7" w:rsidRPr="00A454F4" w:rsidRDefault="002265C7" w:rsidP="00694F64">
            <w:pPr>
              <w:pStyle w:val="TableFigText"/>
              <w:jc w:val="right"/>
            </w:pPr>
            <w:r w:rsidRPr="00A454F4">
              <w:t>0.4</w:t>
            </w:r>
          </w:p>
        </w:tc>
        <w:tc>
          <w:tcPr>
            <w:tcW w:w="1058" w:type="dxa"/>
            <w:vAlign w:val="bottom"/>
          </w:tcPr>
          <w:p w:rsidR="002265C7" w:rsidRPr="00A454F4" w:rsidRDefault="002265C7" w:rsidP="00694F64">
            <w:pPr>
              <w:pStyle w:val="TableFigText"/>
              <w:jc w:val="right"/>
            </w:pPr>
            <w:r w:rsidRPr="00A454F4">
              <w:t>19.5</w:t>
            </w:r>
          </w:p>
        </w:tc>
      </w:tr>
      <w:tr w:rsidR="002265C7" w:rsidRPr="00B476FB" w:rsidTr="002265C7">
        <w:tc>
          <w:tcPr>
            <w:tcW w:w="2399" w:type="dxa"/>
          </w:tcPr>
          <w:p w:rsidR="002265C7" w:rsidRPr="00B476FB" w:rsidRDefault="002265C7" w:rsidP="002265C7">
            <w:pPr>
              <w:pStyle w:val="TableFigText"/>
              <w:keepNext/>
              <w:rPr>
                <w:rFonts w:asciiTheme="minorHAnsi" w:hAnsiTheme="minorHAnsi" w:cstheme="minorHAnsi"/>
                <w:szCs w:val="22"/>
              </w:rPr>
            </w:pPr>
            <w:r w:rsidRPr="00B476FB">
              <w:rPr>
                <w:rFonts w:asciiTheme="minorHAnsi" w:hAnsiTheme="minorHAnsi" w:cstheme="minorHAnsi"/>
                <w:szCs w:val="22"/>
              </w:rPr>
              <w:t>Other personal care</w:t>
            </w:r>
            <w:r w:rsidRPr="00B476FB">
              <w:rPr>
                <w:rFonts w:asciiTheme="minorHAnsi" w:hAnsiTheme="minorHAnsi" w:cstheme="minorHAnsi"/>
                <w:szCs w:val="22"/>
                <w:vertAlign w:val="superscript"/>
              </w:rPr>
              <w:t>(e)</w:t>
            </w:r>
          </w:p>
        </w:tc>
        <w:tc>
          <w:tcPr>
            <w:tcW w:w="1157" w:type="dxa"/>
            <w:vAlign w:val="bottom"/>
          </w:tcPr>
          <w:p w:rsidR="002265C7" w:rsidRPr="00A454F4" w:rsidRDefault="002265C7" w:rsidP="00694F64">
            <w:pPr>
              <w:pStyle w:val="TableFigText"/>
              <w:jc w:val="right"/>
            </w:pPr>
            <w:r w:rsidRPr="00A454F4">
              <w:t>85.8</w:t>
            </w:r>
          </w:p>
        </w:tc>
        <w:tc>
          <w:tcPr>
            <w:tcW w:w="1348" w:type="dxa"/>
            <w:vAlign w:val="bottom"/>
          </w:tcPr>
          <w:p w:rsidR="002265C7" w:rsidRPr="00A454F4" w:rsidRDefault="002265C7" w:rsidP="00694F64">
            <w:pPr>
              <w:pStyle w:val="TableFigText"/>
              <w:jc w:val="right"/>
            </w:pPr>
            <w:r w:rsidRPr="00A454F4">
              <w:t>31.1</w:t>
            </w:r>
          </w:p>
        </w:tc>
        <w:tc>
          <w:tcPr>
            <w:tcW w:w="1231" w:type="dxa"/>
            <w:vAlign w:val="bottom"/>
          </w:tcPr>
          <w:p w:rsidR="002265C7" w:rsidRPr="00A454F4" w:rsidRDefault="002265C7" w:rsidP="00694F64">
            <w:pPr>
              <w:pStyle w:val="TableFigText"/>
              <w:jc w:val="right"/>
            </w:pPr>
            <w:r w:rsidRPr="00A454F4">
              <w:t>98.2</w:t>
            </w:r>
          </w:p>
        </w:tc>
        <w:tc>
          <w:tcPr>
            <w:tcW w:w="1023" w:type="dxa"/>
            <w:vAlign w:val="bottom"/>
          </w:tcPr>
          <w:p w:rsidR="002265C7" w:rsidRPr="00A454F4" w:rsidRDefault="002265C7" w:rsidP="00694F64">
            <w:pPr>
              <w:pStyle w:val="TableFigText"/>
              <w:jc w:val="right"/>
            </w:pPr>
            <w:r w:rsidRPr="00A454F4">
              <w:t>6.0</w:t>
            </w:r>
          </w:p>
        </w:tc>
        <w:tc>
          <w:tcPr>
            <w:tcW w:w="1070" w:type="dxa"/>
            <w:vAlign w:val="bottom"/>
          </w:tcPr>
          <w:p w:rsidR="002265C7" w:rsidRPr="00A454F4" w:rsidRDefault="002265C7" w:rsidP="00694F64">
            <w:pPr>
              <w:pStyle w:val="TableFigText"/>
              <w:jc w:val="right"/>
            </w:pPr>
            <w:r w:rsidRPr="00A454F4">
              <w:t>5.4</w:t>
            </w:r>
          </w:p>
        </w:tc>
        <w:tc>
          <w:tcPr>
            <w:tcW w:w="1058" w:type="dxa"/>
            <w:vAlign w:val="bottom"/>
          </w:tcPr>
          <w:p w:rsidR="002265C7" w:rsidRPr="00A454F4" w:rsidRDefault="002265C7" w:rsidP="00694F64">
            <w:pPr>
              <w:pStyle w:val="TableFigText"/>
              <w:jc w:val="right"/>
            </w:pPr>
            <w:r w:rsidRPr="00A454F4">
              <w:t>226.5</w:t>
            </w:r>
          </w:p>
        </w:tc>
      </w:tr>
      <w:tr w:rsidR="002265C7" w:rsidRPr="00B476FB" w:rsidTr="002265C7">
        <w:tc>
          <w:tcPr>
            <w:tcW w:w="2399" w:type="dxa"/>
          </w:tcPr>
          <w:p w:rsidR="002265C7" w:rsidRPr="00B476FB" w:rsidRDefault="002265C7" w:rsidP="002265C7">
            <w:pPr>
              <w:pStyle w:val="TableFigText"/>
              <w:keepNext/>
              <w:rPr>
                <w:rFonts w:asciiTheme="minorHAnsi" w:hAnsiTheme="minorHAnsi" w:cstheme="minorHAnsi"/>
                <w:szCs w:val="22"/>
              </w:rPr>
            </w:pPr>
            <w:r w:rsidRPr="00B476FB">
              <w:rPr>
                <w:rFonts w:asciiTheme="minorHAnsi" w:hAnsiTheme="minorHAnsi" w:cstheme="minorHAnsi"/>
                <w:szCs w:val="22"/>
              </w:rPr>
              <w:t>Other staffing categories</w:t>
            </w:r>
            <w:r w:rsidRPr="00B476FB">
              <w:rPr>
                <w:rFonts w:asciiTheme="minorHAnsi" w:hAnsiTheme="minorHAnsi" w:cstheme="minorHAnsi"/>
                <w:szCs w:val="22"/>
                <w:vertAlign w:val="superscript"/>
              </w:rPr>
              <w:t>(f)</w:t>
            </w:r>
          </w:p>
        </w:tc>
        <w:tc>
          <w:tcPr>
            <w:tcW w:w="1157" w:type="dxa"/>
            <w:vAlign w:val="bottom"/>
          </w:tcPr>
          <w:p w:rsidR="002265C7" w:rsidRPr="00A454F4" w:rsidRDefault="002265C7" w:rsidP="00694F64">
            <w:pPr>
              <w:pStyle w:val="TableFigText"/>
              <w:jc w:val="right"/>
            </w:pPr>
            <w:r w:rsidRPr="00A454F4">
              <w:t>501.6</w:t>
            </w:r>
          </w:p>
        </w:tc>
        <w:tc>
          <w:tcPr>
            <w:tcW w:w="1348" w:type="dxa"/>
            <w:vAlign w:val="bottom"/>
          </w:tcPr>
          <w:p w:rsidR="002265C7" w:rsidRPr="00A454F4" w:rsidRDefault="002265C7" w:rsidP="00694F64">
            <w:pPr>
              <w:pStyle w:val="TableFigText"/>
              <w:jc w:val="right"/>
            </w:pPr>
            <w:r w:rsidRPr="00A454F4">
              <w:t>140.8</w:t>
            </w:r>
          </w:p>
        </w:tc>
        <w:tc>
          <w:tcPr>
            <w:tcW w:w="1231" w:type="dxa"/>
            <w:vAlign w:val="bottom"/>
          </w:tcPr>
          <w:p w:rsidR="002265C7" w:rsidRPr="00A454F4" w:rsidRDefault="002265C7" w:rsidP="00694F64">
            <w:pPr>
              <w:pStyle w:val="TableFigText"/>
              <w:jc w:val="right"/>
            </w:pPr>
            <w:r w:rsidRPr="00A454F4">
              <w:t>199.5</w:t>
            </w:r>
          </w:p>
        </w:tc>
        <w:tc>
          <w:tcPr>
            <w:tcW w:w="1023" w:type="dxa"/>
            <w:vAlign w:val="bottom"/>
          </w:tcPr>
          <w:p w:rsidR="002265C7" w:rsidRPr="00A454F4" w:rsidRDefault="002265C7" w:rsidP="00694F64">
            <w:pPr>
              <w:pStyle w:val="TableFigText"/>
              <w:jc w:val="right"/>
            </w:pPr>
            <w:r w:rsidRPr="00A454F4">
              <w:t>14.8</w:t>
            </w:r>
          </w:p>
        </w:tc>
        <w:tc>
          <w:tcPr>
            <w:tcW w:w="1070" w:type="dxa"/>
            <w:vAlign w:val="bottom"/>
          </w:tcPr>
          <w:p w:rsidR="002265C7" w:rsidRPr="00A454F4" w:rsidRDefault="002265C7" w:rsidP="00694F64">
            <w:pPr>
              <w:pStyle w:val="TableFigText"/>
              <w:jc w:val="right"/>
            </w:pPr>
            <w:r w:rsidRPr="00A454F4">
              <w:t>14.2</w:t>
            </w:r>
          </w:p>
        </w:tc>
        <w:tc>
          <w:tcPr>
            <w:tcW w:w="1058" w:type="dxa"/>
            <w:vAlign w:val="bottom"/>
          </w:tcPr>
          <w:p w:rsidR="002265C7" w:rsidRPr="00A454F4" w:rsidRDefault="002265C7" w:rsidP="00694F64">
            <w:pPr>
              <w:pStyle w:val="TableFigText"/>
              <w:jc w:val="right"/>
            </w:pPr>
            <w:r w:rsidRPr="00A454F4">
              <w:t>870.9</w:t>
            </w:r>
          </w:p>
        </w:tc>
      </w:tr>
      <w:tr w:rsidR="002265C7" w:rsidRPr="00B476FB" w:rsidTr="002265C7">
        <w:tc>
          <w:tcPr>
            <w:tcW w:w="2399" w:type="dxa"/>
          </w:tcPr>
          <w:p w:rsidR="002265C7" w:rsidRPr="00B476FB" w:rsidRDefault="002265C7" w:rsidP="002265C7">
            <w:pPr>
              <w:pStyle w:val="TableFigText"/>
              <w:keepNext/>
              <w:rPr>
                <w:rFonts w:asciiTheme="minorHAnsi" w:hAnsiTheme="minorHAnsi" w:cstheme="minorHAnsi"/>
                <w:b/>
                <w:szCs w:val="22"/>
              </w:rPr>
            </w:pPr>
            <w:r w:rsidRPr="00B476FB">
              <w:rPr>
                <w:rFonts w:asciiTheme="minorHAnsi" w:hAnsiTheme="minorHAnsi" w:cstheme="minorHAnsi"/>
                <w:b/>
                <w:szCs w:val="22"/>
              </w:rPr>
              <w:t>Total</w:t>
            </w:r>
            <w:r w:rsidRPr="00B476FB">
              <w:rPr>
                <w:rFonts w:asciiTheme="minorHAnsi" w:hAnsiTheme="minorHAnsi" w:cstheme="minorHAnsi"/>
                <w:b/>
                <w:szCs w:val="22"/>
                <w:vertAlign w:val="superscript"/>
              </w:rPr>
              <w:t>(a)</w:t>
            </w:r>
          </w:p>
        </w:tc>
        <w:tc>
          <w:tcPr>
            <w:tcW w:w="1157" w:type="dxa"/>
            <w:vAlign w:val="bottom"/>
          </w:tcPr>
          <w:p w:rsidR="002265C7" w:rsidRPr="00694F64" w:rsidRDefault="002265C7" w:rsidP="00694F64">
            <w:pPr>
              <w:pStyle w:val="TableFigText"/>
              <w:jc w:val="right"/>
              <w:rPr>
                <w:b/>
              </w:rPr>
            </w:pPr>
            <w:r w:rsidRPr="00694F64">
              <w:rPr>
                <w:b/>
              </w:rPr>
              <w:t>3,696.9</w:t>
            </w:r>
          </w:p>
        </w:tc>
        <w:tc>
          <w:tcPr>
            <w:tcW w:w="1348" w:type="dxa"/>
            <w:vAlign w:val="bottom"/>
          </w:tcPr>
          <w:p w:rsidR="002265C7" w:rsidRPr="00694F64" w:rsidRDefault="002265C7" w:rsidP="00694F64">
            <w:pPr>
              <w:pStyle w:val="TableFigText"/>
              <w:jc w:val="right"/>
              <w:rPr>
                <w:b/>
              </w:rPr>
            </w:pPr>
            <w:r w:rsidRPr="00694F64">
              <w:rPr>
                <w:b/>
              </w:rPr>
              <w:t>833.5</w:t>
            </w:r>
          </w:p>
        </w:tc>
        <w:tc>
          <w:tcPr>
            <w:tcW w:w="1231" w:type="dxa"/>
            <w:vAlign w:val="bottom"/>
          </w:tcPr>
          <w:p w:rsidR="002265C7" w:rsidRPr="00694F64" w:rsidRDefault="002265C7" w:rsidP="00694F64">
            <w:pPr>
              <w:pStyle w:val="TableFigText"/>
              <w:jc w:val="right"/>
              <w:rPr>
                <w:b/>
              </w:rPr>
            </w:pPr>
            <w:r w:rsidRPr="00694F64">
              <w:rPr>
                <w:b/>
              </w:rPr>
              <w:t>1,188.5</w:t>
            </w:r>
          </w:p>
        </w:tc>
        <w:tc>
          <w:tcPr>
            <w:tcW w:w="1023" w:type="dxa"/>
            <w:vAlign w:val="bottom"/>
          </w:tcPr>
          <w:p w:rsidR="002265C7" w:rsidRPr="00694F64" w:rsidRDefault="002265C7" w:rsidP="00694F64">
            <w:pPr>
              <w:pStyle w:val="TableFigText"/>
              <w:jc w:val="right"/>
              <w:rPr>
                <w:b/>
              </w:rPr>
            </w:pPr>
            <w:r w:rsidRPr="00694F64">
              <w:rPr>
                <w:b/>
              </w:rPr>
              <w:t>80.7</w:t>
            </w:r>
          </w:p>
        </w:tc>
        <w:tc>
          <w:tcPr>
            <w:tcW w:w="1070" w:type="dxa"/>
            <w:vAlign w:val="bottom"/>
          </w:tcPr>
          <w:p w:rsidR="002265C7" w:rsidRPr="00694F64" w:rsidRDefault="002265C7" w:rsidP="00694F64">
            <w:pPr>
              <w:pStyle w:val="TableFigText"/>
              <w:jc w:val="right"/>
              <w:rPr>
                <w:b/>
              </w:rPr>
            </w:pPr>
            <w:r w:rsidRPr="00694F64">
              <w:rPr>
                <w:b/>
              </w:rPr>
              <w:t>63.1</w:t>
            </w:r>
          </w:p>
        </w:tc>
        <w:tc>
          <w:tcPr>
            <w:tcW w:w="1058" w:type="dxa"/>
            <w:vAlign w:val="bottom"/>
          </w:tcPr>
          <w:p w:rsidR="002265C7" w:rsidRPr="00694F64" w:rsidRDefault="002265C7" w:rsidP="00694F64">
            <w:pPr>
              <w:pStyle w:val="TableFigText"/>
              <w:jc w:val="right"/>
              <w:rPr>
                <w:b/>
              </w:rPr>
            </w:pPr>
            <w:r w:rsidRPr="00694F64">
              <w:rPr>
                <w:b/>
              </w:rPr>
              <w:t>5,862.8</w:t>
            </w:r>
          </w:p>
        </w:tc>
      </w:tr>
    </w:tbl>
    <w:p w:rsidR="002265C7" w:rsidRPr="006876F2" w:rsidRDefault="002265C7" w:rsidP="00540186">
      <w:pPr>
        <w:pStyle w:val="TableFigNotesnumbered"/>
        <w:numPr>
          <w:ilvl w:val="0"/>
          <w:numId w:val="76"/>
        </w:numPr>
        <w:rPr>
          <w:rStyle w:val="table-note"/>
        </w:rPr>
      </w:pPr>
      <w:r w:rsidRPr="006876F2">
        <w:rPr>
          <w:rStyle w:val="table-note"/>
        </w:rPr>
        <w:t>Totals may not add due to rounding.</w:t>
      </w:r>
    </w:p>
    <w:p w:rsidR="002265C7" w:rsidRPr="006876F2" w:rsidRDefault="002265C7" w:rsidP="00540186">
      <w:pPr>
        <w:pStyle w:val="TableFigNotesnumbered"/>
        <w:numPr>
          <w:ilvl w:val="0"/>
          <w:numId w:val="76"/>
        </w:numPr>
        <w:rPr>
          <w:rStyle w:val="table-note"/>
        </w:rPr>
      </w:pPr>
      <w:r w:rsidRPr="006876F2">
        <w:rPr>
          <w:rStyle w:val="table-note"/>
        </w:rPr>
        <w:t>Diagnostic and health professionals includes qualified staff (other than qualified medical or nursing staff) engaged in duties of a diagnostic, professional or technical nature and covers all allied health professionals and laboratory technicians, including Social Workers, Occupational Therapists and others  (</w:t>
      </w:r>
      <w:proofErr w:type="spellStart"/>
      <w:r w:rsidRPr="006876F2">
        <w:rPr>
          <w:rStyle w:val="table-note"/>
        </w:rPr>
        <w:t>METeOR</w:t>
      </w:r>
      <w:proofErr w:type="spellEnd"/>
      <w:r w:rsidRPr="006876F2">
        <w:rPr>
          <w:rStyle w:val="table-note"/>
        </w:rPr>
        <w:t xml:space="preserve"> identifier 287611).</w:t>
      </w:r>
    </w:p>
    <w:p w:rsidR="002265C7" w:rsidRPr="006876F2" w:rsidRDefault="002265C7" w:rsidP="00540186">
      <w:pPr>
        <w:pStyle w:val="TableFigNotesnumbered"/>
        <w:numPr>
          <w:ilvl w:val="0"/>
          <w:numId w:val="76"/>
        </w:numPr>
        <w:rPr>
          <w:rStyle w:val="table-note"/>
        </w:rPr>
      </w:pPr>
      <w:r w:rsidRPr="006876F2">
        <w:rPr>
          <w:rStyle w:val="table-note"/>
        </w:rPr>
        <w:t>Includes registered and enrolled nurses.</w:t>
      </w:r>
    </w:p>
    <w:p w:rsidR="002265C7" w:rsidRPr="006876F2" w:rsidRDefault="002265C7" w:rsidP="00540186">
      <w:pPr>
        <w:pStyle w:val="TableFigNotesnumbered"/>
        <w:numPr>
          <w:ilvl w:val="0"/>
          <w:numId w:val="76"/>
        </w:numPr>
        <w:rPr>
          <w:rStyle w:val="table-note"/>
        </w:rPr>
      </w:pPr>
      <w:r w:rsidRPr="006876F2">
        <w:rPr>
          <w:rStyle w:val="table-note"/>
        </w:rPr>
        <w:t xml:space="preserve">The definition of these categories was modified from 'consultants' to 'mental health workers' for the 2010–11 collection, in order to capture a variety of contemporary roles. </w:t>
      </w:r>
    </w:p>
    <w:p w:rsidR="002265C7" w:rsidRPr="006876F2" w:rsidRDefault="002265C7" w:rsidP="00540186">
      <w:pPr>
        <w:pStyle w:val="TableFigNotesnumbered"/>
        <w:numPr>
          <w:ilvl w:val="0"/>
          <w:numId w:val="76"/>
        </w:numPr>
        <w:rPr>
          <w:rStyle w:val="table-note"/>
        </w:rPr>
      </w:pPr>
      <w:r w:rsidRPr="006876F2">
        <w:rPr>
          <w:rStyle w:val="table-note"/>
        </w:rPr>
        <w:t>Other personal care staff includes staff engaged primarily in the provision of personal care to patients or residents, not formally qualified, for example attendants, assistants of home assistance, home companions, family aides, ward helpers, warders, orderlies, ward assistants and nursing assistants (</w:t>
      </w:r>
      <w:proofErr w:type="spellStart"/>
      <w:r w:rsidRPr="006876F2">
        <w:rPr>
          <w:rStyle w:val="table-note"/>
        </w:rPr>
        <w:t>METeOR</w:t>
      </w:r>
      <w:proofErr w:type="spellEnd"/>
      <w:r w:rsidRPr="006876F2">
        <w:rPr>
          <w:rStyle w:val="table-note"/>
        </w:rPr>
        <w:t xml:space="preserve"> 270171).</w:t>
      </w:r>
    </w:p>
    <w:p w:rsidR="002265C7" w:rsidRPr="006876F2" w:rsidRDefault="002265C7" w:rsidP="00540186">
      <w:pPr>
        <w:pStyle w:val="TableFigNotesnumbered"/>
        <w:numPr>
          <w:ilvl w:val="0"/>
          <w:numId w:val="76"/>
        </w:numPr>
        <w:rPr>
          <w:rStyle w:val="table-note"/>
        </w:rPr>
      </w:pPr>
      <w:r w:rsidRPr="006876F2">
        <w:rPr>
          <w:rStyle w:val="table-note"/>
        </w:rPr>
        <w:t xml:space="preserve">Other </w:t>
      </w:r>
      <w:proofErr w:type="gramStart"/>
      <w:r w:rsidRPr="006876F2">
        <w:rPr>
          <w:rStyle w:val="table-note"/>
        </w:rPr>
        <w:t>staff</w:t>
      </w:r>
      <w:proofErr w:type="gramEnd"/>
      <w:r w:rsidRPr="006876F2">
        <w:rPr>
          <w:rStyle w:val="table-note"/>
        </w:rPr>
        <w:t xml:space="preserve"> includes administrative and clerical and domestic and other staff categories. </w:t>
      </w:r>
    </w:p>
    <w:p w:rsidR="002265C7" w:rsidRPr="00207B28" w:rsidRDefault="002265C7" w:rsidP="002265C7">
      <w:pPr>
        <w:spacing w:before="0" w:after="0" w:line="240" w:lineRule="auto"/>
        <w:rPr>
          <w:rFonts w:asciiTheme="minorHAnsi" w:hAnsiTheme="minorHAnsi" w:cstheme="minorHAnsi"/>
        </w:rPr>
      </w:pPr>
    </w:p>
    <w:p w:rsidR="002265C7" w:rsidRPr="006876F2" w:rsidRDefault="002265C7" w:rsidP="002265C7">
      <w:pPr>
        <w:spacing w:before="0" w:after="0" w:line="240" w:lineRule="auto"/>
        <w:rPr>
          <w:rStyle w:val="table-note"/>
          <w:rFonts w:ascii="Arial" w:hAnsi="Arial"/>
          <w:sz w:val="14"/>
          <w:szCs w:val="20"/>
          <w:lang w:eastAsia="en-US"/>
        </w:rPr>
      </w:pPr>
      <w:r w:rsidRPr="006876F2">
        <w:rPr>
          <w:rStyle w:val="table-note"/>
          <w:rFonts w:ascii="Arial" w:hAnsi="Arial"/>
          <w:sz w:val="14"/>
          <w:szCs w:val="20"/>
          <w:lang w:eastAsia="en-US"/>
        </w:rPr>
        <w:t>Notes:</w:t>
      </w:r>
      <w:r w:rsidRPr="006876F2">
        <w:rPr>
          <w:rStyle w:val="table-note"/>
          <w:rFonts w:ascii="Arial" w:hAnsi="Arial"/>
          <w:sz w:val="14"/>
          <w:szCs w:val="20"/>
          <w:lang w:eastAsia="en-US"/>
        </w:rPr>
        <w:tab/>
      </w:r>
    </w:p>
    <w:p w:rsidR="002265C7" w:rsidRPr="006876F2" w:rsidRDefault="002265C7" w:rsidP="00591D14">
      <w:pPr>
        <w:pStyle w:val="ListParagraph"/>
        <w:numPr>
          <w:ilvl w:val="0"/>
          <w:numId w:val="22"/>
        </w:numPr>
        <w:spacing w:after="0" w:line="240" w:lineRule="auto"/>
        <w:rPr>
          <w:rStyle w:val="table-note"/>
          <w:rFonts w:ascii="Arial" w:eastAsia="Times New Roman" w:hAnsi="Arial" w:cs="Times New Roman"/>
          <w:sz w:val="14"/>
          <w:szCs w:val="20"/>
          <w:lang w:eastAsia="en-US"/>
        </w:rPr>
      </w:pPr>
      <w:r w:rsidRPr="006876F2">
        <w:rPr>
          <w:rStyle w:val="table-note"/>
          <w:rFonts w:ascii="Arial" w:eastAsia="Times New Roman" w:hAnsi="Arial" w:cs="Times New Roman"/>
          <w:sz w:val="14"/>
          <w:szCs w:val="20"/>
          <w:lang w:eastAsia="en-US"/>
        </w:rPr>
        <w:t xml:space="preserve">Includes consumer and carer workers and staff employed at a higher organisational level. Excludes staff employed at regional or state level in mental health policy units of the associated relevant health department or equivalent. </w:t>
      </w:r>
    </w:p>
    <w:p w:rsidR="002265C7" w:rsidRPr="006876F2" w:rsidRDefault="002265C7" w:rsidP="00591D14">
      <w:pPr>
        <w:pStyle w:val="ListParagraph"/>
        <w:numPr>
          <w:ilvl w:val="0"/>
          <w:numId w:val="22"/>
        </w:numPr>
        <w:spacing w:after="0" w:line="240" w:lineRule="auto"/>
        <w:rPr>
          <w:rStyle w:val="table-note"/>
          <w:rFonts w:ascii="Arial" w:eastAsia="Times New Roman" w:hAnsi="Arial" w:cs="Times New Roman"/>
          <w:sz w:val="14"/>
          <w:szCs w:val="20"/>
          <w:lang w:eastAsia="en-US"/>
        </w:rPr>
      </w:pPr>
      <w:r w:rsidRPr="006876F2">
        <w:rPr>
          <w:rStyle w:val="table-note"/>
          <w:rFonts w:ascii="Arial" w:eastAsia="Times New Roman" w:hAnsi="Arial" w:cs="Times New Roman"/>
          <w:sz w:val="14"/>
          <w:szCs w:val="20"/>
          <w:lang w:eastAsia="en-US"/>
        </w:rPr>
        <w:t>Queensland implemented a new methodology to calculate FTE in 2009–10 therefore caution should be exercised when conducting time series analysis.</w:t>
      </w:r>
    </w:p>
    <w:p w:rsidR="002265C7" w:rsidRPr="0096114C" w:rsidRDefault="0096114C" w:rsidP="002265C7">
      <w:pPr>
        <w:pStyle w:val="TableCaption"/>
        <w:rPr>
          <w:rStyle w:val="table-note"/>
        </w:rPr>
      </w:pPr>
      <w:r w:rsidRPr="0096114C">
        <w:rPr>
          <w:rStyle w:val="table-note"/>
        </w:rPr>
        <w:lastRenderedPageBreak/>
        <w:t xml:space="preserve">Table 30: </w:t>
      </w:r>
      <w:r w:rsidR="002265C7" w:rsidRPr="0096114C">
        <w:rPr>
          <w:rStyle w:val="table-note"/>
        </w:rPr>
        <w:t xml:space="preserve">QLD: State and territory specialised mental health service activity, by service type, </w:t>
      </w:r>
      <w:r w:rsidR="00541ED8">
        <w:rPr>
          <w:rStyle w:val="table-note"/>
        </w:rPr>
        <w:br/>
      </w:r>
      <w:r w:rsidR="002265C7" w:rsidRPr="0096114C">
        <w:rPr>
          <w:rStyle w:val="table-note"/>
        </w:rPr>
        <w:t xml:space="preserve">2007–08 </w:t>
      </w:r>
    </w:p>
    <w:tbl>
      <w:tblPr>
        <w:tblStyle w:val="TableGrid"/>
        <w:tblW w:w="0" w:type="auto"/>
        <w:tblLook w:val="04A0" w:firstRow="1" w:lastRow="0" w:firstColumn="1" w:lastColumn="0" w:noHBand="0" w:noVBand="1"/>
        <w:tblCaption w:val="QLD: State and territory specialised mental health service activity, by service type, 2007–08 "/>
        <w:tblDescription w:val="Table showing that, in 2007-08, community mental health care contacts was the highest specialised mental health service activity type recorded across all region types in QLD at 1,140,845. This was followed by hospital days at 441,032. All specialised mental health service activity types decreased as regions became more remote. Queensland does not fund community-based residential mental health care services."/>
      </w:tblPr>
      <w:tblGrid>
        <w:gridCol w:w="2221"/>
        <w:gridCol w:w="1187"/>
        <w:gridCol w:w="1347"/>
        <w:gridCol w:w="1233"/>
        <w:gridCol w:w="1039"/>
        <w:gridCol w:w="1062"/>
        <w:gridCol w:w="1197"/>
      </w:tblGrid>
      <w:tr w:rsidR="002265C7" w:rsidRPr="00B476FB" w:rsidTr="000C3DEA">
        <w:trPr>
          <w:tblHeader/>
        </w:trPr>
        <w:tc>
          <w:tcPr>
            <w:tcW w:w="2323" w:type="dxa"/>
          </w:tcPr>
          <w:p w:rsidR="002265C7" w:rsidRPr="00B476FB" w:rsidRDefault="002265C7" w:rsidP="002265C7">
            <w:pPr>
              <w:pStyle w:val="TableFigText"/>
              <w:keepNext/>
              <w:rPr>
                <w:rFonts w:asciiTheme="minorHAnsi" w:hAnsiTheme="minorHAnsi" w:cstheme="minorHAnsi"/>
                <w:szCs w:val="22"/>
              </w:rPr>
            </w:pPr>
          </w:p>
        </w:tc>
        <w:tc>
          <w:tcPr>
            <w:tcW w:w="1219" w:type="dxa"/>
          </w:tcPr>
          <w:p w:rsidR="002265C7" w:rsidRPr="00B476FB" w:rsidRDefault="002265C7" w:rsidP="002265C7">
            <w:pPr>
              <w:pStyle w:val="TableFigText"/>
              <w:keepNext/>
              <w:jc w:val="right"/>
              <w:rPr>
                <w:rFonts w:asciiTheme="minorHAnsi" w:hAnsiTheme="minorHAnsi" w:cstheme="minorHAnsi"/>
                <w:b/>
                <w:szCs w:val="22"/>
              </w:rPr>
            </w:pPr>
            <w:r w:rsidRPr="00B476FB">
              <w:rPr>
                <w:rFonts w:asciiTheme="minorHAnsi" w:hAnsiTheme="minorHAnsi" w:cstheme="minorHAnsi"/>
                <w:b/>
                <w:szCs w:val="22"/>
              </w:rPr>
              <w:t>Major cities</w:t>
            </w:r>
          </w:p>
        </w:tc>
        <w:tc>
          <w:tcPr>
            <w:tcW w:w="1392" w:type="dxa"/>
          </w:tcPr>
          <w:p w:rsidR="002265C7" w:rsidRPr="00B476FB" w:rsidRDefault="002265C7" w:rsidP="002265C7">
            <w:pPr>
              <w:pStyle w:val="TableFigText"/>
              <w:keepNext/>
              <w:jc w:val="right"/>
              <w:rPr>
                <w:rFonts w:asciiTheme="minorHAnsi" w:hAnsiTheme="minorHAnsi" w:cstheme="minorHAnsi"/>
                <w:b/>
                <w:szCs w:val="22"/>
              </w:rPr>
            </w:pPr>
            <w:r w:rsidRPr="00B476FB">
              <w:rPr>
                <w:rFonts w:asciiTheme="minorHAnsi" w:hAnsiTheme="minorHAnsi" w:cstheme="minorHAnsi"/>
                <w:b/>
                <w:szCs w:val="22"/>
              </w:rPr>
              <w:t>Inner regional</w:t>
            </w:r>
          </w:p>
        </w:tc>
        <w:tc>
          <w:tcPr>
            <w:tcW w:w="1269" w:type="dxa"/>
          </w:tcPr>
          <w:p w:rsidR="002265C7" w:rsidRPr="00B476FB" w:rsidRDefault="002265C7" w:rsidP="002265C7">
            <w:pPr>
              <w:pStyle w:val="TableFigText"/>
              <w:keepNext/>
              <w:jc w:val="right"/>
              <w:rPr>
                <w:rFonts w:asciiTheme="minorHAnsi" w:hAnsiTheme="minorHAnsi" w:cstheme="minorHAnsi"/>
                <w:b/>
                <w:szCs w:val="22"/>
              </w:rPr>
            </w:pPr>
            <w:r w:rsidRPr="00B476FB">
              <w:rPr>
                <w:rFonts w:asciiTheme="minorHAnsi" w:hAnsiTheme="minorHAnsi" w:cstheme="minorHAnsi"/>
                <w:b/>
                <w:szCs w:val="22"/>
              </w:rPr>
              <w:t>Outer regional</w:t>
            </w:r>
          </w:p>
        </w:tc>
        <w:tc>
          <w:tcPr>
            <w:tcW w:w="1063" w:type="dxa"/>
          </w:tcPr>
          <w:p w:rsidR="002265C7" w:rsidRPr="00B476FB" w:rsidRDefault="002265C7" w:rsidP="002265C7">
            <w:pPr>
              <w:pStyle w:val="TableFigText"/>
              <w:keepNext/>
              <w:jc w:val="right"/>
              <w:rPr>
                <w:rFonts w:asciiTheme="minorHAnsi" w:hAnsiTheme="minorHAnsi" w:cstheme="minorHAnsi"/>
                <w:b/>
                <w:szCs w:val="22"/>
              </w:rPr>
            </w:pPr>
            <w:r w:rsidRPr="00B476FB">
              <w:rPr>
                <w:rFonts w:asciiTheme="minorHAnsi" w:hAnsiTheme="minorHAnsi" w:cstheme="minorHAnsi"/>
                <w:b/>
                <w:szCs w:val="22"/>
              </w:rPr>
              <w:t>Remote</w:t>
            </w:r>
          </w:p>
        </w:tc>
        <w:tc>
          <w:tcPr>
            <w:tcW w:w="1091" w:type="dxa"/>
          </w:tcPr>
          <w:p w:rsidR="002265C7" w:rsidRPr="00B476FB" w:rsidRDefault="002265C7" w:rsidP="002265C7">
            <w:pPr>
              <w:pStyle w:val="TableFigText"/>
              <w:keepNext/>
              <w:jc w:val="right"/>
              <w:rPr>
                <w:rFonts w:asciiTheme="minorHAnsi" w:hAnsiTheme="minorHAnsi" w:cstheme="minorHAnsi"/>
                <w:b/>
                <w:szCs w:val="22"/>
              </w:rPr>
            </w:pPr>
            <w:r w:rsidRPr="00B476FB">
              <w:rPr>
                <w:rFonts w:asciiTheme="minorHAnsi" w:hAnsiTheme="minorHAnsi" w:cstheme="minorHAnsi"/>
                <w:b/>
                <w:szCs w:val="22"/>
              </w:rPr>
              <w:t>Very remote</w:t>
            </w:r>
          </w:p>
        </w:tc>
        <w:tc>
          <w:tcPr>
            <w:tcW w:w="1219" w:type="dxa"/>
          </w:tcPr>
          <w:p w:rsidR="002265C7" w:rsidRPr="00B476FB" w:rsidRDefault="002265C7" w:rsidP="002265C7">
            <w:pPr>
              <w:pStyle w:val="TableFigText"/>
              <w:keepNext/>
              <w:jc w:val="right"/>
              <w:rPr>
                <w:rFonts w:asciiTheme="minorHAnsi" w:hAnsiTheme="minorHAnsi" w:cstheme="minorHAnsi"/>
                <w:b/>
                <w:szCs w:val="22"/>
              </w:rPr>
            </w:pPr>
            <w:r w:rsidRPr="00B476FB">
              <w:rPr>
                <w:rFonts w:asciiTheme="minorHAnsi" w:hAnsiTheme="minorHAnsi" w:cstheme="minorHAnsi"/>
                <w:b/>
                <w:szCs w:val="22"/>
              </w:rPr>
              <w:t>Total</w:t>
            </w:r>
          </w:p>
        </w:tc>
      </w:tr>
      <w:tr w:rsidR="002265C7" w:rsidRPr="00B476FB" w:rsidTr="002265C7">
        <w:tc>
          <w:tcPr>
            <w:tcW w:w="2323" w:type="dxa"/>
          </w:tcPr>
          <w:p w:rsidR="002265C7" w:rsidRPr="00B476FB" w:rsidRDefault="002265C7" w:rsidP="002265C7">
            <w:pPr>
              <w:pStyle w:val="TableFigText"/>
              <w:keepNext/>
              <w:rPr>
                <w:rFonts w:asciiTheme="minorHAnsi" w:hAnsiTheme="minorHAnsi" w:cstheme="minorHAnsi"/>
                <w:szCs w:val="22"/>
              </w:rPr>
            </w:pPr>
            <w:r w:rsidRPr="00B476FB">
              <w:rPr>
                <w:rFonts w:asciiTheme="minorHAnsi" w:hAnsiTheme="minorHAnsi" w:cstheme="minorHAnsi"/>
                <w:szCs w:val="22"/>
              </w:rPr>
              <w:t>Hospital days</w:t>
            </w:r>
            <w:r w:rsidRPr="00B476FB">
              <w:rPr>
                <w:rFonts w:asciiTheme="minorHAnsi" w:hAnsiTheme="minorHAnsi" w:cstheme="minorHAnsi"/>
                <w:szCs w:val="22"/>
                <w:vertAlign w:val="superscript"/>
              </w:rPr>
              <w:t>(a)</w:t>
            </w:r>
          </w:p>
        </w:tc>
        <w:tc>
          <w:tcPr>
            <w:tcW w:w="1219" w:type="dxa"/>
            <w:vAlign w:val="bottom"/>
          </w:tcPr>
          <w:p w:rsidR="002265C7" w:rsidRPr="00A454F4" w:rsidRDefault="002265C7" w:rsidP="00694F64">
            <w:pPr>
              <w:pStyle w:val="TableFigText"/>
              <w:jc w:val="right"/>
            </w:pPr>
            <w:r w:rsidRPr="00A454F4">
              <w:t>297,300</w:t>
            </w:r>
          </w:p>
        </w:tc>
        <w:tc>
          <w:tcPr>
            <w:tcW w:w="1392" w:type="dxa"/>
            <w:vAlign w:val="bottom"/>
          </w:tcPr>
          <w:p w:rsidR="002265C7" w:rsidRPr="00A454F4" w:rsidRDefault="002265C7" w:rsidP="00694F64">
            <w:pPr>
              <w:pStyle w:val="TableFigText"/>
              <w:jc w:val="right"/>
            </w:pPr>
            <w:r w:rsidRPr="00A454F4">
              <w:t>91,373</w:t>
            </w:r>
          </w:p>
        </w:tc>
        <w:tc>
          <w:tcPr>
            <w:tcW w:w="1269" w:type="dxa"/>
            <w:vAlign w:val="bottom"/>
          </w:tcPr>
          <w:p w:rsidR="002265C7" w:rsidRPr="00A454F4" w:rsidRDefault="002265C7" w:rsidP="00694F64">
            <w:pPr>
              <w:pStyle w:val="TableFigText"/>
              <w:jc w:val="right"/>
            </w:pPr>
            <w:r w:rsidRPr="00A454F4">
              <w:t>48,747</w:t>
            </w:r>
          </w:p>
        </w:tc>
        <w:tc>
          <w:tcPr>
            <w:tcW w:w="1063" w:type="dxa"/>
            <w:vAlign w:val="bottom"/>
          </w:tcPr>
          <w:p w:rsidR="002265C7" w:rsidRPr="00A454F4" w:rsidRDefault="002265C7" w:rsidP="00694F64">
            <w:pPr>
              <w:pStyle w:val="TableFigText"/>
              <w:jc w:val="right"/>
            </w:pPr>
            <w:r w:rsidRPr="00A454F4">
              <w:t>2,857</w:t>
            </w:r>
          </w:p>
        </w:tc>
        <w:tc>
          <w:tcPr>
            <w:tcW w:w="1091" w:type="dxa"/>
            <w:vAlign w:val="bottom"/>
          </w:tcPr>
          <w:p w:rsidR="002265C7" w:rsidRPr="00A454F4" w:rsidRDefault="002265C7" w:rsidP="00694F64">
            <w:pPr>
              <w:pStyle w:val="TableFigText"/>
              <w:jc w:val="right"/>
            </w:pPr>
            <w:r w:rsidRPr="00A454F4">
              <w:t>755</w:t>
            </w:r>
          </w:p>
        </w:tc>
        <w:tc>
          <w:tcPr>
            <w:tcW w:w="1219" w:type="dxa"/>
            <w:vAlign w:val="bottom"/>
          </w:tcPr>
          <w:p w:rsidR="002265C7" w:rsidRPr="00A454F4" w:rsidRDefault="002265C7" w:rsidP="00694F64">
            <w:pPr>
              <w:pStyle w:val="TableFigText"/>
              <w:jc w:val="right"/>
            </w:pPr>
            <w:r w:rsidRPr="00A454F4">
              <w:t>441,032</w:t>
            </w:r>
          </w:p>
        </w:tc>
      </w:tr>
      <w:tr w:rsidR="002265C7" w:rsidRPr="00B476FB" w:rsidTr="002265C7">
        <w:tc>
          <w:tcPr>
            <w:tcW w:w="2323" w:type="dxa"/>
          </w:tcPr>
          <w:p w:rsidR="002265C7" w:rsidRPr="00B476FB" w:rsidRDefault="002265C7" w:rsidP="002265C7">
            <w:pPr>
              <w:pStyle w:val="TableFigText"/>
              <w:keepNext/>
              <w:rPr>
                <w:rFonts w:asciiTheme="minorHAnsi" w:hAnsiTheme="minorHAnsi" w:cstheme="minorHAnsi"/>
                <w:szCs w:val="22"/>
              </w:rPr>
            </w:pPr>
            <w:r w:rsidRPr="00B476FB">
              <w:rPr>
                <w:rFonts w:asciiTheme="minorHAnsi" w:hAnsiTheme="minorHAnsi" w:cstheme="minorHAnsi"/>
                <w:szCs w:val="22"/>
              </w:rPr>
              <w:t>Community mental health care contacts</w:t>
            </w:r>
            <w:r w:rsidRPr="00B476FB">
              <w:rPr>
                <w:rFonts w:asciiTheme="minorHAnsi" w:hAnsiTheme="minorHAnsi" w:cstheme="minorHAnsi"/>
                <w:szCs w:val="22"/>
                <w:vertAlign w:val="superscript"/>
              </w:rPr>
              <w:t>(b)</w:t>
            </w:r>
            <w:r w:rsidRPr="00B476FB">
              <w:rPr>
                <w:rFonts w:asciiTheme="minorHAnsi" w:hAnsiTheme="minorHAnsi" w:cstheme="minorHAnsi"/>
                <w:szCs w:val="22"/>
              </w:rPr>
              <w:t xml:space="preserve"> </w:t>
            </w:r>
          </w:p>
        </w:tc>
        <w:tc>
          <w:tcPr>
            <w:tcW w:w="1219" w:type="dxa"/>
            <w:vAlign w:val="bottom"/>
          </w:tcPr>
          <w:p w:rsidR="002265C7" w:rsidRPr="00A454F4" w:rsidRDefault="002265C7" w:rsidP="00694F64">
            <w:pPr>
              <w:pStyle w:val="TableFigText"/>
              <w:jc w:val="right"/>
            </w:pPr>
            <w:r w:rsidRPr="00A454F4">
              <w:t>759,765</w:t>
            </w:r>
          </w:p>
        </w:tc>
        <w:tc>
          <w:tcPr>
            <w:tcW w:w="1392" w:type="dxa"/>
            <w:vAlign w:val="bottom"/>
          </w:tcPr>
          <w:p w:rsidR="002265C7" w:rsidRPr="00A454F4" w:rsidRDefault="002265C7" w:rsidP="00694F64">
            <w:pPr>
              <w:pStyle w:val="TableFigText"/>
              <w:jc w:val="right"/>
            </w:pPr>
            <w:r w:rsidRPr="00A454F4">
              <w:t>220,029</w:t>
            </w:r>
          </w:p>
        </w:tc>
        <w:tc>
          <w:tcPr>
            <w:tcW w:w="1269" w:type="dxa"/>
            <w:vAlign w:val="bottom"/>
          </w:tcPr>
          <w:p w:rsidR="002265C7" w:rsidRPr="00A454F4" w:rsidRDefault="002265C7" w:rsidP="00694F64">
            <w:pPr>
              <w:pStyle w:val="TableFigText"/>
              <w:jc w:val="right"/>
            </w:pPr>
            <w:r w:rsidRPr="00A454F4">
              <w:t>146,347</w:t>
            </w:r>
          </w:p>
        </w:tc>
        <w:tc>
          <w:tcPr>
            <w:tcW w:w="1063" w:type="dxa"/>
            <w:vAlign w:val="bottom"/>
          </w:tcPr>
          <w:p w:rsidR="002265C7" w:rsidRPr="00A454F4" w:rsidRDefault="002265C7" w:rsidP="00694F64">
            <w:pPr>
              <w:pStyle w:val="TableFigText"/>
              <w:jc w:val="right"/>
            </w:pPr>
            <w:r w:rsidRPr="00A454F4">
              <w:t>7,865</w:t>
            </w:r>
          </w:p>
        </w:tc>
        <w:tc>
          <w:tcPr>
            <w:tcW w:w="1091" w:type="dxa"/>
            <w:vAlign w:val="bottom"/>
          </w:tcPr>
          <w:p w:rsidR="002265C7" w:rsidRPr="00A454F4" w:rsidRDefault="002265C7" w:rsidP="00694F64">
            <w:pPr>
              <w:pStyle w:val="TableFigText"/>
              <w:jc w:val="right"/>
            </w:pPr>
            <w:r w:rsidRPr="00A454F4">
              <w:t>6,839</w:t>
            </w:r>
          </w:p>
        </w:tc>
        <w:tc>
          <w:tcPr>
            <w:tcW w:w="1219" w:type="dxa"/>
            <w:vAlign w:val="bottom"/>
          </w:tcPr>
          <w:p w:rsidR="002265C7" w:rsidRPr="00A454F4" w:rsidRDefault="002265C7" w:rsidP="00694F64">
            <w:pPr>
              <w:pStyle w:val="TableFigText"/>
              <w:jc w:val="right"/>
            </w:pPr>
            <w:r w:rsidRPr="00A454F4">
              <w:t>1,140,845</w:t>
            </w:r>
          </w:p>
        </w:tc>
      </w:tr>
      <w:tr w:rsidR="002265C7" w:rsidRPr="00B476FB" w:rsidTr="002265C7">
        <w:tc>
          <w:tcPr>
            <w:tcW w:w="2323" w:type="dxa"/>
          </w:tcPr>
          <w:p w:rsidR="002265C7" w:rsidRPr="00B476FB" w:rsidRDefault="002265C7" w:rsidP="002265C7">
            <w:pPr>
              <w:pStyle w:val="TableFigText"/>
              <w:keepNext/>
              <w:rPr>
                <w:rFonts w:asciiTheme="minorHAnsi" w:hAnsiTheme="minorHAnsi" w:cstheme="minorHAnsi"/>
                <w:szCs w:val="22"/>
              </w:rPr>
            </w:pPr>
            <w:r w:rsidRPr="00B476FB">
              <w:rPr>
                <w:rFonts w:asciiTheme="minorHAnsi" w:hAnsiTheme="minorHAnsi" w:cstheme="minorHAnsi"/>
                <w:szCs w:val="22"/>
              </w:rPr>
              <w:t>Residential mental health care days</w:t>
            </w:r>
            <w:r w:rsidRPr="00B476FB">
              <w:rPr>
                <w:rFonts w:asciiTheme="minorHAnsi" w:hAnsiTheme="minorHAnsi" w:cstheme="minorHAnsi"/>
                <w:szCs w:val="22"/>
                <w:vertAlign w:val="superscript"/>
              </w:rPr>
              <w:t>(c)</w:t>
            </w:r>
          </w:p>
        </w:tc>
        <w:tc>
          <w:tcPr>
            <w:tcW w:w="1219" w:type="dxa"/>
          </w:tcPr>
          <w:p w:rsidR="002265C7" w:rsidRPr="00B476FB" w:rsidRDefault="002265C7" w:rsidP="00694F64">
            <w:pPr>
              <w:pStyle w:val="TableFigText"/>
              <w:jc w:val="right"/>
            </w:pPr>
            <w:r w:rsidRPr="00B476FB">
              <w:t>0</w:t>
            </w:r>
          </w:p>
        </w:tc>
        <w:tc>
          <w:tcPr>
            <w:tcW w:w="1392" w:type="dxa"/>
          </w:tcPr>
          <w:p w:rsidR="002265C7" w:rsidRPr="00B476FB" w:rsidRDefault="002265C7" w:rsidP="00694F64">
            <w:pPr>
              <w:pStyle w:val="TableFigText"/>
              <w:jc w:val="right"/>
            </w:pPr>
            <w:r w:rsidRPr="00B476FB">
              <w:t>0</w:t>
            </w:r>
          </w:p>
        </w:tc>
        <w:tc>
          <w:tcPr>
            <w:tcW w:w="1269" w:type="dxa"/>
          </w:tcPr>
          <w:p w:rsidR="002265C7" w:rsidRPr="00B476FB" w:rsidRDefault="002265C7" w:rsidP="00694F64">
            <w:pPr>
              <w:pStyle w:val="TableFigText"/>
              <w:jc w:val="right"/>
            </w:pPr>
            <w:r w:rsidRPr="00B476FB">
              <w:t>0</w:t>
            </w:r>
          </w:p>
        </w:tc>
        <w:tc>
          <w:tcPr>
            <w:tcW w:w="1063" w:type="dxa"/>
          </w:tcPr>
          <w:p w:rsidR="002265C7" w:rsidRPr="00B476FB" w:rsidRDefault="002265C7" w:rsidP="00694F64">
            <w:pPr>
              <w:pStyle w:val="TableFigText"/>
              <w:jc w:val="right"/>
            </w:pPr>
            <w:r w:rsidRPr="00B476FB">
              <w:t>0</w:t>
            </w:r>
          </w:p>
        </w:tc>
        <w:tc>
          <w:tcPr>
            <w:tcW w:w="1091" w:type="dxa"/>
          </w:tcPr>
          <w:p w:rsidR="002265C7" w:rsidRPr="00B476FB" w:rsidRDefault="002265C7" w:rsidP="00694F64">
            <w:pPr>
              <w:pStyle w:val="TableFigText"/>
              <w:jc w:val="right"/>
            </w:pPr>
            <w:r w:rsidRPr="00B476FB">
              <w:t>0</w:t>
            </w:r>
          </w:p>
        </w:tc>
        <w:tc>
          <w:tcPr>
            <w:tcW w:w="1219" w:type="dxa"/>
          </w:tcPr>
          <w:p w:rsidR="002265C7" w:rsidRPr="00B476FB" w:rsidRDefault="002265C7" w:rsidP="00694F64">
            <w:pPr>
              <w:pStyle w:val="TableFigText"/>
              <w:jc w:val="right"/>
            </w:pPr>
            <w:r w:rsidRPr="00B476FB">
              <w:t>0</w:t>
            </w:r>
          </w:p>
        </w:tc>
      </w:tr>
    </w:tbl>
    <w:p w:rsidR="002265C7" w:rsidRPr="006876F2" w:rsidRDefault="002265C7" w:rsidP="00540186">
      <w:pPr>
        <w:pStyle w:val="TableFigNotesnumbered"/>
        <w:numPr>
          <w:ilvl w:val="0"/>
          <w:numId w:val="77"/>
        </w:numPr>
        <w:rPr>
          <w:rStyle w:val="table-note"/>
        </w:rPr>
      </w:pPr>
      <w:r w:rsidRPr="006876F2">
        <w:rPr>
          <w:rStyle w:val="table-note"/>
        </w:rPr>
        <w:t xml:space="preserve">Hospital days, also known as accrued mental health care days for public hospital services, will not equal figures reported from the National hospital morbidity database due to scope differences between the two collections.  </w:t>
      </w:r>
    </w:p>
    <w:p w:rsidR="002265C7" w:rsidRPr="006876F2" w:rsidRDefault="002265C7" w:rsidP="00540186">
      <w:pPr>
        <w:pStyle w:val="TableFigNotesnumbered"/>
        <w:numPr>
          <w:ilvl w:val="0"/>
          <w:numId w:val="77"/>
        </w:numPr>
        <w:rPr>
          <w:rStyle w:val="table-note"/>
        </w:rPr>
      </w:pPr>
      <w:r w:rsidRPr="006876F2">
        <w:rPr>
          <w:rStyle w:val="table-note"/>
        </w:rPr>
        <w:t xml:space="preserve">Community mental health care contacts will not equate to those reported from the Community mental health care database due to differing scope. </w:t>
      </w:r>
    </w:p>
    <w:p w:rsidR="002265C7" w:rsidRPr="006876F2" w:rsidRDefault="002265C7" w:rsidP="00540186">
      <w:pPr>
        <w:pStyle w:val="TableFigNotesnumbered"/>
        <w:numPr>
          <w:ilvl w:val="0"/>
          <w:numId w:val="77"/>
        </w:numPr>
        <w:rPr>
          <w:rStyle w:val="table-note"/>
        </w:rPr>
      </w:pPr>
      <w:r w:rsidRPr="006876F2">
        <w:rPr>
          <w:rStyle w:val="table-note"/>
        </w:rPr>
        <w:t>Queensland does not fund community-based residential services, but funds both campus and non-campus based extended treatment services.  Data from these services are included in Hospital days.</w:t>
      </w:r>
      <w:r w:rsidRPr="006876F2">
        <w:rPr>
          <w:rStyle w:val="table-note"/>
        </w:rPr>
        <w:tab/>
      </w:r>
    </w:p>
    <w:p w:rsidR="002265C7" w:rsidRDefault="002265C7" w:rsidP="002265C7">
      <w:pPr>
        <w:keepNext/>
        <w:keepLines/>
        <w:spacing w:before="0" w:after="0" w:line="240" w:lineRule="auto"/>
        <w:rPr>
          <w:rFonts w:asciiTheme="minorHAnsi" w:hAnsiTheme="minorHAnsi" w:cstheme="minorHAnsi"/>
        </w:rPr>
      </w:pPr>
    </w:p>
    <w:p w:rsidR="002265C7" w:rsidRPr="0096114C" w:rsidRDefault="0096114C" w:rsidP="002265C7">
      <w:pPr>
        <w:pStyle w:val="TableCaption"/>
        <w:rPr>
          <w:rStyle w:val="table-note"/>
        </w:rPr>
      </w:pPr>
      <w:r w:rsidRPr="0096114C">
        <w:rPr>
          <w:rStyle w:val="table-note"/>
        </w:rPr>
        <w:t xml:space="preserve">Table 31: </w:t>
      </w:r>
      <w:r w:rsidR="002265C7" w:rsidRPr="0096114C">
        <w:rPr>
          <w:rStyle w:val="table-note"/>
        </w:rPr>
        <w:t xml:space="preserve">QLD: State and territory specialised mental health service activity, by service type, </w:t>
      </w:r>
      <w:r w:rsidR="00541ED8">
        <w:rPr>
          <w:rStyle w:val="table-note"/>
        </w:rPr>
        <w:br/>
      </w:r>
      <w:r w:rsidR="002265C7" w:rsidRPr="0096114C">
        <w:rPr>
          <w:rStyle w:val="table-note"/>
        </w:rPr>
        <w:t>2011–12</w:t>
      </w:r>
    </w:p>
    <w:tbl>
      <w:tblPr>
        <w:tblStyle w:val="TableGrid"/>
        <w:tblW w:w="0" w:type="auto"/>
        <w:tblLook w:val="04A0" w:firstRow="1" w:lastRow="0" w:firstColumn="1" w:lastColumn="0" w:noHBand="0" w:noVBand="1"/>
        <w:tblCaption w:val="QLD: State and territory specialised mental health service activity, by service type, 2011–12"/>
        <w:tblDescription w:val="Table showing that, in 2011-12, community mental health care contacts was the highest specialised mental health service activity type recorded across all region types in QLD at 1,195,862. This was followed by hospital days at 440,267. All specialised mental health service activity types decreased as regions became more remote. Queensland does not fund community-based residential mental health care services."/>
      </w:tblPr>
      <w:tblGrid>
        <w:gridCol w:w="2375"/>
        <w:gridCol w:w="1058"/>
        <w:gridCol w:w="1379"/>
        <w:gridCol w:w="1252"/>
        <w:gridCol w:w="1046"/>
        <w:gridCol w:w="1092"/>
        <w:gridCol w:w="1084"/>
      </w:tblGrid>
      <w:tr w:rsidR="002265C7" w:rsidRPr="00B476FB" w:rsidTr="000C3DEA">
        <w:trPr>
          <w:tblHeader/>
        </w:trPr>
        <w:tc>
          <w:tcPr>
            <w:tcW w:w="2490" w:type="dxa"/>
          </w:tcPr>
          <w:p w:rsidR="002265C7" w:rsidRPr="00B476FB" w:rsidRDefault="002265C7" w:rsidP="002265C7">
            <w:pPr>
              <w:pStyle w:val="TableFigText"/>
              <w:rPr>
                <w:rFonts w:asciiTheme="minorHAnsi" w:hAnsiTheme="minorHAnsi" w:cstheme="minorHAnsi"/>
                <w:szCs w:val="22"/>
              </w:rPr>
            </w:pPr>
          </w:p>
        </w:tc>
        <w:tc>
          <w:tcPr>
            <w:tcW w:w="1079" w:type="dxa"/>
          </w:tcPr>
          <w:p w:rsidR="002265C7" w:rsidRPr="00B476FB" w:rsidRDefault="002265C7" w:rsidP="002265C7">
            <w:pPr>
              <w:pStyle w:val="TableFigText"/>
              <w:jc w:val="right"/>
              <w:rPr>
                <w:rFonts w:asciiTheme="minorHAnsi" w:hAnsiTheme="minorHAnsi" w:cstheme="minorHAnsi"/>
                <w:b/>
                <w:szCs w:val="22"/>
              </w:rPr>
            </w:pPr>
            <w:r w:rsidRPr="00B476FB">
              <w:rPr>
                <w:rFonts w:asciiTheme="minorHAnsi" w:hAnsiTheme="minorHAnsi" w:cstheme="minorHAnsi"/>
                <w:b/>
                <w:szCs w:val="22"/>
              </w:rPr>
              <w:t>Major cities</w:t>
            </w:r>
          </w:p>
        </w:tc>
        <w:tc>
          <w:tcPr>
            <w:tcW w:w="1427" w:type="dxa"/>
          </w:tcPr>
          <w:p w:rsidR="002265C7" w:rsidRPr="00B476FB" w:rsidRDefault="002265C7" w:rsidP="002265C7">
            <w:pPr>
              <w:pStyle w:val="TableFigText"/>
              <w:jc w:val="right"/>
              <w:rPr>
                <w:rFonts w:asciiTheme="minorHAnsi" w:hAnsiTheme="minorHAnsi" w:cstheme="minorHAnsi"/>
                <w:b/>
                <w:szCs w:val="22"/>
              </w:rPr>
            </w:pPr>
            <w:r w:rsidRPr="00B476FB">
              <w:rPr>
                <w:rFonts w:asciiTheme="minorHAnsi" w:hAnsiTheme="minorHAnsi" w:cstheme="minorHAnsi"/>
                <w:b/>
                <w:szCs w:val="22"/>
              </w:rPr>
              <w:t>Inner regional</w:t>
            </w:r>
          </w:p>
        </w:tc>
        <w:tc>
          <w:tcPr>
            <w:tcW w:w="1289" w:type="dxa"/>
          </w:tcPr>
          <w:p w:rsidR="002265C7" w:rsidRPr="00B476FB" w:rsidRDefault="002265C7" w:rsidP="002265C7">
            <w:pPr>
              <w:pStyle w:val="TableFigText"/>
              <w:jc w:val="right"/>
              <w:rPr>
                <w:rFonts w:asciiTheme="minorHAnsi" w:hAnsiTheme="minorHAnsi" w:cstheme="minorHAnsi"/>
                <w:b/>
                <w:szCs w:val="22"/>
              </w:rPr>
            </w:pPr>
            <w:r w:rsidRPr="00B476FB">
              <w:rPr>
                <w:rFonts w:asciiTheme="minorHAnsi" w:hAnsiTheme="minorHAnsi" w:cstheme="minorHAnsi"/>
                <w:b/>
                <w:szCs w:val="22"/>
              </w:rPr>
              <w:t>Outer regional</w:t>
            </w:r>
          </w:p>
        </w:tc>
        <w:tc>
          <w:tcPr>
            <w:tcW w:w="1071" w:type="dxa"/>
          </w:tcPr>
          <w:p w:rsidR="002265C7" w:rsidRPr="00B476FB" w:rsidRDefault="002265C7" w:rsidP="002265C7">
            <w:pPr>
              <w:pStyle w:val="TableFigText"/>
              <w:jc w:val="right"/>
              <w:rPr>
                <w:rFonts w:asciiTheme="minorHAnsi" w:hAnsiTheme="minorHAnsi" w:cstheme="minorHAnsi"/>
                <w:b/>
                <w:szCs w:val="22"/>
              </w:rPr>
            </w:pPr>
            <w:r w:rsidRPr="00B476FB">
              <w:rPr>
                <w:rFonts w:asciiTheme="minorHAnsi" w:hAnsiTheme="minorHAnsi" w:cstheme="minorHAnsi"/>
                <w:b/>
                <w:szCs w:val="22"/>
              </w:rPr>
              <w:t>Remote</w:t>
            </w:r>
          </w:p>
        </w:tc>
        <w:tc>
          <w:tcPr>
            <w:tcW w:w="1123" w:type="dxa"/>
          </w:tcPr>
          <w:p w:rsidR="002265C7" w:rsidRPr="00B476FB" w:rsidRDefault="002265C7" w:rsidP="002265C7">
            <w:pPr>
              <w:pStyle w:val="TableFigText"/>
              <w:jc w:val="right"/>
              <w:rPr>
                <w:rFonts w:asciiTheme="minorHAnsi" w:hAnsiTheme="minorHAnsi" w:cstheme="minorHAnsi"/>
                <w:b/>
                <w:szCs w:val="22"/>
              </w:rPr>
            </w:pPr>
            <w:r w:rsidRPr="00B476FB">
              <w:rPr>
                <w:rFonts w:asciiTheme="minorHAnsi" w:hAnsiTheme="minorHAnsi" w:cstheme="minorHAnsi"/>
                <w:b/>
                <w:szCs w:val="22"/>
              </w:rPr>
              <w:t>Very remote</w:t>
            </w:r>
          </w:p>
        </w:tc>
        <w:tc>
          <w:tcPr>
            <w:tcW w:w="1097" w:type="dxa"/>
          </w:tcPr>
          <w:p w:rsidR="002265C7" w:rsidRPr="00B476FB" w:rsidRDefault="002265C7" w:rsidP="002265C7">
            <w:pPr>
              <w:pStyle w:val="TableFigText"/>
              <w:jc w:val="right"/>
              <w:rPr>
                <w:rFonts w:asciiTheme="minorHAnsi" w:hAnsiTheme="minorHAnsi" w:cstheme="minorHAnsi"/>
                <w:b/>
                <w:szCs w:val="22"/>
              </w:rPr>
            </w:pPr>
            <w:r w:rsidRPr="00B476FB">
              <w:rPr>
                <w:rFonts w:asciiTheme="minorHAnsi" w:hAnsiTheme="minorHAnsi" w:cstheme="minorHAnsi"/>
                <w:b/>
                <w:szCs w:val="22"/>
              </w:rPr>
              <w:t>Total</w:t>
            </w:r>
          </w:p>
        </w:tc>
      </w:tr>
      <w:tr w:rsidR="002265C7" w:rsidRPr="00B476FB" w:rsidTr="002265C7">
        <w:tc>
          <w:tcPr>
            <w:tcW w:w="2490" w:type="dxa"/>
          </w:tcPr>
          <w:p w:rsidR="002265C7" w:rsidRPr="00B476FB" w:rsidRDefault="002265C7" w:rsidP="002265C7">
            <w:pPr>
              <w:pStyle w:val="TableFigText"/>
              <w:rPr>
                <w:rFonts w:asciiTheme="minorHAnsi" w:hAnsiTheme="minorHAnsi" w:cstheme="minorHAnsi"/>
                <w:szCs w:val="22"/>
              </w:rPr>
            </w:pPr>
            <w:r w:rsidRPr="00B476FB">
              <w:rPr>
                <w:rFonts w:asciiTheme="minorHAnsi" w:hAnsiTheme="minorHAnsi" w:cstheme="minorHAnsi"/>
                <w:szCs w:val="22"/>
              </w:rPr>
              <w:t>Hospital days</w:t>
            </w:r>
            <w:r w:rsidRPr="00B476FB">
              <w:rPr>
                <w:rFonts w:asciiTheme="minorHAnsi" w:hAnsiTheme="minorHAnsi" w:cstheme="minorHAnsi"/>
                <w:szCs w:val="22"/>
                <w:vertAlign w:val="superscript"/>
              </w:rPr>
              <w:t>(a)</w:t>
            </w:r>
          </w:p>
        </w:tc>
        <w:tc>
          <w:tcPr>
            <w:tcW w:w="1079" w:type="dxa"/>
            <w:vAlign w:val="bottom"/>
          </w:tcPr>
          <w:p w:rsidR="002265C7" w:rsidRPr="00A454F4" w:rsidRDefault="002265C7" w:rsidP="00694F64">
            <w:pPr>
              <w:pStyle w:val="TableFigText"/>
              <w:jc w:val="right"/>
            </w:pPr>
            <w:r w:rsidRPr="00A454F4">
              <w:t>291,741</w:t>
            </w:r>
          </w:p>
        </w:tc>
        <w:tc>
          <w:tcPr>
            <w:tcW w:w="1427" w:type="dxa"/>
            <w:vAlign w:val="bottom"/>
          </w:tcPr>
          <w:p w:rsidR="002265C7" w:rsidRPr="00A454F4" w:rsidRDefault="002265C7" w:rsidP="00694F64">
            <w:pPr>
              <w:pStyle w:val="TableFigText"/>
              <w:jc w:val="right"/>
            </w:pPr>
            <w:r w:rsidRPr="00A454F4">
              <w:t>95,363</w:t>
            </w:r>
          </w:p>
        </w:tc>
        <w:tc>
          <w:tcPr>
            <w:tcW w:w="1289" w:type="dxa"/>
            <w:vAlign w:val="bottom"/>
          </w:tcPr>
          <w:p w:rsidR="002265C7" w:rsidRPr="00A454F4" w:rsidRDefault="002265C7" w:rsidP="00694F64">
            <w:pPr>
              <w:pStyle w:val="TableFigText"/>
              <w:jc w:val="right"/>
            </w:pPr>
            <w:r w:rsidRPr="00A454F4">
              <w:t>49,841</w:t>
            </w:r>
          </w:p>
        </w:tc>
        <w:tc>
          <w:tcPr>
            <w:tcW w:w="1071" w:type="dxa"/>
            <w:vAlign w:val="bottom"/>
          </w:tcPr>
          <w:p w:rsidR="002265C7" w:rsidRPr="00A454F4" w:rsidRDefault="002265C7" w:rsidP="00694F64">
            <w:pPr>
              <w:pStyle w:val="TableFigText"/>
              <w:jc w:val="right"/>
            </w:pPr>
            <w:r w:rsidRPr="00A454F4">
              <w:t>2,582</w:t>
            </w:r>
          </w:p>
        </w:tc>
        <w:tc>
          <w:tcPr>
            <w:tcW w:w="1123" w:type="dxa"/>
            <w:vAlign w:val="bottom"/>
          </w:tcPr>
          <w:p w:rsidR="002265C7" w:rsidRPr="00A454F4" w:rsidRDefault="002265C7" w:rsidP="00694F64">
            <w:pPr>
              <w:pStyle w:val="TableFigText"/>
              <w:jc w:val="right"/>
            </w:pPr>
            <w:r w:rsidRPr="00A454F4">
              <w:t>741</w:t>
            </w:r>
          </w:p>
        </w:tc>
        <w:tc>
          <w:tcPr>
            <w:tcW w:w="1097" w:type="dxa"/>
            <w:vAlign w:val="bottom"/>
          </w:tcPr>
          <w:p w:rsidR="002265C7" w:rsidRPr="00A454F4" w:rsidRDefault="002265C7" w:rsidP="00694F64">
            <w:pPr>
              <w:pStyle w:val="TableFigText"/>
              <w:jc w:val="right"/>
            </w:pPr>
            <w:r w:rsidRPr="00A454F4">
              <w:t>440,267</w:t>
            </w:r>
          </w:p>
        </w:tc>
      </w:tr>
      <w:tr w:rsidR="002265C7" w:rsidRPr="00B476FB" w:rsidTr="002265C7">
        <w:tc>
          <w:tcPr>
            <w:tcW w:w="2490" w:type="dxa"/>
          </w:tcPr>
          <w:p w:rsidR="002265C7" w:rsidRPr="00B476FB" w:rsidRDefault="002265C7" w:rsidP="002265C7">
            <w:pPr>
              <w:pStyle w:val="TableFigText"/>
              <w:rPr>
                <w:rFonts w:asciiTheme="minorHAnsi" w:hAnsiTheme="minorHAnsi" w:cstheme="minorHAnsi"/>
                <w:szCs w:val="22"/>
              </w:rPr>
            </w:pPr>
            <w:r w:rsidRPr="00B476FB">
              <w:rPr>
                <w:rFonts w:asciiTheme="minorHAnsi" w:hAnsiTheme="minorHAnsi" w:cstheme="minorHAnsi"/>
                <w:szCs w:val="22"/>
              </w:rPr>
              <w:t>Community mental health care contacts</w:t>
            </w:r>
            <w:r w:rsidRPr="00B476FB">
              <w:rPr>
                <w:rFonts w:asciiTheme="minorHAnsi" w:hAnsiTheme="minorHAnsi" w:cstheme="minorHAnsi"/>
                <w:szCs w:val="22"/>
                <w:vertAlign w:val="superscript"/>
              </w:rPr>
              <w:t>(b)</w:t>
            </w:r>
            <w:r w:rsidRPr="00B476FB">
              <w:rPr>
                <w:rFonts w:asciiTheme="minorHAnsi" w:hAnsiTheme="minorHAnsi" w:cstheme="minorHAnsi"/>
                <w:szCs w:val="22"/>
              </w:rPr>
              <w:t xml:space="preserve"> </w:t>
            </w:r>
          </w:p>
        </w:tc>
        <w:tc>
          <w:tcPr>
            <w:tcW w:w="1079" w:type="dxa"/>
            <w:vAlign w:val="bottom"/>
          </w:tcPr>
          <w:p w:rsidR="002265C7" w:rsidRPr="00A454F4" w:rsidRDefault="002265C7" w:rsidP="00694F64">
            <w:pPr>
              <w:pStyle w:val="TableFigText"/>
              <w:jc w:val="right"/>
            </w:pPr>
            <w:r w:rsidRPr="00A454F4">
              <w:t>789,421</w:t>
            </w:r>
          </w:p>
        </w:tc>
        <w:tc>
          <w:tcPr>
            <w:tcW w:w="1427" w:type="dxa"/>
            <w:vAlign w:val="bottom"/>
          </w:tcPr>
          <w:p w:rsidR="002265C7" w:rsidRPr="00A454F4" w:rsidRDefault="002265C7" w:rsidP="00694F64">
            <w:pPr>
              <w:pStyle w:val="TableFigText"/>
              <w:jc w:val="right"/>
            </w:pPr>
            <w:r w:rsidRPr="00A454F4">
              <w:t>224,122</w:t>
            </w:r>
          </w:p>
        </w:tc>
        <w:tc>
          <w:tcPr>
            <w:tcW w:w="1289" w:type="dxa"/>
            <w:vAlign w:val="bottom"/>
          </w:tcPr>
          <w:p w:rsidR="002265C7" w:rsidRPr="00A454F4" w:rsidRDefault="002265C7" w:rsidP="00694F64">
            <w:pPr>
              <w:pStyle w:val="TableFigText"/>
              <w:jc w:val="right"/>
            </w:pPr>
            <w:r w:rsidRPr="00A454F4">
              <w:t>156,683</w:t>
            </w:r>
          </w:p>
        </w:tc>
        <w:tc>
          <w:tcPr>
            <w:tcW w:w="1071" w:type="dxa"/>
            <w:vAlign w:val="bottom"/>
          </w:tcPr>
          <w:p w:rsidR="002265C7" w:rsidRPr="00A454F4" w:rsidRDefault="002265C7" w:rsidP="00694F64">
            <w:pPr>
              <w:pStyle w:val="TableFigText"/>
              <w:jc w:val="right"/>
            </w:pPr>
            <w:r w:rsidRPr="00A454F4">
              <w:t>13,115</w:t>
            </w:r>
          </w:p>
        </w:tc>
        <w:tc>
          <w:tcPr>
            <w:tcW w:w="1123" w:type="dxa"/>
            <w:vAlign w:val="bottom"/>
          </w:tcPr>
          <w:p w:rsidR="002265C7" w:rsidRPr="00A454F4" w:rsidRDefault="002265C7" w:rsidP="00694F64">
            <w:pPr>
              <w:pStyle w:val="TableFigText"/>
              <w:jc w:val="right"/>
            </w:pPr>
            <w:r w:rsidRPr="00A454F4">
              <w:t>12,520</w:t>
            </w:r>
          </w:p>
        </w:tc>
        <w:tc>
          <w:tcPr>
            <w:tcW w:w="1097" w:type="dxa"/>
            <w:vAlign w:val="bottom"/>
          </w:tcPr>
          <w:p w:rsidR="002265C7" w:rsidRPr="00A454F4" w:rsidRDefault="002265C7" w:rsidP="00694F64">
            <w:pPr>
              <w:pStyle w:val="TableFigText"/>
              <w:jc w:val="right"/>
            </w:pPr>
            <w:r w:rsidRPr="00A454F4">
              <w:t>1,195,862</w:t>
            </w:r>
          </w:p>
        </w:tc>
      </w:tr>
      <w:tr w:rsidR="002265C7" w:rsidRPr="00B476FB" w:rsidTr="002265C7">
        <w:tc>
          <w:tcPr>
            <w:tcW w:w="2490" w:type="dxa"/>
          </w:tcPr>
          <w:p w:rsidR="002265C7" w:rsidRPr="00B476FB" w:rsidRDefault="002265C7" w:rsidP="002265C7">
            <w:pPr>
              <w:pStyle w:val="TableFigText"/>
              <w:rPr>
                <w:rFonts w:asciiTheme="minorHAnsi" w:hAnsiTheme="minorHAnsi" w:cstheme="minorHAnsi"/>
                <w:szCs w:val="22"/>
              </w:rPr>
            </w:pPr>
            <w:r w:rsidRPr="00B476FB">
              <w:rPr>
                <w:rFonts w:asciiTheme="minorHAnsi" w:hAnsiTheme="minorHAnsi" w:cstheme="minorHAnsi"/>
                <w:szCs w:val="22"/>
              </w:rPr>
              <w:t>Residential mental health care days</w:t>
            </w:r>
            <w:r w:rsidRPr="00B476FB">
              <w:rPr>
                <w:rFonts w:asciiTheme="minorHAnsi" w:hAnsiTheme="minorHAnsi" w:cstheme="minorHAnsi"/>
                <w:szCs w:val="22"/>
                <w:vertAlign w:val="superscript"/>
              </w:rPr>
              <w:t>(c)</w:t>
            </w:r>
          </w:p>
        </w:tc>
        <w:tc>
          <w:tcPr>
            <w:tcW w:w="1079" w:type="dxa"/>
          </w:tcPr>
          <w:p w:rsidR="002265C7" w:rsidRPr="00B476FB" w:rsidRDefault="002265C7" w:rsidP="00694F64">
            <w:pPr>
              <w:pStyle w:val="TableFigText"/>
              <w:jc w:val="right"/>
            </w:pPr>
            <w:r w:rsidRPr="00B476FB">
              <w:t>0</w:t>
            </w:r>
          </w:p>
        </w:tc>
        <w:tc>
          <w:tcPr>
            <w:tcW w:w="1427" w:type="dxa"/>
          </w:tcPr>
          <w:p w:rsidR="002265C7" w:rsidRPr="00B476FB" w:rsidRDefault="002265C7" w:rsidP="00694F64">
            <w:pPr>
              <w:pStyle w:val="TableFigText"/>
              <w:jc w:val="right"/>
            </w:pPr>
            <w:r w:rsidRPr="00B476FB">
              <w:t>0</w:t>
            </w:r>
          </w:p>
        </w:tc>
        <w:tc>
          <w:tcPr>
            <w:tcW w:w="1289" w:type="dxa"/>
          </w:tcPr>
          <w:p w:rsidR="002265C7" w:rsidRPr="00B476FB" w:rsidRDefault="002265C7" w:rsidP="00694F64">
            <w:pPr>
              <w:pStyle w:val="TableFigText"/>
              <w:jc w:val="right"/>
            </w:pPr>
            <w:r w:rsidRPr="00B476FB">
              <w:t>0</w:t>
            </w:r>
          </w:p>
        </w:tc>
        <w:tc>
          <w:tcPr>
            <w:tcW w:w="1071" w:type="dxa"/>
          </w:tcPr>
          <w:p w:rsidR="002265C7" w:rsidRPr="00B476FB" w:rsidRDefault="002265C7" w:rsidP="00694F64">
            <w:pPr>
              <w:pStyle w:val="TableFigText"/>
              <w:jc w:val="right"/>
            </w:pPr>
            <w:r w:rsidRPr="00B476FB">
              <w:t>0</w:t>
            </w:r>
          </w:p>
        </w:tc>
        <w:tc>
          <w:tcPr>
            <w:tcW w:w="1123" w:type="dxa"/>
          </w:tcPr>
          <w:p w:rsidR="002265C7" w:rsidRPr="00B476FB" w:rsidRDefault="002265C7" w:rsidP="00694F64">
            <w:pPr>
              <w:pStyle w:val="TableFigText"/>
              <w:jc w:val="right"/>
            </w:pPr>
            <w:r w:rsidRPr="00B476FB">
              <w:t>0</w:t>
            </w:r>
          </w:p>
        </w:tc>
        <w:tc>
          <w:tcPr>
            <w:tcW w:w="1097" w:type="dxa"/>
          </w:tcPr>
          <w:p w:rsidR="002265C7" w:rsidRPr="00B476FB" w:rsidRDefault="002265C7" w:rsidP="00694F64">
            <w:pPr>
              <w:pStyle w:val="TableFigText"/>
              <w:jc w:val="right"/>
            </w:pPr>
            <w:r w:rsidRPr="00B476FB">
              <w:t>0</w:t>
            </w:r>
          </w:p>
        </w:tc>
      </w:tr>
    </w:tbl>
    <w:p w:rsidR="002265C7" w:rsidRPr="006876F2" w:rsidRDefault="002265C7" w:rsidP="00540186">
      <w:pPr>
        <w:pStyle w:val="TableFigNotesnumbered"/>
        <w:numPr>
          <w:ilvl w:val="0"/>
          <w:numId w:val="78"/>
        </w:numPr>
        <w:rPr>
          <w:rStyle w:val="table-note"/>
        </w:rPr>
      </w:pPr>
      <w:r w:rsidRPr="006876F2">
        <w:rPr>
          <w:rStyle w:val="table-note"/>
        </w:rPr>
        <w:t xml:space="preserve">Hospital days, also known as accrued mental health care days for public hospital services, will not equal figures reported from the National hospital morbidity database due to scope differences between the two collections.  </w:t>
      </w:r>
    </w:p>
    <w:p w:rsidR="002265C7" w:rsidRPr="006876F2" w:rsidRDefault="002265C7" w:rsidP="00540186">
      <w:pPr>
        <w:pStyle w:val="TableFigNotesnumbered"/>
        <w:numPr>
          <w:ilvl w:val="0"/>
          <w:numId w:val="78"/>
        </w:numPr>
        <w:rPr>
          <w:rStyle w:val="table-note"/>
        </w:rPr>
      </w:pPr>
      <w:r w:rsidRPr="006876F2">
        <w:rPr>
          <w:rStyle w:val="table-note"/>
        </w:rPr>
        <w:t xml:space="preserve">Community mental health care contacts will not equate to those reported from the Community mental health care database due to differing scope. </w:t>
      </w:r>
    </w:p>
    <w:p w:rsidR="002265C7" w:rsidRPr="006876F2" w:rsidRDefault="002265C7" w:rsidP="00540186">
      <w:pPr>
        <w:pStyle w:val="TableFigNotesnumbered"/>
        <w:numPr>
          <w:ilvl w:val="0"/>
          <w:numId w:val="78"/>
        </w:numPr>
        <w:rPr>
          <w:rStyle w:val="table-note"/>
        </w:rPr>
      </w:pPr>
      <w:r w:rsidRPr="006876F2">
        <w:rPr>
          <w:rStyle w:val="table-note"/>
        </w:rPr>
        <w:t>Queensland does not fund community-based residential services, but funds both campus and non-campus based extended treatment services.  Data from these services are included in Hospital days.</w:t>
      </w:r>
      <w:r w:rsidRPr="006876F2">
        <w:rPr>
          <w:rStyle w:val="table-note"/>
        </w:rPr>
        <w:tab/>
      </w:r>
    </w:p>
    <w:p w:rsidR="002265C7" w:rsidRPr="00CD5524" w:rsidRDefault="002265C7" w:rsidP="002265C7"/>
    <w:p w:rsidR="002265C7" w:rsidRDefault="002265C7">
      <w:pPr>
        <w:spacing w:before="0" w:after="0" w:line="240" w:lineRule="auto"/>
      </w:pPr>
      <w:r>
        <w:br w:type="page"/>
      </w:r>
    </w:p>
    <w:p w:rsidR="002265C7" w:rsidRPr="008B7E34" w:rsidRDefault="002265C7" w:rsidP="002265C7">
      <w:pPr>
        <w:pStyle w:val="Heading3"/>
      </w:pPr>
      <w:bookmarkStart w:id="14" w:name="_Toc403057865"/>
      <w:r>
        <w:lastRenderedPageBreak/>
        <w:t>Western Australia</w:t>
      </w:r>
      <w:bookmarkEnd w:id="14"/>
    </w:p>
    <w:p w:rsidR="002265C7" w:rsidRDefault="002265C7" w:rsidP="00694F64">
      <w:pPr>
        <w:pStyle w:val="Bullet1"/>
      </w:pPr>
      <w:r w:rsidRPr="002265C7">
        <w:t>Caution should be used in interpreting Western Australia data for disaggregation by remoteness as service location does not necessarily reflect the catchment are</w:t>
      </w:r>
      <w:r w:rsidR="00566C0D">
        <w:t>a</w:t>
      </w:r>
      <w:r w:rsidRPr="002265C7">
        <w:t xml:space="preserve"> for that service.</w:t>
      </w:r>
    </w:p>
    <w:p w:rsidR="002265C7" w:rsidRPr="0096114C" w:rsidRDefault="0096114C" w:rsidP="002265C7">
      <w:pPr>
        <w:pStyle w:val="TableCaption"/>
        <w:spacing w:line="240" w:lineRule="auto"/>
        <w:rPr>
          <w:rStyle w:val="table-note"/>
        </w:rPr>
      </w:pPr>
      <w:r w:rsidRPr="0096114C">
        <w:rPr>
          <w:rStyle w:val="table-note"/>
        </w:rPr>
        <w:t xml:space="preserve">Table 32: </w:t>
      </w:r>
      <w:r w:rsidR="002265C7" w:rsidRPr="0096114C">
        <w:rPr>
          <w:rStyle w:val="table-note"/>
        </w:rPr>
        <w:t xml:space="preserve">WA: Recurrent </w:t>
      </w:r>
      <w:proofErr w:type="gramStart"/>
      <w:r w:rsidR="002265C7" w:rsidRPr="0096114C">
        <w:rPr>
          <w:rStyle w:val="table-note"/>
        </w:rPr>
        <w:t>expenditure</w:t>
      </w:r>
      <w:r w:rsidR="002265C7" w:rsidRPr="0096114C">
        <w:rPr>
          <w:rStyle w:val="table-note"/>
          <w:vertAlign w:val="superscript"/>
        </w:rPr>
        <w:t>(</w:t>
      </w:r>
      <w:proofErr w:type="gramEnd"/>
      <w:r w:rsidR="002265C7" w:rsidRPr="0096114C">
        <w:rPr>
          <w:rStyle w:val="table-note"/>
          <w:vertAlign w:val="superscript"/>
        </w:rPr>
        <w:t>a)</w:t>
      </w:r>
      <w:r w:rsidR="00E53420" w:rsidRPr="0096114C">
        <w:rPr>
          <w:rStyle w:val="table-note"/>
          <w:vertAlign w:val="superscript"/>
        </w:rPr>
        <w:t>(b)</w:t>
      </w:r>
      <w:r w:rsidR="002265C7" w:rsidRPr="0096114C">
        <w:rPr>
          <w:rStyle w:val="table-note"/>
        </w:rPr>
        <w:t xml:space="preserve"> ($’000) on state and territory specialised mental health services, by service type, 2007–08 (constant prices)</w:t>
      </w:r>
      <w:r w:rsidR="00E53420" w:rsidRPr="0096114C">
        <w:rPr>
          <w:rStyle w:val="table-note"/>
          <w:vertAlign w:val="superscript"/>
        </w:rPr>
        <w:t>(c</w:t>
      </w:r>
      <w:r w:rsidR="002265C7" w:rsidRPr="0096114C">
        <w:rPr>
          <w:rStyle w:val="table-note"/>
          <w:vertAlign w:val="superscript"/>
        </w:rPr>
        <w:t>)</w:t>
      </w:r>
    </w:p>
    <w:tbl>
      <w:tblPr>
        <w:tblStyle w:val="TableGrid"/>
        <w:tblW w:w="0" w:type="auto"/>
        <w:tblLook w:val="04A0" w:firstRow="1" w:lastRow="0" w:firstColumn="1" w:lastColumn="0" w:noHBand="0" w:noVBand="1"/>
        <w:tblCaption w:val="WA: Recurrent expenditure(a)(b) ($’000) on state and territory specialised mental health services, by service type, 2007–08 (constant prices)(c)"/>
        <w:tblDescription w:val="Table showing that, in 2007-2008, major cities in WA have the highest recurrent expenditure for specialised mental health services at $376,722,000. Recurrent expenditure decreased as regions became more remote. Community mental health services had the highest overall, over region types, at $207,512,000, followed by public hospital services at $205,080,000. "/>
      </w:tblPr>
      <w:tblGrid>
        <w:gridCol w:w="2368"/>
        <w:gridCol w:w="1063"/>
        <w:gridCol w:w="1373"/>
        <w:gridCol w:w="1247"/>
        <w:gridCol w:w="1041"/>
        <w:gridCol w:w="1085"/>
        <w:gridCol w:w="1109"/>
      </w:tblGrid>
      <w:tr w:rsidR="002265C7" w:rsidRPr="009A001D" w:rsidTr="000C3DEA">
        <w:trPr>
          <w:tblHeader/>
        </w:trPr>
        <w:tc>
          <w:tcPr>
            <w:tcW w:w="2368" w:type="dxa"/>
          </w:tcPr>
          <w:p w:rsidR="002265C7" w:rsidRPr="009A001D" w:rsidRDefault="002265C7" w:rsidP="002265C7">
            <w:pPr>
              <w:pStyle w:val="TableFigText"/>
              <w:rPr>
                <w:rFonts w:asciiTheme="minorHAnsi" w:hAnsiTheme="minorHAnsi" w:cstheme="minorHAnsi"/>
                <w:szCs w:val="22"/>
              </w:rPr>
            </w:pPr>
          </w:p>
        </w:tc>
        <w:tc>
          <w:tcPr>
            <w:tcW w:w="1063" w:type="dxa"/>
          </w:tcPr>
          <w:p w:rsidR="002265C7" w:rsidRPr="009A001D" w:rsidRDefault="002265C7" w:rsidP="002265C7">
            <w:pPr>
              <w:pStyle w:val="TableFigText"/>
              <w:jc w:val="right"/>
              <w:rPr>
                <w:rFonts w:asciiTheme="minorHAnsi" w:hAnsiTheme="minorHAnsi" w:cstheme="minorHAnsi"/>
                <w:b/>
                <w:szCs w:val="22"/>
              </w:rPr>
            </w:pPr>
            <w:r w:rsidRPr="009A001D">
              <w:rPr>
                <w:rFonts w:asciiTheme="minorHAnsi" w:hAnsiTheme="minorHAnsi" w:cstheme="minorHAnsi"/>
                <w:b/>
                <w:szCs w:val="22"/>
              </w:rPr>
              <w:t>Major cities</w:t>
            </w:r>
          </w:p>
        </w:tc>
        <w:tc>
          <w:tcPr>
            <w:tcW w:w="1373" w:type="dxa"/>
          </w:tcPr>
          <w:p w:rsidR="002265C7" w:rsidRPr="009A001D" w:rsidRDefault="002265C7" w:rsidP="002265C7">
            <w:pPr>
              <w:pStyle w:val="TableFigText"/>
              <w:jc w:val="right"/>
              <w:rPr>
                <w:rFonts w:asciiTheme="minorHAnsi" w:hAnsiTheme="minorHAnsi" w:cstheme="minorHAnsi"/>
                <w:b/>
                <w:szCs w:val="22"/>
              </w:rPr>
            </w:pPr>
            <w:r w:rsidRPr="009A001D">
              <w:rPr>
                <w:rFonts w:asciiTheme="minorHAnsi" w:hAnsiTheme="minorHAnsi" w:cstheme="minorHAnsi"/>
                <w:b/>
                <w:szCs w:val="22"/>
              </w:rPr>
              <w:t>Inner regional</w:t>
            </w:r>
          </w:p>
        </w:tc>
        <w:tc>
          <w:tcPr>
            <w:tcW w:w="1247" w:type="dxa"/>
          </w:tcPr>
          <w:p w:rsidR="002265C7" w:rsidRPr="009A001D" w:rsidRDefault="002265C7" w:rsidP="002265C7">
            <w:pPr>
              <w:pStyle w:val="TableFigText"/>
              <w:jc w:val="right"/>
              <w:rPr>
                <w:rFonts w:asciiTheme="minorHAnsi" w:hAnsiTheme="minorHAnsi" w:cstheme="minorHAnsi"/>
                <w:b/>
                <w:szCs w:val="22"/>
              </w:rPr>
            </w:pPr>
            <w:r w:rsidRPr="009A001D">
              <w:rPr>
                <w:rFonts w:asciiTheme="minorHAnsi" w:hAnsiTheme="minorHAnsi" w:cstheme="minorHAnsi"/>
                <w:b/>
                <w:szCs w:val="22"/>
              </w:rPr>
              <w:t>Outer regional</w:t>
            </w:r>
          </w:p>
        </w:tc>
        <w:tc>
          <w:tcPr>
            <w:tcW w:w="1041" w:type="dxa"/>
          </w:tcPr>
          <w:p w:rsidR="002265C7" w:rsidRPr="009A001D" w:rsidRDefault="002265C7" w:rsidP="002265C7">
            <w:pPr>
              <w:pStyle w:val="TableFigText"/>
              <w:jc w:val="right"/>
              <w:rPr>
                <w:rFonts w:asciiTheme="minorHAnsi" w:hAnsiTheme="minorHAnsi" w:cstheme="minorHAnsi"/>
                <w:b/>
                <w:szCs w:val="22"/>
              </w:rPr>
            </w:pPr>
            <w:r w:rsidRPr="009A001D">
              <w:rPr>
                <w:rFonts w:asciiTheme="minorHAnsi" w:hAnsiTheme="minorHAnsi" w:cstheme="minorHAnsi"/>
                <w:b/>
                <w:szCs w:val="22"/>
              </w:rPr>
              <w:t>Remote</w:t>
            </w:r>
          </w:p>
        </w:tc>
        <w:tc>
          <w:tcPr>
            <w:tcW w:w="1085" w:type="dxa"/>
          </w:tcPr>
          <w:p w:rsidR="002265C7" w:rsidRPr="009A001D" w:rsidRDefault="002265C7" w:rsidP="002265C7">
            <w:pPr>
              <w:pStyle w:val="TableFigText"/>
              <w:jc w:val="right"/>
              <w:rPr>
                <w:rFonts w:asciiTheme="minorHAnsi" w:hAnsiTheme="minorHAnsi" w:cstheme="minorHAnsi"/>
                <w:b/>
                <w:szCs w:val="22"/>
              </w:rPr>
            </w:pPr>
            <w:r w:rsidRPr="009A001D">
              <w:rPr>
                <w:rFonts w:asciiTheme="minorHAnsi" w:hAnsiTheme="minorHAnsi" w:cstheme="minorHAnsi"/>
                <w:b/>
                <w:szCs w:val="22"/>
              </w:rPr>
              <w:t>Very remote</w:t>
            </w:r>
          </w:p>
        </w:tc>
        <w:tc>
          <w:tcPr>
            <w:tcW w:w="1109" w:type="dxa"/>
          </w:tcPr>
          <w:p w:rsidR="002265C7" w:rsidRPr="009A001D" w:rsidRDefault="002265C7" w:rsidP="002265C7">
            <w:pPr>
              <w:pStyle w:val="TableFigText"/>
              <w:jc w:val="right"/>
              <w:rPr>
                <w:rFonts w:asciiTheme="minorHAnsi" w:hAnsiTheme="minorHAnsi" w:cstheme="minorHAnsi"/>
                <w:b/>
                <w:szCs w:val="22"/>
              </w:rPr>
            </w:pPr>
            <w:r w:rsidRPr="009A001D">
              <w:rPr>
                <w:rFonts w:asciiTheme="minorHAnsi" w:hAnsiTheme="minorHAnsi" w:cstheme="minorHAnsi"/>
                <w:b/>
                <w:szCs w:val="22"/>
              </w:rPr>
              <w:t>Total</w:t>
            </w:r>
            <w:r w:rsidR="00E53420" w:rsidRPr="009A001D">
              <w:rPr>
                <w:rFonts w:asciiTheme="minorHAnsi" w:hAnsiTheme="minorHAnsi" w:cstheme="minorHAnsi"/>
                <w:szCs w:val="22"/>
                <w:vertAlign w:val="superscript"/>
              </w:rPr>
              <w:t>(d</w:t>
            </w:r>
            <w:r w:rsidRPr="009A001D">
              <w:rPr>
                <w:rFonts w:asciiTheme="minorHAnsi" w:hAnsiTheme="minorHAnsi" w:cstheme="minorHAnsi"/>
                <w:szCs w:val="22"/>
                <w:vertAlign w:val="superscript"/>
              </w:rPr>
              <w:t>)</w:t>
            </w:r>
          </w:p>
        </w:tc>
      </w:tr>
      <w:tr w:rsidR="002265C7" w:rsidRPr="009A001D" w:rsidTr="00E53420">
        <w:tc>
          <w:tcPr>
            <w:tcW w:w="2368" w:type="dxa"/>
          </w:tcPr>
          <w:p w:rsidR="002265C7" w:rsidRPr="009A001D" w:rsidRDefault="002265C7" w:rsidP="00E53420">
            <w:pPr>
              <w:pStyle w:val="TableFigText"/>
              <w:rPr>
                <w:rFonts w:asciiTheme="minorHAnsi" w:hAnsiTheme="minorHAnsi" w:cstheme="minorHAnsi"/>
                <w:szCs w:val="22"/>
              </w:rPr>
            </w:pPr>
            <w:r w:rsidRPr="009A001D">
              <w:rPr>
                <w:rFonts w:asciiTheme="minorHAnsi" w:hAnsiTheme="minorHAnsi" w:cstheme="minorHAnsi"/>
                <w:szCs w:val="22"/>
              </w:rPr>
              <w:t>Public hospital services</w:t>
            </w:r>
            <w:r w:rsidRPr="009A001D">
              <w:rPr>
                <w:rFonts w:asciiTheme="minorHAnsi" w:hAnsiTheme="minorHAnsi" w:cstheme="minorHAnsi"/>
                <w:szCs w:val="22"/>
                <w:vertAlign w:val="superscript"/>
              </w:rPr>
              <w:t>(</w:t>
            </w:r>
            <w:r w:rsidR="00E53420" w:rsidRPr="009A001D">
              <w:rPr>
                <w:rFonts w:asciiTheme="minorHAnsi" w:hAnsiTheme="minorHAnsi" w:cstheme="minorHAnsi"/>
                <w:szCs w:val="22"/>
                <w:vertAlign w:val="superscript"/>
              </w:rPr>
              <w:t>e</w:t>
            </w:r>
            <w:r w:rsidRPr="009A001D">
              <w:rPr>
                <w:rFonts w:asciiTheme="minorHAnsi" w:hAnsiTheme="minorHAnsi" w:cstheme="minorHAnsi"/>
                <w:szCs w:val="22"/>
                <w:vertAlign w:val="superscript"/>
              </w:rPr>
              <w:t>)(</w:t>
            </w:r>
            <w:r w:rsidR="00E53420" w:rsidRPr="009A001D">
              <w:rPr>
                <w:rFonts w:asciiTheme="minorHAnsi" w:hAnsiTheme="minorHAnsi" w:cstheme="minorHAnsi"/>
                <w:szCs w:val="22"/>
                <w:vertAlign w:val="superscript"/>
              </w:rPr>
              <w:t>f</w:t>
            </w:r>
            <w:r w:rsidRPr="009A001D">
              <w:rPr>
                <w:rFonts w:asciiTheme="minorHAnsi" w:hAnsiTheme="minorHAnsi" w:cstheme="minorHAnsi"/>
                <w:szCs w:val="22"/>
                <w:vertAlign w:val="superscript"/>
              </w:rPr>
              <w:t>)</w:t>
            </w:r>
          </w:p>
        </w:tc>
        <w:tc>
          <w:tcPr>
            <w:tcW w:w="1063" w:type="dxa"/>
          </w:tcPr>
          <w:p w:rsidR="002265C7" w:rsidRPr="009A001D" w:rsidRDefault="002265C7" w:rsidP="00694F64">
            <w:pPr>
              <w:pStyle w:val="TableFigText"/>
              <w:jc w:val="right"/>
            </w:pPr>
            <w:r w:rsidRPr="009A001D">
              <w:t>194,027</w:t>
            </w:r>
          </w:p>
        </w:tc>
        <w:tc>
          <w:tcPr>
            <w:tcW w:w="1373" w:type="dxa"/>
          </w:tcPr>
          <w:p w:rsidR="002265C7" w:rsidRPr="009A001D" w:rsidRDefault="002265C7" w:rsidP="00694F64">
            <w:pPr>
              <w:pStyle w:val="TableFigText"/>
              <w:jc w:val="right"/>
            </w:pPr>
            <w:r w:rsidRPr="009A001D">
              <w:t>6,948</w:t>
            </w:r>
          </w:p>
        </w:tc>
        <w:tc>
          <w:tcPr>
            <w:tcW w:w="1247" w:type="dxa"/>
          </w:tcPr>
          <w:p w:rsidR="002265C7" w:rsidRPr="009A001D" w:rsidRDefault="002265C7" w:rsidP="00694F64">
            <w:pPr>
              <w:pStyle w:val="TableFigText"/>
              <w:jc w:val="right"/>
            </w:pPr>
            <w:r w:rsidRPr="009A001D">
              <w:t>4,106</w:t>
            </w:r>
          </w:p>
        </w:tc>
        <w:tc>
          <w:tcPr>
            <w:tcW w:w="1041" w:type="dxa"/>
          </w:tcPr>
          <w:p w:rsidR="002265C7" w:rsidRPr="009A001D" w:rsidRDefault="002265C7" w:rsidP="00694F64">
            <w:pPr>
              <w:pStyle w:val="TableFigText"/>
              <w:jc w:val="right"/>
            </w:pPr>
            <w:r w:rsidRPr="009A001D">
              <w:t>0</w:t>
            </w:r>
          </w:p>
        </w:tc>
        <w:tc>
          <w:tcPr>
            <w:tcW w:w="1085" w:type="dxa"/>
          </w:tcPr>
          <w:p w:rsidR="002265C7" w:rsidRPr="009A001D" w:rsidRDefault="002265C7" w:rsidP="00694F64">
            <w:pPr>
              <w:pStyle w:val="TableFigText"/>
              <w:jc w:val="right"/>
            </w:pPr>
            <w:r w:rsidRPr="009A001D">
              <w:t>0</w:t>
            </w:r>
          </w:p>
        </w:tc>
        <w:tc>
          <w:tcPr>
            <w:tcW w:w="1109" w:type="dxa"/>
          </w:tcPr>
          <w:p w:rsidR="002265C7" w:rsidRPr="009A001D" w:rsidRDefault="002265C7" w:rsidP="00694F64">
            <w:pPr>
              <w:pStyle w:val="TableFigText"/>
              <w:jc w:val="right"/>
            </w:pPr>
            <w:r w:rsidRPr="009A001D">
              <w:t>205,080</w:t>
            </w:r>
          </w:p>
        </w:tc>
      </w:tr>
      <w:tr w:rsidR="002265C7" w:rsidRPr="009A001D" w:rsidTr="00E53420">
        <w:tc>
          <w:tcPr>
            <w:tcW w:w="2368" w:type="dxa"/>
          </w:tcPr>
          <w:p w:rsidR="002265C7" w:rsidRPr="009A001D" w:rsidRDefault="002265C7" w:rsidP="002265C7">
            <w:pPr>
              <w:pStyle w:val="TableFigText"/>
              <w:rPr>
                <w:rFonts w:asciiTheme="minorHAnsi" w:hAnsiTheme="minorHAnsi" w:cstheme="minorHAnsi"/>
                <w:szCs w:val="22"/>
              </w:rPr>
            </w:pPr>
            <w:r w:rsidRPr="009A001D">
              <w:rPr>
                <w:rFonts w:asciiTheme="minorHAnsi" w:hAnsiTheme="minorHAnsi" w:cstheme="minorHAnsi"/>
                <w:szCs w:val="22"/>
              </w:rPr>
              <w:t>Community mental health services</w:t>
            </w:r>
          </w:p>
        </w:tc>
        <w:tc>
          <w:tcPr>
            <w:tcW w:w="1063" w:type="dxa"/>
          </w:tcPr>
          <w:p w:rsidR="002265C7" w:rsidRPr="009A001D" w:rsidRDefault="002265C7" w:rsidP="00694F64">
            <w:pPr>
              <w:pStyle w:val="TableFigText"/>
              <w:jc w:val="right"/>
            </w:pPr>
            <w:r w:rsidRPr="009A001D">
              <w:t>173,267</w:t>
            </w:r>
          </w:p>
        </w:tc>
        <w:tc>
          <w:tcPr>
            <w:tcW w:w="1373" w:type="dxa"/>
          </w:tcPr>
          <w:p w:rsidR="002265C7" w:rsidRPr="009A001D" w:rsidRDefault="002265C7" w:rsidP="00694F64">
            <w:pPr>
              <w:pStyle w:val="TableFigText"/>
              <w:jc w:val="right"/>
            </w:pPr>
            <w:r w:rsidRPr="009A001D">
              <w:t>14,243</w:t>
            </w:r>
          </w:p>
        </w:tc>
        <w:tc>
          <w:tcPr>
            <w:tcW w:w="1247" w:type="dxa"/>
          </w:tcPr>
          <w:p w:rsidR="002265C7" w:rsidRPr="009A001D" w:rsidRDefault="002265C7" w:rsidP="00694F64">
            <w:pPr>
              <w:pStyle w:val="TableFigText"/>
              <w:jc w:val="right"/>
            </w:pPr>
            <w:r w:rsidRPr="009A001D">
              <w:t>12,835</w:t>
            </w:r>
          </w:p>
        </w:tc>
        <w:tc>
          <w:tcPr>
            <w:tcW w:w="1041" w:type="dxa"/>
          </w:tcPr>
          <w:p w:rsidR="002265C7" w:rsidRPr="009A001D" w:rsidRDefault="002265C7" w:rsidP="00694F64">
            <w:pPr>
              <w:pStyle w:val="TableFigText"/>
              <w:jc w:val="right"/>
            </w:pPr>
            <w:r w:rsidRPr="009A001D">
              <w:t>6,316</w:t>
            </w:r>
          </w:p>
        </w:tc>
        <w:tc>
          <w:tcPr>
            <w:tcW w:w="1085" w:type="dxa"/>
          </w:tcPr>
          <w:p w:rsidR="002265C7" w:rsidRPr="009A001D" w:rsidRDefault="002265C7" w:rsidP="00694F64">
            <w:pPr>
              <w:pStyle w:val="TableFigText"/>
              <w:jc w:val="right"/>
            </w:pPr>
            <w:r w:rsidRPr="009A001D">
              <w:t>851</w:t>
            </w:r>
          </w:p>
        </w:tc>
        <w:tc>
          <w:tcPr>
            <w:tcW w:w="1109" w:type="dxa"/>
          </w:tcPr>
          <w:p w:rsidR="002265C7" w:rsidRPr="009A001D" w:rsidRDefault="002265C7" w:rsidP="00694F64">
            <w:pPr>
              <w:pStyle w:val="TableFigText"/>
              <w:jc w:val="right"/>
            </w:pPr>
            <w:r w:rsidRPr="009A001D">
              <w:t>207,512</w:t>
            </w:r>
          </w:p>
        </w:tc>
      </w:tr>
      <w:tr w:rsidR="002265C7" w:rsidRPr="009A001D" w:rsidTr="00E53420">
        <w:tc>
          <w:tcPr>
            <w:tcW w:w="2368" w:type="dxa"/>
          </w:tcPr>
          <w:p w:rsidR="002265C7" w:rsidRPr="009A001D" w:rsidRDefault="002265C7" w:rsidP="00E53420">
            <w:pPr>
              <w:pStyle w:val="TableFigText"/>
              <w:rPr>
                <w:rFonts w:asciiTheme="minorHAnsi" w:hAnsiTheme="minorHAnsi" w:cstheme="minorHAnsi"/>
                <w:szCs w:val="22"/>
              </w:rPr>
            </w:pPr>
            <w:r w:rsidRPr="009A001D">
              <w:rPr>
                <w:rFonts w:asciiTheme="minorHAnsi" w:hAnsiTheme="minorHAnsi" w:cstheme="minorHAnsi"/>
                <w:szCs w:val="22"/>
              </w:rPr>
              <w:t>Residential mental health services</w:t>
            </w:r>
            <w:r w:rsidRPr="009A001D">
              <w:rPr>
                <w:rFonts w:asciiTheme="minorHAnsi" w:hAnsiTheme="minorHAnsi" w:cstheme="minorHAnsi"/>
                <w:szCs w:val="22"/>
                <w:vertAlign w:val="superscript"/>
              </w:rPr>
              <w:t>(</w:t>
            </w:r>
            <w:r w:rsidR="00E53420" w:rsidRPr="009A001D">
              <w:rPr>
                <w:rFonts w:asciiTheme="minorHAnsi" w:hAnsiTheme="minorHAnsi" w:cstheme="minorHAnsi"/>
                <w:szCs w:val="22"/>
                <w:vertAlign w:val="superscript"/>
              </w:rPr>
              <w:t>g</w:t>
            </w:r>
            <w:r w:rsidRPr="009A001D">
              <w:rPr>
                <w:rFonts w:asciiTheme="minorHAnsi" w:hAnsiTheme="minorHAnsi" w:cstheme="minorHAnsi"/>
                <w:szCs w:val="22"/>
                <w:vertAlign w:val="superscript"/>
              </w:rPr>
              <w:t>)</w:t>
            </w:r>
          </w:p>
        </w:tc>
        <w:tc>
          <w:tcPr>
            <w:tcW w:w="1063" w:type="dxa"/>
          </w:tcPr>
          <w:p w:rsidR="002265C7" w:rsidRPr="009A001D" w:rsidRDefault="002265C7" w:rsidP="00694F64">
            <w:pPr>
              <w:pStyle w:val="TableFigText"/>
              <w:jc w:val="right"/>
            </w:pPr>
            <w:r w:rsidRPr="009A001D">
              <w:t>9,428</w:t>
            </w:r>
          </w:p>
        </w:tc>
        <w:tc>
          <w:tcPr>
            <w:tcW w:w="1373" w:type="dxa"/>
          </w:tcPr>
          <w:p w:rsidR="002265C7" w:rsidRPr="009A001D" w:rsidRDefault="002265C7" w:rsidP="00694F64">
            <w:pPr>
              <w:pStyle w:val="TableFigText"/>
              <w:jc w:val="right"/>
            </w:pPr>
            <w:r w:rsidRPr="009A001D">
              <w:t>423</w:t>
            </w:r>
          </w:p>
        </w:tc>
        <w:tc>
          <w:tcPr>
            <w:tcW w:w="1247" w:type="dxa"/>
          </w:tcPr>
          <w:p w:rsidR="002265C7" w:rsidRPr="009A001D" w:rsidRDefault="002265C7" w:rsidP="00694F64">
            <w:pPr>
              <w:pStyle w:val="TableFigText"/>
              <w:jc w:val="right"/>
            </w:pPr>
            <w:r w:rsidRPr="009A001D">
              <w:t>1,010</w:t>
            </w:r>
          </w:p>
        </w:tc>
        <w:tc>
          <w:tcPr>
            <w:tcW w:w="1041" w:type="dxa"/>
          </w:tcPr>
          <w:p w:rsidR="002265C7" w:rsidRPr="009A001D" w:rsidRDefault="002265C7" w:rsidP="00694F64">
            <w:pPr>
              <w:pStyle w:val="TableFigText"/>
              <w:jc w:val="right"/>
            </w:pPr>
            <w:r w:rsidRPr="009A001D">
              <w:t>0</w:t>
            </w:r>
          </w:p>
        </w:tc>
        <w:tc>
          <w:tcPr>
            <w:tcW w:w="1085" w:type="dxa"/>
          </w:tcPr>
          <w:p w:rsidR="002265C7" w:rsidRPr="009A001D" w:rsidRDefault="002265C7" w:rsidP="00694F64">
            <w:pPr>
              <w:pStyle w:val="TableFigText"/>
              <w:jc w:val="right"/>
            </w:pPr>
            <w:r w:rsidRPr="009A001D">
              <w:t>0</w:t>
            </w:r>
          </w:p>
        </w:tc>
        <w:tc>
          <w:tcPr>
            <w:tcW w:w="1109" w:type="dxa"/>
          </w:tcPr>
          <w:p w:rsidR="002265C7" w:rsidRPr="009A001D" w:rsidRDefault="002265C7" w:rsidP="00694F64">
            <w:pPr>
              <w:pStyle w:val="TableFigText"/>
              <w:jc w:val="right"/>
            </w:pPr>
            <w:r w:rsidRPr="009A001D">
              <w:t>10,861</w:t>
            </w:r>
          </w:p>
        </w:tc>
      </w:tr>
      <w:tr w:rsidR="002265C7" w:rsidRPr="009A001D" w:rsidTr="00E53420">
        <w:tc>
          <w:tcPr>
            <w:tcW w:w="2368" w:type="dxa"/>
          </w:tcPr>
          <w:p w:rsidR="002265C7" w:rsidRPr="00694F64" w:rsidRDefault="002265C7" w:rsidP="00E53420">
            <w:pPr>
              <w:pStyle w:val="TableFigText"/>
              <w:rPr>
                <w:rFonts w:asciiTheme="minorHAnsi" w:hAnsiTheme="minorHAnsi" w:cstheme="minorHAnsi"/>
                <w:b/>
                <w:szCs w:val="22"/>
              </w:rPr>
            </w:pPr>
            <w:r w:rsidRPr="00694F64">
              <w:rPr>
                <w:rFonts w:asciiTheme="minorHAnsi" w:hAnsiTheme="minorHAnsi" w:cstheme="minorHAnsi"/>
                <w:b/>
                <w:szCs w:val="22"/>
              </w:rPr>
              <w:t>All mental health service types</w:t>
            </w:r>
            <w:r w:rsidRPr="00694F64">
              <w:rPr>
                <w:rFonts w:asciiTheme="minorHAnsi" w:hAnsiTheme="minorHAnsi" w:cstheme="minorHAnsi"/>
                <w:b/>
                <w:szCs w:val="22"/>
                <w:vertAlign w:val="superscript"/>
              </w:rPr>
              <w:t>(</w:t>
            </w:r>
            <w:r w:rsidR="00E53420" w:rsidRPr="00694F64">
              <w:rPr>
                <w:rFonts w:asciiTheme="minorHAnsi" w:hAnsiTheme="minorHAnsi" w:cstheme="minorHAnsi"/>
                <w:b/>
                <w:szCs w:val="22"/>
                <w:vertAlign w:val="superscript"/>
              </w:rPr>
              <w:t>d</w:t>
            </w:r>
            <w:r w:rsidRPr="00694F64">
              <w:rPr>
                <w:rFonts w:asciiTheme="minorHAnsi" w:hAnsiTheme="minorHAnsi" w:cstheme="minorHAnsi"/>
                <w:b/>
                <w:szCs w:val="22"/>
                <w:vertAlign w:val="superscript"/>
              </w:rPr>
              <w:t>)</w:t>
            </w:r>
          </w:p>
        </w:tc>
        <w:tc>
          <w:tcPr>
            <w:tcW w:w="1063" w:type="dxa"/>
          </w:tcPr>
          <w:p w:rsidR="002265C7" w:rsidRPr="00694F64" w:rsidRDefault="002265C7" w:rsidP="00694F64">
            <w:pPr>
              <w:pStyle w:val="TableFigText"/>
              <w:jc w:val="right"/>
              <w:rPr>
                <w:b/>
              </w:rPr>
            </w:pPr>
            <w:r w:rsidRPr="00694F64">
              <w:rPr>
                <w:b/>
              </w:rPr>
              <w:t>376,722</w:t>
            </w:r>
          </w:p>
        </w:tc>
        <w:tc>
          <w:tcPr>
            <w:tcW w:w="1373" w:type="dxa"/>
          </w:tcPr>
          <w:p w:rsidR="002265C7" w:rsidRPr="00694F64" w:rsidRDefault="002265C7" w:rsidP="00694F64">
            <w:pPr>
              <w:pStyle w:val="TableFigText"/>
              <w:jc w:val="right"/>
              <w:rPr>
                <w:b/>
              </w:rPr>
            </w:pPr>
            <w:r w:rsidRPr="00694F64">
              <w:rPr>
                <w:b/>
              </w:rPr>
              <w:t>21,615</w:t>
            </w:r>
          </w:p>
        </w:tc>
        <w:tc>
          <w:tcPr>
            <w:tcW w:w="1247" w:type="dxa"/>
          </w:tcPr>
          <w:p w:rsidR="002265C7" w:rsidRPr="00694F64" w:rsidRDefault="002265C7" w:rsidP="00694F64">
            <w:pPr>
              <w:pStyle w:val="TableFigText"/>
              <w:jc w:val="right"/>
              <w:rPr>
                <w:b/>
              </w:rPr>
            </w:pPr>
            <w:r w:rsidRPr="00694F64">
              <w:rPr>
                <w:b/>
              </w:rPr>
              <w:t>17,951</w:t>
            </w:r>
          </w:p>
        </w:tc>
        <w:tc>
          <w:tcPr>
            <w:tcW w:w="1041" w:type="dxa"/>
          </w:tcPr>
          <w:p w:rsidR="002265C7" w:rsidRPr="00694F64" w:rsidRDefault="002265C7" w:rsidP="00694F64">
            <w:pPr>
              <w:pStyle w:val="TableFigText"/>
              <w:jc w:val="right"/>
              <w:rPr>
                <w:b/>
              </w:rPr>
            </w:pPr>
            <w:r w:rsidRPr="00694F64">
              <w:rPr>
                <w:b/>
              </w:rPr>
              <w:t>6,316</w:t>
            </w:r>
          </w:p>
        </w:tc>
        <w:tc>
          <w:tcPr>
            <w:tcW w:w="1085" w:type="dxa"/>
          </w:tcPr>
          <w:p w:rsidR="002265C7" w:rsidRPr="00694F64" w:rsidRDefault="002265C7" w:rsidP="00694F64">
            <w:pPr>
              <w:pStyle w:val="TableFigText"/>
              <w:jc w:val="right"/>
              <w:rPr>
                <w:b/>
              </w:rPr>
            </w:pPr>
            <w:r w:rsidRPr="00694F64">
              <w:rPr>
                <w:b/>
              </w:rPr>
              <w:t>851</w:t>
            </w:r>
          </w:p>
        </w:tc>
        <w:tc>
          <w:tcPr>
            <w:tcW w:w="1109" w:type="dxa"/>
          </w:tcPr>
          <w:p w:rsidR="002265C7" w:rsidRPr="00694F64" w:rsidRDefault="002265C7" w:rsidP="00694F64">
            <w:pPr>
              <w:pStyle w:val="TableFigText"/>
              <w:jc w:val="right"/>
              <w:rPr>
                <w:b/>
              </w:rPr>
            </w:pPr>
            <w:r w:rsidRPr="00694F64">
              <w:rPr>
                <w:b/>
              </w:rPr>
              <w:t>423,454</w:t>
            </w:r>
          </w:p>
        </w:tc>
      </w:tr>
    </w:tbl>
    <w:p w:rsidR="00E53420" w:rsidRPr="006876F2" w:rsidRDefault="00E53420" w:rsidP="00540186">
      <w:pPr>
        <w:pStyle w:val="TableFigNotesnumbered"/>
        <w:numPr>
          <w:ilvl w:val="0"/>
          <w:numId w:val="39"/>
        </w:numPr>
        <w:rPr>
          <w:rStyle w:val="table-note"/>
        </w:rPr>
      </w:pPr>
      <w:r w:rsidRPr="006876F2">
        <w:rPr>
          <w:rStyle w:val="table-note"/>
        </w:rPr>
        <w:t>Expenditure excludes depreciation.</w:t>
      </w:r>
    </w:p>
    <w:p w:rsidR="00E53420" w:rsidRPr="006876F2" w:rsidRDefault="00E53420" w:rsidP="00540186">
      <w:pPr>
        <w:pStyle w:val="TableFigNotesnumbered"/>
        <w:numPr>
          <w:ilvl w:val="0"/>
          <w:numId w:val="39"/>
        </w:numPr>
        <w:rPr>
          <w:rStyle w:val="table-note"/>
        </w:rPr>
      </w:pPr>
      <w:r w:rsidRPr="006876F2">
        <w:rPr>
          <w:rStyle w:val="table-note"/>
        </w:rPr>
        <w:t xml:space="preserve">Expenditure excludes grants to non-government organisations and indirect expenditure at the state/territory, region and organisation levels not apportioned to service units. </w:t>
      </w:r>
    </w:p>
    <w:p w:rsidR="00E53420" w:rsidRPr="006876F2" w:rsidRDefault="00E53420" w:rsidP="00540186">
      <w:pPr>
        <w:pStyle w:val="TableFigNotesnumbered"/>
        <w:numPr>
          <w:ilvl w:val="0"/>
          <w:numId w:val="39"/>
        </w:numPr>
        <w:rPr>
          <w:rStyle w:val="table-note"/>
        </w:rPr>
      </w:pPr>
      <w:r w:rsidRPr="006876F2">
        <w:rPr>
          <w:rStyle w:val="table-note"/>
        </w:rPr>
        <w:t>Constant prices are referenced to 2011–12 and are adjusted for inflation.</w:t>
      </w:r>
    </w:p>
    <w:p w:rsidR="00E53420" w:rsidRPr="006876F2" w:rsidRDefault="00E53420" w:rsidP="00540186">
      <w:pPr>
        <w:pStyle w:val="TableFigNotesnumbered"/>
        <w:numPr>
          <w:ilvl w:val="0"/>
          <w:numId w:val="39"/>
        </w:numPr>
        <w:rPr>
          <w:rStyle w:val="table-note"/>
        </w:rPr>
      </w:pPr>
      <w:r w:rsidRPr="006876F2">
        <w:rPr>
          <w:rStyle w:val="table-note"/>
        </w:rPr>
        <w:t>Totals may not add due to rounding to the nearest $'000.</w:t>
      </w:r>
    </w:p>
    <w:p w:rsidR="00E53420" w:rsidRPr="006876F2" w:rsidRDefault="00E53420" w:rsidP="00540186">
      <w:pPr>
        <w:pStyle w:val="TableFigNotesnumbered"/>
        <w:numPr>
          <w:ilvl w:val="0"/>
          <w:numId w:val="39"/>
        </w:numPr>
        <w:rPr>
          <w:rStyle w:val="table-note"/>
        </w:rPr>
      </w:pPr>
      <w:r w:rsidRPr="006876F2">
        <w:rPr>
          <w:rStyle w:val="table-note"/>
        </w:rPr>
        <w:t>Includes public hospital services managed and operated by private and non-government entities.</w:t>
      </w:r>
    </w:p>
    <w:p w:rsidR="00E53420" w:rsidRPr="006876F2" w:rsidRDefault="00E53420" w:rsidP="00540186">
      <w:pPr>
        <w:pStyle w:val="TableFigNotesnumbered"/>
        <w:numPr>
          <w:ilvl w:val="0"/>
          <w:numId w:val="39"/>
        </w:numPr>
        <w:rPr>
          <w:rStyle w:val="table-note"/>
        </w:rPr>
      </w:pPr>
      <w:r w:rsidRPr="006876F2">
        <w:rPr>
          <w:rStyle w:val="table-note"/>
        </w:rPr>
        <w:t>Public psychiatric hospitals and specialised psychiatric units or wards in public acute hospitals include expenditure on admitted patient services only. Public hospitals outpatient departments are included in community mental health care services.</w:t>
      </w:r>
      <w:r w:rsidRPr="006876F2">
        <w:rPr>
          <w:rStyle w:val="table-note"/>
        </w:rPr>
        <w:tab/>
      </w:r>
      <w:r w:rsidRPr="006876F2">
        <w:rPr>
          <w:rStyle w:val="table-note"/>
        </w:rPr>
        <w:tab/>
      </w:r>
    </w:p>
    <w:p w:rsidR="00E53420" w:rsidRPr="006876F2" w:rsidRDefault="00E53420" w:rsidP="00540186">
      <w:pPr>
        <w:pStyle w:val="TableFigNotesnumbered"/>
        <w:numPr>
          <w:ilvl w:val="0"/>
          <w:numId w:val="39"/>
        </w:numPr>
        <w:rPr>
          <w:rStyle w:val="table-note"/>
        </w:rPr>
      </w:pPr>
      <w:r w:rsidRPr="006876F2">
        <w:rPr>
          <w:rStyle w:val="table-note"/>
        </w:rPr>
        <w:t>Residential mental health services include the total operating costs for partially or wholly government funded non-government-operated residential mental health services.</w:t>
      </w:r>
    </w:p>
    <w:p w:rsidR="00E53420" w:rsidRPr="0096114C" w:rsidRDefault="0096114C" w:rsidP="00E53420">
      <w:pPr>
        <w:pStyle w:val="TableCaption"/>
        <w:spacing w:line="240" w:lineRule="auto"/>
        <w:rPr>
          <w:rStyle w:val="table-note"/>
        </w:rPr>
      </w:pPr>
      <w:r w:rsidRPr="0096114C">
        <w:rPr>
          <w:rStyle w:val="table-note"/>
        </w:rPr>
        <w:t xml:space="preserve">Table 33: </w:t>
      </w:r>
      <w:r w:rsidR="00E53420" w:rsidRPr="0096114C">
        <w:rPr>
          <w:rStyle w:val="table-note"/>
        </w:rPr>
        <w:t xml:space="preserve">WA: Recurrent </w:t>
      </w:r>
      <w:proofErr w:type="gramStart"/>
      <w:r w:rsidR="00E53420" w:rsidRPr="0096114C">
        <w:rPr>
          <w:rStyle w:val="table-note"/>
        </w:rPr>
        <w:t>expenditure</w:t>
      </w:r>
      <w:r w:rsidR="00E53420" w:rsidRPr="0096114C">
        <w:rPr>
          <w:rStyle w:val="table-note"/>
          <w:vertAlign w:val="superscript"/>
        </w:rPr>
        <w:t>(</w:t>
      </w:r>
      <w:proofErr w:type="gramEnd"/>
      <w:r w:rsidR="00E53420" w:rsidRPr="0096114C">
        <w:rPr>
          <w:rStyle w:val="table-note"/>
          <w:vertAlign w:val="superscript"/>
        </w:rPr>
        <w:t>a)(b)</w:t>
      </w:r>
      <w:r w:rsidR="00E53420" w:rsidRPr="0096114C">
        <w:rPr>
          <w:rStyle w:val="table-note"/>
        </w:rPr>
        <w:t xml:space="preserve"> ($) per capita(c) on state and territory specialised mental health services, by service type, 2007–08 (constant prices)</w:t>
      </w:r>
      <w:r w:rsidR="00E53420" w:rsidRPr="0096114C">
        <w:rPr>
          <w:rStyle w:val="table-note"/>
          <w:vertAlign w:val="superscript"/>
        </w:rPr>
        <w:t>(d)</w:t>
      </w:r>
    </w:p>
    <w:tbl>
      <w:tblPr>
        <w:tblStyle w:val="TableGrid"/>
        <w:tblW w:w="0" w:type="auto"/>
        <w:tblLook w:val="04A0" w:firstRow="1" w:lastRow="0" w:firstColumn="1" w:lastColumn="0" w:noHBand="0" w:noVBand="1"/>
        <w:tblCaption w:val="WA: Recurrent expenditure(a)(b) ($) per capita(c) on state and territory specialised mental health services, by service type, 2007–08 (constant prices)(d)"/>
        <w:tblDescription w:val="Table showing that, in 2007-2008, major cities in WA had the highest recurrent expenditure per capita overall, for mental health services, at $235.61. This was followed by inner regional areas at $115.60. Community mental health services had the highest recurrent expenditure overall, across region types, at $98.53."/>
      </w:tblPr>
      <w:tblGrid>
        <w:gridCol w:w="2388"/>
        <w:gridCol w:w="1044"/>
        <w:gridCol w:w="1376"/>
        <w:gridCol w:w="1248"/>
        <w:gridCol w:w="1045"/>
        <w:gridCol w:w="1091"/>
        <w:gridCol w:w="1094"/>
      </w:tblGrid>
      <w:tr w:rsidR="00E53420" w:rsidRPr="009A001D" w:rsidTr="000C3DEA">
        <w:trPr>
          <w:tblHeader/>
        </w:trPr>
        <w:tc>
          <w:tcPr>
            <w:tcW w:w="2388" w:type="dxa"/>
          </w:tcPr>
          <w:p w:rsidR="00E53420" w:rsidRPr="009A001D" w:rsidRDefault="00E53420" w:rsidP="00E53420">
            <w:pPr>
              <w:pStyle w:val="TableFigText"/>
              <w:rPr>
                <w:rFonts w:asciiTheme="minorHAnsi" w:hAnsiTheme="minorHAnsi" w:cstheme="minorHAnsi"/>
                <w:szCs w:val="22"/>
              </w:rPr>
            </w:pPr>
          </w:p>
        </w:tc>
        <w:tc>
          <w:tcPr>
            <w:tcW w:w="1044" w:type="dxa"/>
          </w:tcPr>
          <w:p w:rsidR="00E53420" w:rsidRPr="009A001D" w:rsidRDefault="00E53420" w:rsidP="00E53420">
            <w:pPr>
              <w:pStyle w:val="TableFigText"/>
              <w:jc w:val="right"/>
              <w:rPr>
                <w:rFonts w:asciiTheme="minorHAnsi" w:hAnsiTheme="minorHAnsi" w:cstheme="minorHAnsi"/>
                <w:b/>
                <w:szCs w:val="22"/>
              </w:rPr>
            </w:pPr>
            <w:r w:rsidRPr="009A001D">
              <w:rPr>
                <w:rFonts w:asciiTheme="minorHAnsi" w:hAnsiTheme="minorHAnsi" w:cstheme="minorHAnsi"/>
                <w:b/>
                <w:szCs w:val="22"/>
              </w:rPr>
              <w:t>Major cities</w:t>
            </w:r>
          </w:p>
        </w:tc>
        <w:tc>
          <w:tcPr>
            <w:tcW w:w="1376" w:type="dxa"/>
          </w:tcPr>
          <w:p w:rsidR="00E53420" w:rsidRPr="009A001D" w:rsidRDefault="00E53420" w:rsidP="00E53420">
            <w:pPr>
              <w:pStyle w:val="TableFigText"/>
              <w:jc w:val="right"/>
              <w:rPr>
                <w:rFonts w:asciiTheme="minorHAnsi" w:hAnsiTheme="minorHAnsi" w:cstheme="minorHAnsi"/>
                <w:b/>
                <w:szCs w:val="22"/>
              </w:rPr>
            </w:pPr>
            <w:r w:rsidRPr="009A001D">
              <w:rPr>
                <w:rFonts w:asciiTheme="minorHAnsi" w:hAnsiTheme="minorHAnsi" w:cstheme="minorHAnsi"/>
                <w:b/>
                <w:szCs w:val="22"/>
              </w:rPr>
              <w:t>Inner regional</w:t>
            </w:r>
          </w:p>
        </w:tc>
        <w:tc>
          <w:tcPr>
            <w:tcW w:w="1248" w:type="dxa"/>
          </w:tcPr>
          <w:p w:rsidR="00E53420" w:rsidRPr="009A001D" w:rsidRDefault="00E53420" w:rsidP="00E53420">
            <w:pPr>
              <w:pStyle w:val="TableFigText"/>
              <w:jc w:val="right"/>
              <w:rPr>
                <w:rFonts w:asciiTheme="minorHAnsi" w:hAnsiTheme="minorHAnsi" w:cstheme="minorHAnsi"/>
                <w:b/>
                <w:szCs w:val="22"/>
              </w:rPr>
            </w:pPr>
            <w:r w:rsidRPr="009A001D">
              <w:rPr>
                <w:rFonts w:asciiTheme="minorHAnsi" w:hAnsiTheme="minorHAnsi" w:cstheme="minorHAnsi"/>
                <w:b/>
                <w:szCs w:val="22"/>
              </w:rPr>
              <w:t>Outer regional</w:t>
            </w:r>
          </w:p>
        </w:tc>
        <w:tc>
          <w:tcPr>
            <w:tcW w:w="1045" w:type="dxa"/>
          </w:tcPr>
          <w:p w:rsidR="00E53420" w:rsidRPr="009A001D" w:rsidRDefault="00E53420" w:rsidP="00E53420">
            <w:pPr>
              <w:pStyle w:val="TableFigText"/>
              <w:jc w:val="right"/>
              <w:rPr>
                <w:rFonts w:asciiTheme="minorHAnsi" w:hAnsiTheme="minorHAnsi" w:cstheme="minorHAnsi"/>
                <w:b/>
                <w:szCs w:val="22"/>
              </w:rPr>
            </w:pPr>
            <w:r w:rsidRPr="009A001D">
              <w:rPr>
                <w:rFonts w:asciiTheme="minorHAnsi" w:hAnsiTheme="minorHAnsi" w:cstheme="minorHAnsi"/>
                <w:b/>
                <w:szCs w:val="22"/>
              </w:rPr>
              <w:t>Remote</w:t>
            </w:r>
          </w:p>
        </w:tc>
        <w:tc>
          <w:tcPr>
            <w:tcW w:w="1091" w:type="dxa"/>
          </w:tcPr>
          <w:p w:rsidR="00E53420" w:rsidRPr="009A001D" w:rsidRDefault="00E53420" w:rsidP="00E53420">
            <w:pPr>
              <w:pStyle w:val="TableFigText"/>
              <w:jc w:val="right"/>
              <w:rPr>
                <w:rFonts w:asciiTheme="minorHAnsi" w:hAnsiTheme="minorHAnsi" w:cstheme="minorHAnsi"/>
                <w:b/>
                <w:szCs w:val="22"/>
              </w:rPr>
            </w:pPr>
            <w:r w:rsidRPr="009A001D">
              <w:rPr>
                <w:rFonts w:asciiTheme="minorHAnsi" w:hAnsiTheme="minorHAnsi" w:cstheme="minorHAnsi"/>
                <w:b/>
                <w:szCs w:val="22"/>
              </w:rPr>
              <w:t>Very remote</w:t>
            </w:r>
          </w:p>
        </w:tc>
        <w:tc>
          <w:tcPr>
            <w:tcW w:w="1094" w:type="dxa"/>
          </w:tcPr>
          <w:p w:rsidR="00E53420" w:rsidRPr="009A001D" w:rsidRDefault="00E53420" w:rsidP="009A001D">
            <w:pPr>
              <w:pStyle w:val="TableFigText"/>
              <w:jc w:val="right"/>
              <w:rPr>
                <w:rFonts w:asciiTheme="minorHAnsi" w:hAnsiTheme="minorHAnsi" w:cstheme="minorHAnsi"/>
                <w:b/>
                <w:szCs w:val="22"/>
              </w:rPr>
            </w:pPr>
            <w:r w:rsidRPr="009A001D">
              <w:rPr>
                <w:rFonts w:asciiTheme="minorHAnsi" w:hAnsiTheme="minorHAnsi" w:cstheme="minorHAnsi"/>
                <w:b/>
                <w:szCs w:val="22"/>
              </w:rPr>
              <w:t>Total</w:t>
            </w:r>
          </w:p>
        </w:tc>
      </w:tr>
      <w:tr w:rsidR="00E53420" w:rsidRPr="009A001D" w:rsidTr="00E53420">
        <w:tc>
          <w:tcPr>
            <w:tcW w:w="2388" w:type="dxa"/>
          </w:tcPr>
          <w:p w:rsidR="00E53420" w:rsidRPr="009A001D" w:rsidRDefault="00E53420" w:rsidP="00E53420">
            <w:pPr>
              <w:pStyle w:val="TableFigText"/>
              <w:rPr>
                <w:rFonts w:asciiTheme="minorHAnsi" w:hAnsiTheme="minorHAnsi" w:cstheme="minorHAnsi"/>
                <w:szCs w:val="22"/>
              </w:rPr>
            </w:pPr>
            <w:r w:rsidRPr="009A001D">
              <w:rPr>
                <w:rFonts w:asciiTheme="minorHAnsi" w:hAnsiTheme="minorHAnsi" w:cstheme="minorHAnsi"/>
                <w:szCs w:val="22"/>
              </w:rPr>
              <w:t>Public hospital services</w:t>
            </w:r>
            <w:r w:rsidRPr="009A001D">
              <w:rPr>
                <w:rFonts w:asciiTheme="minorHAnsi" w:hAnsiTheme="minorHAnsi" w:cstheme="minorHAnsi"/>
                <w:szCs w:val="22"/>
                <w:vertAlign w:val="superscript"/>
              </w:rPr>
              <w:t>(f)(g)</w:t>
            </w:r>
          </w:p>
        </w:tc>
        <w:tc>
          <w:tcPr>
            <w:tcW w:w="1044" w:type="dxa"/>
            <w:vAlign w:val="bottom"/>
          </w:tcPr>
          <w:p w:rsidR="00E53420" w:rsidRPr="009A001D" w:rsidRDefault="00E53420" w:rsidP="00694F64">
            <w:pPr>
              <w:pStyle w:val="TableFigText"/>
              <w:jc w:val="right"/>
            </w:pPr>
            <w:r w:rsidRPr="009A001D">
              <w:t>121.35</w:t>
            </w:r>
          </w:p>
        </w:tc>
        <w:tc>
          <w:tcPr>
            <w:tcW w:w="1376" w:type="dxa"/>
            <w:vAlign w:val="bottom"/>
          </w:tcPr>
          <w:p w:rsidR="00E53420" w:rsidRPr="009A001D" w:rsidRDefault="00E53420" w:rsidP="00694F64">
            <w:pPr>
              <w:pStyle w:val="TableFigText"/>
              <w:jc w:val="right"/>
            </w:pPr>
            <w:r w:rsidRPr="009A001D">
              <w:t>37.16</w:t>
            </w:r>
          </w:p>
        </w:tc>
        <w:tc>
          <w:tcPr>
            <w:tcW w:w="1248" w:type="dxa"/>
            <w:vAlign w:val="bottom"/>
          </w:tcPr>
          <w:p w:rsidR="00E53420" w:rsidRPr="009A001D" w:rsidRDefault="00E53420" w:rsidP="00694F64">
            <w:pPr>
              <w:pStyle w:val="TableFigText"/>
              <w:jc w:val="right"/>
            </w:pPr>
            <w:r w:rsidRPr="009A001D">
              <w:t>23.63</w:t>
            </w:r>
          </w:p>
        </w:tc>
        <w:tc>
          <w:tcPr>
            <w:tcW w:w="1045" w:type="dxa"/>
            <w:vAlign w:val="bottom"/>
          </w:tcPr>
          <w:p w:rsidR="00E53420" w:rsidRPr="009A001D" w:rsidRDefault="00E53420" w:rsidP="00694F64">
            <w:pPr>
              <w:pStyle w:val="TableFigText"/>
              <w:jc w:val="right"/>
            </w:pPr>
            <w:r w:rsidRPr="009A001D">
              <w:t>0</w:t>
            </w:r>
          </w:p>
        </w:tc>
        <w:tc>
          <w:tcPr>
            <w:tcW w:w="1091" w:type="dxa"/>
            <w:vAlign w:val="bottom"/>
          </w:tcPr>
          <w:p w:rsidR="00E53420" w:rsidRPr="009A001D" w:rsidRDefault="00E53420" w:rsidP="00694F64">
            <w:pPr>
              <w:pStyle w:val="TableFigText"/>
              <w:jc w:val="right"/>
            </w:pPr>
            <w:r w:rsidRPr="009A001D">
              <w:t>0</w:t>
            </w:r>
          </w:p>
        </w:tc>
        <w:tc>
          <w:tcPr>
            <w:tcW w:w="1094" w:type="dxa"/>
            <w:vAlign w:val="bottom"/>
          </w:tcPr>
          <w:p w:rsidR="00E53420" w:rsidRPr="009A001D" w:rsidRDefault="00E53420" w:rsidP="00694F64">
            <w:pPr>
              <w:pStyle w:val="TableFigText"/>
              <w:jc w:val="right"/>
            </w:pPr>
            <w:r w:rsidRPr="009A001D">
              <w:t>97.37</w:t>
            </w:r>
          </w:p>
        </w:tc>
      </w:tr>
      <w:tr w:rsidR="00E53420" w:rsidRPr="009A001D" w:rsidTr="00E53420">
        <w:tc>
          <w:tcPr>
            <w:tcW w:w="2388" w:type="dxa"/>
          </w:tcPr>
          <w:p w:rsidR="00E53420" w:rsidRPr="009A001D" w:rsidRDefault="00E53420" w:rsidP="00E53420">
            <w:pPr>
              <w:pStyle w:val="TableFigText"/>
              <w:rPr>
                <w:rFonts w:asciiTheme="minorHAnsi" w:hAnsiTheme="minorHAnsi" w:cstheme="minorHAnsi"/>
                <w:szCs w:val="22"/>
              </w:rPr>
            </w:pPr>
            <w:r w:rsidRPr="009A001D">
              <w:rPr>
                <w:rFonts w:asciiTheme="minorHAnsi" w:hAnsiTheme="minorHAnsi" w:cstheme="minorHAnsi"/>
                <w:szCs w:val="22"/>
              </w:rPr>
              <w:t>Community mental health services</w:t>
            </w:r>
          </w:p>
        </w:tc>
        <w:tc>
          <w:tcPr>
            <w:tcW w:w="1044" w:type="dxa"/>
            <w:vAlign w:val="bottom"/>
          </w:tcPr>
          <w:p w:rsidR="00E53420" w:rsidRPr="009A001D" w:rsidRDefault="00E53420" w:rsidP="00694F64">
            <w:pPr>
              <w:pStyle w:val="TableFigText"/>
              <w:jc w:val="right"/>
            </w:pPr>
            <w:r w:rsidRPr="009A001D">
              <w:t>108.36</w:t>
            </w:r>
          </w:p>
        </w:tc>
        <w:tc>
          <w:tcPr>
            <w:tcW w:w="1376" w:type="dxa"/>
            <w:vAlign w:val="bottom"/>
          </w:tcPr>
          <w:p w:rsidR="00E53420" w:rsidRPr="009A001D" w:rsidRDefault="00E53420" w:rsidP="00694F64">
            <w:pPr>
              <w:pStyle w:val="TableFigText"/>
              <w:jc w:val="right"/>
            </w:pPr>
            <w:r w:rsidRPr="009A001D">
              <w:t>76.18</w:t>
            </w:r>
          </w:p>
        </w:tc>
        <w:tc>
          <w:tcPr>
            <w:tcW w:w="1248" w:type="dxa"/>
            <w:vAlign w:val="bottom"/>
          </w:tcPr>
          <w:p w:rsidR="00E53420" w:rsidRPr="009A001D" w:rsidRDefault="00E53420" w:rsidP="00694F64">
            <w:pPr>
              <w:pStyle w:val="TableFigText"/>
              <w:jc w:val="right"/>
            </w:pPr>
            <w:r w:rsidRPr="009A001D">
              <w:t>73.86</w:t>
            </w:r>
          </w:p>
        </w:tc>
        <w:tc>
          <w:tcPr>
            <w:tcW w:w="1045" w:type="dxa"/>
            <w:vAlign w:val="bottom"/>
          </w:tcPr>
          <w:p w:rsidR="00E53420" w:rsidRPr="009A001D" w:rsidRDefault="00E53420" w:rsidP="00694F64">
            <w:pPr>
              <w:pStyle w:val="TableFigText"/>
              <w:jc w:val="right"/>
            </w:pPr>
            <w:r w:rsidRPr="009A001D">
              <w:t>67.25</w:t>
            </w:r>
          </w:p>
        </w:tc>
        <w:tc>
          <w:tcPr>
            <w:tcW w:w="1091" w:type="dxa"/>
            <w:vAlign w:val="bottom"/>
          </w:tcPr>
          <w:p w:rsidR="00E53420" w:rsidRPr="009A001D" w:rsidRDefault="00E53420" w:rsidP="00694F64">
            <w:pPr>
              <w:pStyle w:val="TableFigText"/>
              <w:jc w:val="right"/>
            </w:pPr>
            <w:r w:rsidRPr="009A001D">
              <w:t>16.19</w:t>
            </w:r>
          </w:p>
        </w:tc>
        <w:tc>
          <w:tcPr>
            <w:tcW w:w="1094" w:type="dxa"/>
            <w:vAlign w:val="bottom"/>
          </w:tcPr>
          <w:p w:rsidR="00E53420" w:rsidRPr="009A001D" w:rsidRDefault="00E53420" w:rsidP="00694F64">
            <w:pPr>
              <w:pStyle w:val="TableFigText"/>
              <w:jc w:val="right"/>
            </w:pPr>
            <w:r w:rsidRPr="009A001D">
              <w:t>98.53</w:t>
            </w:r>
          </w:p>
        </w:tc>
      </w:tr>
      <w:tr w:rsidR="00E53420" w:rsidRPr="009A001D" w:rsidTr="00E53420">
        <w:tc>
          <w:tcPr>
            <w:tcW w:w="2388" w:type="dxa"/>
          </w:tcPr>
          <w:p w:rsidR="00E53420" w:rsidRPr="009A001D" w:rsidRDefault="00E53420" w:rsidP="00E53420">
            <w:pPr>
              <w:pStyle w:val="TableFigText"/>
              <w:rPr>
                <w:rFonts w:asciiTheme="minorHAnsi" w:hAnsiTheme="minorHAnsi" w:cstheme="minorHAnsi"/>
                <w:szCs w:val="22"/>
              </w:rPr>
            </w:pPr>
            <w:r w:rsidRPr="009A001D">
              <w:rPr>
                <w:rFonts w:asciiTheme="minorHAnsi" w:hAnsiTheme="minorHAnsi" w:cstheme="minorHAnsi"/>
                <w:szCs w:val="22"/>
              </w:rPr>
              <w:t>Residential mental health services</w:t>
            </w:r>
            <w:r w:rsidRPr="009A001D">
              <w:rPr>
                <w:rFonts w:asciiTheme="minorHAnsi" w:hAnsiTheme="minorHAnsi" w:cstheme="minorHAnsi"/>
                <w:szCs w:val="22"/>
                <w:vertAlign w:val="superscript"/>
              </w:rPr>
              <w:t>(h)</w:t>
            </w:r>
          </w:p>
        </w:tc>
        <w:tc>
          <w:tcPr>
            <w:tcW w:w="1044" w:type="dxa"/>
            <w:vAlign w:val="bottom"/>
          </w:tcPr>
          <w:p w:rsidR="00E53420" w:rsidRPr="009A001D" w:rsidRDefault="00E53420" w:rsidP="00694F64">
            <w:pPr>
              <w:pStyle w:val="TableFigText"/>
              <w:jc w:val="right"/>
            </w:pPr>
            <w:r w:rsidRPr="009A001D">
              <w:t>5.90</w:t>
            </w:r>
          </w:p>
        </w:tc>
        <w:tc>
          <w:tcPr>
            <w:tcW w:w="1376" w:type="dxa"/>
            <w:vAlign w:val="bottom"/>
          </w:tcPr>
          <w:p w:rsidR="00E53420" w:rsidRPr="009A001D" w:rsidRDefault="00E53420" w:rsidP="00694F64">
            <w:pPr>
              <w:pStyle w:val="TableFigText"/>
              <w:jc w:val="right"/>
            </w:pPr>
            <w:r w:rsidRPr="009A001D">
              <w:t>2.26</w:t>
            </w:r>
          </w:p>
        </w:tc>
        <w:tc>
          <w:tcPr>
            <w:tcW w:w="1248" w:type="dxa"/>
            <w:vAlign w:val="bottom"/>
          </w:tcPr>
          <w:p w:rsidR="00E53420" w:rsidRPr="009A001D" w:rsidRDefault="00E53420" w:rsidP="00694F64">
            <w:pPr>
              <w:pStyle w:val="TableFigText"/>
              <w:jc w:val="right"/>
            </w:pPr>
            <w:r w:rsidRPr="009A001D">
              <w:t>5.81</w:t>
            </w:r>
          </w:p>
        </w:tc>
        <w:tc>
          <w:tcPr>
            <w:tcW w:w="1045" w:type="dxa"/>
            <w:vAlign w:val="bottom"/>
          </w:tcPr>
          <w:p w:rsidR="00E53420" w:rsidRPr="009A001D" w:rsidRDefault="00E53420" w:rsidP="00694F64">
            <w:pPr>
              <w:pStyle w:val="TableFigText"/>
              <w:jc w:val="right"/>
            </w:pPr>
            <w:r w:rsidRPr="009A001D">
              <w:t>0</w:t>
            </w:r>
          </w:p>
        </w:tc>
        <w:tc>
          <w:tcPr>
            <w:tcW w:w="1091" w:type="dxa"/>
            <w:vAlign w:val="bottom"/>
          </w:tcPr>
          <w:p w:rsidR="00E53420" w:rsidRPr="009A001D" w:rsidRDefault="00E53420" w:rsidP="00694F64">
            <w:pPr>
              <w:pStyle w:val="TableFigText"/>
              <w:jc w:val="right"/>
            </w:pPr>
            <w:r w:rsidRPr="009A001D">
              <w:t>0</w:t>
            </w:r>
          </w:p>
        </w:tc>
        <w:tc>
          <w:tcPr>
            <w:tcW w:w="1094" w:type="dxa"/>
            <w:vAlign w:val="bottom"/>
          </w:tcPr>
          <w:p w:rsidR="00E53420" w:rsidRPr="009A001D" w:rsidRDefault="00E53420" w:rsidP="00694F64">
            <w:pPr>
              <w:pStyle w:val="TableFigText"/>
              <w:jc w:val="right"/>
            </w:pPr>
            <w:r w:rsidRPr="009A001D">
              <w:t>5.16</w:t>
            </w:r>
          </w:p>
        </w:tc>
      </w:tr>
      <w:tr w:rsidR="00E53420" w:rsidRPr="009A001D" w:rsidTr="00E53420">
        <w:tc>
          <w:tcPr>
            <w:tcW w:w="2388" w:type="dxa"/>
          </w:tcPr>
          <w:p w:rsidR="00E53420" w:rsidRPr="00694F64" w:rsidRDefault="00E53420" w:rsidP="00E53420">
            <w:pPr>
              <w:pStyle w:val="TableFigText"/>
              <w:rPr>
                <w:rFonts w:asciiTheme="minorHAnsi" w:hAnsiTheme="minorHAnsi" w:cstheme="minorHAnsi"/>
                <w:b/>
                <w:szCs w:val="22"/>
              </w:rPr>
            </w:pPr>
            <w:r w:rsidRPr="00694F64">
              <w:rPr>
                <w:rFonts w:asciiTheme="minorHAnsi" w:hAnsiTheme="minorHAnsi" w:cstheme="minorHAnsi"/>
                <w:b/>
                <w:szCs w:val="22"/>
              </w:rPr>
              <w:t>All mental health service types</w:t>
            </w:r>
            <w:r w:rsidRPr="00694F64">
              <w:rPr>
                <w:rFonts w:asciiTheme="minorHAnsi" w:hAnsiTheme="minorHAnsi" w:cstheme="minorHAnsi"/>
                <w:b/>
                <w:szCs w:val="22"/>
                <w:vertAlign w:val="superscript"/>
              </w:rPr>
              <w:t>(e)</w:t>
            </w:r>
          </w:p>
        </w:tc>
        <w:tc>
          <w:tcPr>
            <w:tcW w:w="1044" w:type="dxa"/>
            <w:vAlign w:val="bottom"/>
          </w:tcPr>
          <w:p w:rsidR="00E53420" w:rsidRPr="00694F64" w:rsidRDefault="00E53420" w:rsidP="00694F64">
            <w:pPr>
              <w:pStyle w:val="TableFigText"/>
              <w:jc w:val="right"/>
              <w:rPr>
                <w:b/>
              </w:rPr>
            </w:pPr>
            <w:r w:rsidRPr="00694F64">
              <w:rPr>
                <w:b/>
              </w:rPr>
              <w:t>235.61</w:t>
            </w:r>
          </w:p>
        </w:tc>
        <w:tc>
          <w:tcPr>
            <w:tcW w:w="1376" w:type="dxa"/>
            <w:vAlign w:val="bottom"/>
          </w:tcPr>
          <w:p w:rsidR="00E53420" w:rsidRPr="00694F64" w:rsidRDefault="00E53420" w:rsidP="00694F64">
            <w:pPr>
              <w:pStyle w:val="TableFigText"/>
              <w:jc w:val="right"/>
              <w:rPr>
                <w:b/>
              </w:rPr>
            </w:pPr>
            <w:r w:rsidRPr="00694F64">
              <w:rPr>
                <w:b/>
              </w:rPr>
              <w:t>115.60</w:t>
            </w:r>
          </w:p>
        </w:tc>
        <w:tc>
          <w:tcPr>
            <w:tcW w:w="1248" w:type="dxa"/>
            <w:vAlign w:val="bottom"/>
          </w:tcPr>
          <w:p w:rsidR="00E53420" w:rsidRPr="00694F64" w:rsidRDefault="00E53420" w:rsidP="00694F64">
            <w:pPr>
              <w:pStyle w:val="TableFigText"/>
              <w:jc w:val="right"/>
              <w:rPr>
                <w:b/>
              </w:rPr>
            </w:pPr>
            <w:r w:rsidRPr="00694F64">
              <w:rPr>
                <w:b/>
              </w:rPr>
              <w:t>103.30</w:t>
            </w:r>
          </w:p>
        </w:tc>
        <w:tc>
          <w:tcPr>
            <w:tcW w:w="1045" w:type="dxa"/>
            <w:vAlign w:val="bottom"/>
          </w:tcPr>
          <w:p w:rsidR="00E53420" w:rsidRPr="00694F64" w:rsidRDefault="00E53420" w:rsidP="00694F64">
            <w:pPr>
              <w:pStyle w:val="TableFigText"/>
              <w:jc w:val="right"/>
              <w:rPr>
                <w:b/>
              </w:rPr>
            </w:pPr>
            <w:r w:rsidRPr="00694F64">
              <w:rPr>
                <w:b/>
              </w:rPr>
              <w:t>67.25</w:t>
            </w:r>
          </w:p>
        </w:tc>
        <w:tc>
          <w:tcPr>
            <w:tcW w:w="1091" w:type="dxa"/>
            <w:vAlign w:val="bottom"/>
          </w:tcPr>
          <w:p w:rsidR="00E53420" w:rsidRPr="00694F64" w:rsidRDefault="00E53420" w:rsidP="00694F64">
            <w:pPr>
              <w:pStyle w:val="TableFigText"/>
              <w:jc w:val="right"/>
              <w:rPr>
                <w:b/>
              </w:rPr>
            </w:pPr>
            <w:r w:rsidRPr="00694F64">
              <w:rPr>
                <w:b/>
              </w:rPr>
              <w:t>16.19</w:t>
            </w:r>
          </w:p>
        </w:tc>
        <w:tc>
          <w:tcPr>
            <w:tcW w:w="1094" w:type="dxa"/>
            <w:vAlign w:val="bottom"/>
          </w:tcPr>
          <w:p w:rsidR="00E53420" w:rsidRPr="00694F64" w:rsidRDefault="00E53420" w:rsidP="00694F64">
            <w:pPr>
              <w:pStyle w:val="TableFigText"/>
              <w:jc w:val="right"/>
              <w:rPr>
                <w:b/>
              </w:rPr>
            </w:pPr>
            <w:r w:rsidRPr="00694F64">
              <w:rPr>
                <w:b/>
              </w:rPr>
              <w:t>201.06</w:t>
            </w:r>
          </w:p>
        </w:tc>
      </w:tr>
    </w:tbl>
    <w:p w:rsidR="00E53420" w:rsidRPr="006876F2" w:rsidRDefault="00E53420" w:rsidP="00540186">
      <w:pPr>
        <w:pStyle w:val="TableFigNotesnumbered"/>
        <w:numPr>
          <w:ilvl w:val="0"/>
          <w:numId w:val="40"/>
        </w:numPr>
        <w:rPr>
          <w:rStyle w:val="table-note"/>
        </w:rPr>
      </w:pPr>
      <w:r w:rsidRPr="006876F2">
        <w:rPr>
          <w:rStyle w:val="table-note"/>
        </w:rPr>
        <w:t>Expenditure excludes depreciation.</w:t>
      </w:r>
    </w:p>
    <w:p w:rsidR="00E53420" w:rsidRPr="006876F2" w:rsidRDefault="00E53420" w:rsidP="00540186">
      <w:pPr>
        <w:pStyle w:val="TableFigNotesnumbered"/>
        <w:numPr>
          <w:ilvl w:val="0"/>
          <w:numId w:val="40"/>
        </w:numPr>
        <w:rPr>
          <w:rStyle w:val="table-note"/>
        </w:rPr>
      </w:pPr>
      <w:r w:rsidRPr="006876F2">
        <w:rPr>
          <w:rStyle w:val="table-note"/>
        </w:rPr>
        <w:t xml:space="preserve">Expenditure excludes grants to non-government organisations and indirect expenditure at the state/territory, region and organisation levels not apportioned to service units. </w:t>
      </w:r>
    </w:p>
    <w:p w:rsidR="00E53420" w:rsidRPr="006876F2" w:rsidRDefault="00E53420" w:rsidP="00540186">
      <w:pPr>
        <w:pStyle w:val="TableFigNotesnumbered"/>
        <w:numPr>
          <w:ilvl w:val="0"/>
          <w:numId w:val="40"/>
        </w:numPr>
        <w:rPr>
          <w:rStyle w:val="table-note"/>
        </w:rPr>
      </w:pPr>
      <w:r w:rsidRPr="006876F2">
        <w:rPr>
          <w:rStyle w:val="table-note"/>
        </w:rPr>
        <w:t>Crude rate is based on the state and territory estimated resident population by remoteness area as at 30 June 2007.</w:t>
      </w:r>
    </w:p>
    <w:p w:rsidR="00E53420" w:rsidRPr="006876F2" w:rsidRDefault="00E53420" w:rsidP="00540186">
      <w:pPr>
        <w:pStyle w:val="TableFigNotesnumbered"/>
        <w:numPr>
          <w:ilvl w:val="0"/>
          <w:numId w:val="40"/>
        </w:numPr>
        <w:rPr>
          <w:rStyle w:val="table-note"/>
        </w:rPr>
      </w:pPr>
      <w:r w:rsidRPr="006876F2">
        <w:rPr>
          <w:rStyle w:val="table-note"/>
        </w:rPr>
        <w:t>Constant prices are referenced to 2011–12 and are adjusted for inflation.</w:t>
      </w:r>
    </w:p>
    <w:p w:rsidR="00E53420" w:rsidRPr="006876F2" w:rsidRDefault="00E53420" w:rsidP="00540186">
      <w:pPr>
        <w:pStyle w:val="TableFigNotesnumbered"/>
        <w:numPr>
          <w:ilvl w:val="0"/>
          <w:numId w:val="40"/>
        </w:numPr>
        <w:rPr>
          <w:rStyle w:val="table-note"/>
        </w:rPr>
      </w:pPr>
      <w:r w:rsidRPr="006876F2">
        <w:rPr>
          <w:rStyle w:val="table-note"/>
        </w:rPr>
        <w:t>Totals may not add due to rounding.</w:t>
      </w:r>
    </w:p>
    <w:p w:rsidR="00E53420" w:rsidRPr="006876F2" w:rsidRDefault="00E53420" w:rsidP="00540186">
      <w:pPr>
        <w:pStyle w:val="TableFigNotesnumbered"/>
        <w:numPr>
          <w:ilvl w:val="0"/>
          <w:numId w:val="40"/>
        </w:numPr>
        <w:rPr>
          <w:rStyle w:val="table-note"/>
        </w:rPr>
      </w:pPr>
      <w:r w:rsidRPr="006876F2">
        <w:rPr>
          <w:rStyle w:val="table-note"/>
        </w:rPr>
        <w:t>Includes public hospital services managed and operated by private and non-government entities.</w:t>
      </w:r>
    </w:p>
    <w:p w:rsidR="00E53420" w:rsidRPr="006876F2" w:rsidRDefault="00E53420" w:rsidP="00540186">
      <w:pPr>
        <w:pStyle w:val="TableFigNotesnumbered"/>
        <w:numPr>
          <w:ilvl w:val="0"/>
          <w:numId w:val="40"/>
        </w:numPr>
        <w:rPr>
          <w:rStyle w:val="table-note"/>
        </w:rPr>
      </w:pPr>
      <w:r w:rsidRPr="006876F2">
        <w:rPr>
          <w:rStyle w:val="table-note"/>
        </w:rPr>
        <w:t>Public psychiatric hospitals and specialised psychiatric units or wards in public acute hospitals include expenditure on admitted patient services only. Public hospitals outpatient departments are included in community mental health care services.</w:t>
      </w:r>
    </w:p>
    <w:p w:rsidR="00E53420" w:rsidRPr="006876F2" w:rsidRDefault="00E53420" w:rsidP="00540186">
      <w:pPr>
        <w:pStyle w:val="TableFigNotesnumbered"/>
        <w:numPr>
          <w:ilvl w:val="0"/>
          <w:numId w:val="40"/>
        </w:numPr>
        <w:rPr>
          <w:rStyle w:val="table-note"/>
        </w:rPr>
      </w:pPr>
      <w:r w:rsidRPr="006876F2">
        <w:rPr>
          <w:rStyle w:val="table-note"/>
        </w:rPr>
        <w:t>Residential mental health services include the total operating costs for partially or wholly government funded non-government-operated residential mental health services.</w:t>
      </w:r>
    </w:p>
    <w:p w:rsidR="00E53420" w:rsidRPr="006876F2" w:rsidRDefault="00E53420">
      <w:pPr>
        <w:spacing w:before="0" w:after="0" w:line="240" w:lineRule="auto"/>
        <w:rPr>
          <w:rStyle w:val="table-note"/>
        </w:rPr>
      </w:pPr>
      <w:r w:rsidRPr="006876F2">
        <w:rPr>
          <w:rStyle w:val="table-note"/>
        </w:rPr>
        <w:br w:type="page"/>
      </w:r>
    </w:p>
    <w:p w:rsidR="002265C7" w:rsidRPr="0096114C" w:rsidRDefault="0096114C" w:rsidP="002265C7">
      <w:pPr>
        <w:pStyle w:val="TableCaption"/>
        <w:rPr>
          <w:rStyle w:val="table-note"/>
        </w:rPr>
      </w:pPr>
      <w:r w:rsidRPr="0096114C">
        <w:rPr>
          <w:rStyle w:val="table-note"/>
        </w:rPr>
        <w:lastRenderedPageBreak/>
        <w:t xml:space="preserve">Table 34: </w:t>
      </w:r>
      <w:r w:rsidR="002265C7" w:rsidRPr="0096114C">
        <w:rPr>
          <w:rStyle w:val="table-note"/>
        </w:rPr>
        <w:t xml:space="preserve">WA: Recurrent </w:t>
      </w:r>
      <w:proofErr w:type="gramStart"/>
      <w:r w:rsidR="002265C7" w:rsidRPr="0096114C">
        <w:rPr>
          <w:rStyle w:val="table-note"/>
        </w:rPr>
        <w:t>expenditure</w:t>
      </w:r>
      <w:r w:rsidR="002265C7" w:rsidRPr="0096114C">
        <w:rPr>
          <w:rStyle w:val="table-note"/>
          <w:vertAlign w:val="superscript"/>
        </w:rPr>
        <w:t>(</w:t>
      </w:r>
      <w:proofErr w:type="gramEnd"/>
      <w:r w:rsidR="002265C7" w:rsidRPr="0096114C">
        <w:rPr>
          <w:rStyle w:val="table-note"/>
          <w:vertAlign w:val="superscript"/>
        </w:rPr>
        <w:t>a)</w:t>
      </w:r>
      <w:r w:rsidR="00E53420" w:rsidRPr="0096114C">
        <w:rPr>
          <w:rStyle w:val="table-note"/>
          <w:vertAlign w:val="superscript"/>
        </w:rPr>
        <w:t>(b)</w:t>
      </w:r>
      <w:r w:rsidR="002265C7" w:rsidRPr="0096114C">
        <w:rPr>
          <w:rStyle w:val="table-note"/>
        </w:rPr>
        <w:t xml:space="preserve"> ($’000) on state and territory specialised mental health services, by service type, 2011–12 (current prices)</w:t>
      </w:r>
    </w:p>
    <w:tbl>
      <w:tblPr>
        <w:tblStyle w:val="TableGrid"/>
        <w:tblW w:w="0" w:type="auto"/>
        <w:tblLook w:val="04A0" w:firstRow="1" w:lastRow="0" w:firstColumn="1" w:lastColumn="0" w:noHBand="0" w:noVBand="1"/>
        <w:tblCaption w:val="WA: Recurrent expenditure(a)(b) ($’000) on state and territory specialised mental health services, by service type, 2011–12 (current prices)"/>
        <w:tblDescription w:val="Table showing that, in 2011-2012, major cities in WA have the highest recurrent expenditure for specialised mental health services at $454,898,000. Recurrent expenditure decreased as regions became more remote. Public hospital services had the highest overall, over region types, at $255,999,000, followed by community mental health services at $240,252,000. "/>
      </w:tblPr>
      <w:tblGrid>
        <w:gridCol w:w="2336"/>
        <w:gridCol w:w="1101"/>
        <w:gridCol w:w="1364"/>
        <w:gridCol w:w="1247"/>
        <w:gridCol w:w="1033"/>
        <w:gridCol w:w="1078"/>
        <w:gridCol w:w="1127"/>
      </w:tblGrid>
      <w:tr w:rsidR="002265C7" w:rsidRPr="009A001D" w:rsidTr="000C3DEA">
        <w:trPr>
          <w:tblHeader/>
        </w:trPr>
        <w:tc>
          <w:tcPr>
            <w:tcW w:w="2443" w:type="dxa"/>
          </w:tcPr>
          <w:p w:rsidR="002265C7" w:rsidRPr="009A001D" w:rsidRDefault="002265C7" w:rsidP="002265C7">
            <w:pPr>
              <w:pStyle w:val="TableFigText"/>
              <w:keepNext/>
              <w:rPr>
                <w:rFonts w:asciiTheme="minorHAnsi" w:hAnsiTheme="minorHAnsi" w:cstheme="minorHAnsi"/>
                <w:szCs w:val="22"/>
              </w:rPr>
            </w:pPr>
          </w:p>
        </w:tc>
        <w:tc>
          <w:tcPr>
            <w:tcW w:w="1125" w:type="dxa"/>
          </w:tcPr>
          <w:p w:rsidR="002265C7" w:rsidRPr="009A001D" w:rsidRDefault="002265C7" w:rsidP="002265C7">
            <w:pPr>
              <w:pStyle w:val="TableFigText"/>
              <w:keepNext/>
              <w:jc w:val="right"/>
              <w:rPr>
                <w:rFonts w:asciiTheme="minorHAnsi" w:hAnsiTheme="minorHAnsi" w:cstheme="minorHAnsi"/>
                <w:b/>
                <w:szCs w:val="22"/>
              </w:rPr>
            </w:pPr>
            <w:r w:rsidRPr="009A001D">
              <w:rPr>
                <w:rFonts w:asciiTheme="minorHAnsi" w:hAnsiTheme="minorHAnsi" w:cstheme="minorHAnsi"/>
                <w:b/>
                <w:szCs w:val="22"/>
              </w:rPr>
              <w:t>Major cities</w:t>
            </w:r>
          </w:p>
        </w:tc>
        <w:tc>
          <w:tcPr>
            <w:tcW w:w="1412" w:type="dxa"/>
          </w:tcPr>
          <w:p w:rsidR="002265C7" w:rsidRPr="009A001D" w:rsidRDefault="002265C7" w:rsidP="002265C7">
            <w:pPr>
              <w:pStyle w:val="TableFigText"/>
              <w:keepNext/>
              <w:jc w:val="right"/>
              <w:rPr>
                <w:rFonts w:asciiTheme="minorHAnsi" w:hAnsiTheme="minorHAnsi" w:cstheme="minorHAnsi"/>
                <w:b/>
                <w:szCs w:val="22"/>
              </w:rPr>
            </w:pPr>
            <w:r w:rsidRPr="009A001D">
              <w:rPr>
                <w:rFonts w:asciiTheme="minorHAnsi" w:hAnsiTheme="minorHAnsi" w:cstheme="minorHAnsi"/>
                <w:b/>
                <w:szCs w:val="22"/>
              </w:rPr>
              <w:t>Inner regional</w:t>
            </w:r>
          </w:p>
        </w:tc>
        <w:tc>
          <w:tcPr>
            <w:tcW w:w="1280" w:type="dxa"/>
          </w:tcPr>
          <w:p w:rsidR="002265C7" w:rsidRPr="009A001D" w:rsidRDefault="002265C7" w:rsidP="002265C7">
            <w:pPr>
              <w:pStyle w:val="TableFigText"/>
              <w:keepNext/>
              <w:jc w:val="right"/>
              <w:rPr>
                <w:rFonts w:asciiTheme="minorHAnsi" w:hAnsiTheme="minorHAnsi" w:cstheme="minorHAnsi"/>
                <w:b/>
                <w:szCs w:val="22"/>
              </w:rPr>
            </w:pPr>
            <w:r w:rsidRPr="009A001D">
              <w:rPr>
                <w:rFonts w:asciiTheme="minorHAnsi" w:hAnsiTheme="minorHAnsi" w:cstheme="minorHAnsi"/>
                <w:b/>
                <w:szCs w:val="22"/>
              </w:rPr>
              <w:t>Outer regional</w:t>
            </w:r>
          </w:p>
        </w:tc>
        <w:tc>
          <w:tcPr>
            <w:tcW w:w="1056" w:type="dxa"/>
          </w:tcPr>
          <w:p w:rsidR="002265C7" w:rsidRPr="009A001D" w:rsidRDefault="002265C7" w:rsidP="002265C7">
            <w:pPr>
              <w:pStyle w:val="TableFigText"/>
              <w:keepNext/>
              <w:jc w:val="right"/>
              <w:rPr>
                <w:rFonts w:asciiTheme="minorHAnsi" w:hAnsiTheme="minorHAnsi" w:cstheme="minorHAnsi"/>
                <w:b/>
                <w:szCs w:val="22"/>
              </w:rPr>
            </w:pPr>
            <w:r w:rsidRPr="009A001D">
              <w:rPr>
                <w:rFonts w:asciiTheme="minorHAnsi" w:hAnsiTheme="minorHAnsi" w:cstheme="minorHAnsi"/>
                <w:b/>
                <w:szCs w:val="22"/>
              </w:rPr>
              <w:t>Remote</w:t>
            </w:r>
          </w:p>
        </w:tc>
        <w:tc>
          <w:tcPr>
            <w:tcW w:w="1107" w:type="dxa"/>
          </w:tcPr>
          <w:p w:rsidR="002265C7" w:rsidRPr="009A001D" w:rsidRDefault="002265C7" w:rsidP="002265C7">
            <w:pPr>
              <w:pStyle w:val="TableFigText"/>
              <w:keepNext/>
              <w:jc w:val="right"/>
              <w:rPr>
                <w:rFonts w:asciiTheme="minorHAnsi" w:hAnsiTheme="minorHAnsi" w:cstheme="minorHAnsi"/>
                <w:b/>
                <w:szCs w:val="22"/>
              </w:rPr>
            </w:pPr>
            <w:r w:rsidRPr="009A001D">
              <w:rPr>
                <w:rFonts w:asciiTheme="minorHAnsi" w:hAnsiTheme="minorHAnsi" w:cstheme="minorHAnsi"/>
                <w:b/>
                <w:szCs w:val="22"/>
              </w:rPr>
              <w:t>Very remote</w:t>
            </w:r>
          </w:p>
        </w:tc>
        <w:tc>
          <w:tcPr>
            <w:tcW w:w="1153" w:type="dxa"/>
          </w:tcPr>
          <w:p w:rsidR="002265C7" w:rsidRPr="009A001D" w:rsidRDefault="002265C7" w:rsidP="00566C0D">
            <w:pPr>
              <w:pStyle w:val="TableFigText"/>
              <w:keepNext/>
              <w:jc w:val="right"/>
              <w:rPr>
                <w:rFonts w:asciiTheme="minorHAnsi" w:hAnsiTheme="minorHAnsi" w:cstheme="minorHAnsi"/>
                <w:b/>
                <w:szCs w:val="22"/>
              </w:rPr>
            </w:pPr>
            <w:r w:rsidRPr="009A001D">
              <w:rPr>
                <w:rFonts w:asciiTheme="minorHAnsi" w:hAnsiTheme="minorHAnsi" w:cstheme="minorHAnsi"/>
                <w:b/>
                <w:szCs w:val="22"/>
              </w:rPr>
              <w:t>Total</w:t>
            </w:r>
            <w:r w:rsidRPr="009A001D">
              <w:rPr>
                <w:rFonts w:asciiTheme="minorHAnsi" w:hAnsiTheme="minorHAnsi" w:cstheme="minorHAnsi"/>
                <w:szCs w:val="22"/>
                <w:vertAlign w:val="superscript"/>
              </w:rPr>
              <w:t>(</w:t>
            </w:r>
            <w:r w:rsidR="00566C0D" w:rsidRPr="009A001D">
              <w:rPr>
                <w:rFonts w:asciiTheme="minorHAnsi" w:hAnsiTheme="minorHAnsi" w:cstheme="minorHAnsi"/>
                <w:szCs w:val="22"/>
                <w:vertAlign w:val="superscript"/>
              </w:rPr>
              <w:t>c)</w:t>
            </w:r>
          </w:p>
        </w:tc>
      </w:tr>
      <w:tr w:rsidR="002265C7" w:rsidRPr="009A001D" w:rsidTr="002265C7">
        <w:tc>
          <w:tcPr>
            <w:tcW w:w="2443" w:type="dxa"/>
          </w:tcPr>
          <w:p w:rsidR="002265C7" w:rsidRPr="009A001D" w:rsidRDefault="002265C7" w:rsidP="00566C0D">
            <w:pPr>
              <w:pStyle w:val="TableFigText"/>
              <w:keepNext/>
              <w:rPr>
                <w:rFonts w:asciiTheme="minorHAnsi" w:hAnsiTheme="minorHAnsi" w:cstheme="minorHAnsi"/>
                <w:szCs w:val="22"/>
              </w:rPr>
            </w:pPr>
            <w:r w:rsidRPr="009A001D">
              <w:rPr>
                <w:rFonts w:asciiTheme="minorHAnsi" w:hAnsiTheme="minorHAnsi" w:cstheme="minorHAnsi"/>
                <w:szCs w:val="22"/>
              </w:rPr>
              <w:t>Public hospital services</w:t>
            </w:r>
            <w:r w:rsidRPr="009A001D">
              <w:rPr>
                <w:rFonts w:asciiTheme="minorHAnsi" w:hAnsiTheme="minorHAnsi" w:cstheme="minorHAnsi"/>
                <w:szCs w:val="22"/>
                <w:vertAlign w:val="superscript"/>
              </w:rPr>
              <w:t>(</w:t>
            </w:r>
            <w:r w:rsidR="00566C0D" w:rsidRPr="009A001D">
              <w:rPr>
                <w:rFonts w:asciiTheme="minorHAnsi" w:hAnsiTheme="minorHAnsi" w:cstheme="minorHAnsi"/>
                <w:szCs w:val="22"/>
                <w:vertAlign w:val="superscript"/>
              </w:rPr>
              <w:t>e</w:t>
            </w:r>
            <w:r w:rsidRPr="009A001D">
              <w:rPr>
                <w:rFonts w:asciiTheme="minorHAnsi" w:hAnsiTheme="minorHAnsi" w:cstheme="minorHAnsi"/>
                <w:szCs w:val="22"/>
                <w:vertAlign w:val="superscript"/>
              </w:rPr>
              <w:t>)(</w:t>
            </w:r>
            <w:r w:rsidR="00566C0D" w:rsidRPr="009A001D">
              <w:rPr>
                <w:rFonts w:asciiTheme="minorHAnsi" w:hAnsiTheme="minorHAnsi" w:cstheme="minorHAnsi"/>
                <w:szCs w:val="22"/>
                <w:vertAlign w:val="superscript"/>
              </w:rPr>
              <w:t>f</w:t>
            </w:r>
            <w:r w:rsidRPr="009A001D">
              <w:rPr>
                <w:rFonts w:asciiTheme="minorHAnsi" w:hAnsiTheme="minorHAnsi" w:cstheme="minorHAnsi"/>
                <w:szCs w:val="22"/>
                <w:vertAlign w:val="superscript"/>
              </w:rPr>
              <w:t>)</w:t>
            </w:r>
          </w:p>
        </w:tc>
        <w:tc>
          <w:tcPr>
            <w:tcW w:w="1125" w:type="dxa"/>
          </w:tcPr>
          <w:p w:rsidR="002265C7" w:rsidRPr="009A001D" w:rsidRDefault="002265C7" w:rsidP="0099647E">
            <w:pPr>
              <w:pStyle w:val="TableFigText"/>
              <w:jc w:val="right"/>
            </w:pPr>
            <w:r w:rsidRPr="009A001D">
              <w:t>240,685</w:t>
            </w:r>
          </w:p>
        </w:tc>
        <w:tc>
          <w:tcPr>
            <w:tcW w:w="1412" w:type="dxa"/>
          </w:tcPr>
          <w:p w:rsidR="002265C7" w:rsidRPr="009A001D" w:rsidRDefault="002265C7" w:rsidP="0099647E">
            <w:pPr>
              <w:pStyle w:val="TableFigText"/>
              <w:jc w:val="right"/>
            </w:pPr>
            <w:r w:rsidRPr="009A001D">
              <w:t>10,064</w:t>
            </w:r>
          </w:p>
        </w:tc>
        <w:tc>
          <w:tcPr>
            <w:tcW w:w="1280" w:type="dxa"/>
          </w:tcPr>
          <w:p w:rsidR="002265C7" w:rsidRPr="009A001D" w:rsidRDefault="002265C7" w:rsidP="0099647E">
            <w:pPr>
              <w:pStyle w:val="TableFigText"/>
              <w:jc w:val="right"/>
            </w:pPr>
            <w:r w:rsidRPr="009A001D">
              <w:t>5,250</w:t>
            </w:r>
            <w:r w:rsidRPr="009A001D">
              <w:rPr>
                <w:vertAlign w:val="superscript"/>
              </w:rPr>
              <w:t>(</w:t>
            </w:r>
            <w:r w:rsidR="00566C0D" w:rsidRPr="009A001D">
              <w:rPr>
                <w:vertAlign w:val="superscript"/>
              </w:rPr>
              <w:t>d</w:t>
            </w:r>
            <w:r w:rsidRPr="009A001D">
              <w:rPr>
                <w:vertAlign w:val="superscript"/>
              </w:rPr>
              <w:t>)</w:t>
            </w:r>
          </w:p>
        </w:tc>
        <w:tc>
          <w:tcPr>
            <w:tcW w:w="1056" w:type="dxa"/>
            <w:shd w:val="clear" w:color="auto" w:fill="auto"/>
          </w:tcPr>
          <w:p w:rsidR="002265C7" w:rsidRPr="0099647E" w:rsidRDefault="002265C7" w:rsidP="0099647E">
            <w:pPr>
              <w:pStyle w:val="TableFigText"/>
              <w:jc w:val="right"/>
            </w:pPr>
            <w:r w:rsidRPr="0099647E">
              <w:t>n/a</w:t>
            </w:r>
            <w:r w:rsidRPr="0099647E" w:rsidDel="00681F6F">
              <w:t xml:space="preserve"> </w:t>
            </w:r>
          </w:p>
        </w:tc>
        <w:tc>
          <w:tcPr>
            <w:tcW w:w="1107" w:type="dxa"/>
            <w:shd w:val="clear" w:color="auto" w:fill="auto"/>
          </w:tcPr>
          <w:p w:rsidR="002265C7" w:rsidRPr="0099647E" w:rsidRDefault="002265C7" w:rsidP="0099647E">
            <w:pPr>
              <w:pStyle w:val="TableFigText"/>
              <w:jc w:val="right"/>
            </w:pPr>
            <w:r w:rsidRPr="0099647E">
              <w:t>n/a</w:t>
            </w:r>
          </w:p>
        </w:tc>
        <w:tc>
          <w:tcPr>
            <w:tcW w:w="1153" w:type="dxa"/>
            <w:shd w:val="clear" w:color="auto" w:fill="auto"/>
          </w:tcPr>
          <w:p w:rsidR="002265C7" w:rsidRPr="009A001D" w:rsidRDefault="002265C7" w:rsidP="0099647E">
            <w:pPr>
              <w:pStyle w:val="TableFigText"/>
              <w:jc w:val="right"/>
            </w:pPr>
            <w:r w:rsidRPr="009A001D">
              <w:t>255,999</w:t>
            </w:r>
          </w:p>
        </w:tc>
      </w:tr>
      <w:tr w:rsidR="002265C7" w:rsidRPr="009A001D" w:rsidTr="002265C7">
        <w:tc>
          <w:tcPr>
            <w:tcW w:w="2443" w:type="dxa"/>
          </w:tcPr>
          <w:p w:rsidR="002265C7" w:rsidRPr="009A001D" w:rsidRDefault="002265C7" w:rsidP="002265C7">
            <w:pPr>
              <w:pStyle w:val="TableFigText"/>
              <w:keepNext/>
              <w:rPr>
                <w:rFonts w:asciiTheme="minorHAnsi" w:hAnsiTheme="minorHAnsi" w:cstheme="minorHAnsi"/>
                <w:szCs w:val="22"/>
              </w:rPr>
            </w:pPr>
            <w:r w:rsidRPr="009A001D">
              <w:rPr>
                <w:rFonts w:asciiTheme="minorHAnsi" w:hAnsiTheme="minorHAnsi" w:cstheme="minorHAnsi"/>
                <w:szCs w:val="22"/>
              </w:rPr>
              <w:t>Community mental health services</w:t>
            </w:r>
          </w:p>
        </w:tc>
        <w:tc>
          <w:tcPr>
            <w:tcW w:w="1125" w:type="dxa"/>
            <w:vAlign w:val="bottom"/>
          </w:tcPr>
          <w:p w:rsidR="002265C7" w:rsidRPr="009A001D" w:rsidRDefault="002265C7" w:rsidP="0099647E">
            <w:pPr>
              <w:pStyle w:val="TableFigText"/>
              <w:jc w:val="right"/>
            </w:pPr>
            <w:r w:rsidRPr="009A001D">
              <w:t>196,406</w:t>
            </w:r>
          </w:p>
        </w:tc>
        <w:tc>
          <w:tcPr>
            <w:tcW w:w="1412" w:type="dxa"/>
            <w:vAlign w:val="bottom"/>
          </w:tcPr>
          <w:p w:rsidR="002265C7" w:rsidRPr="009A001D" w:rsidRDefault="002265C7" w:rsidP="0099647E">
            <w:pPr>
              <w:pStyle w:val="TableFigText"/>
              <w:jc w:val="right"/>
            </w:pPr>
            <w:r w:rsidRPr="009A001D">
              <w:t>16,368</w:t>
            </w:r>
          </w:p>
        </w:tc>
        <w:tc>
          <w:tcPr>
            <w:tcW w:w="1280" w:type="dxa"/>
            <w:vAlign w:val="bottom"/>
          </w:tcPr>
          <w:p w:rsidR="002265C7" w:rsidRPr="009A001D" w:rsidRDefault="002265C7" w:rsidP="0099647E">
            <w:pPr>
              <w:pStyle w:val="TableFigText"/>
              <w:jc w:val="right"/>
            </w:pPr>
            <w:r w:rsidRPr="009A001D">
              <w:t>16,199</w:t>
            </w:r>
          </w:p>
        </w:tc>
        <w:tc>
          <w:tcPr>
            <w:tcW w:w="1056" w:type="dxa"/>
            <w:vAlign w:val="bottom"/>
          </w:tcPr>
          <w:p w:rsidR="002265C7" w:rsidRPr="0099647E" w:rsidRDefault="002265C7" w:rsidP="0099647E">
            <w:pPr>
              <w:pStyle w:val="TableFigText"/>
              <w:jc w:val="right"/>
            </w:pPr>
            <w:r w:rsidRPr="0099647E">
              <w:t>9,993</w:t>
            </w:r>
          </w:p>
        </w:tc>
        <w:tc>
          <w:tcPr>
            <w:tcW w:w="1107" w:type="dxa"/>
            <w:vAlign w:val="bottom"/>
          </w:tcPr>
          <w:p w:rsidR="002265C7" w:rsidRPr="0099647E" w:rsidRDefault="002265C7" w:rsidP="0099647E">
            <w:pPr>
              <w:pStyle w:val="TableFigText"/>
              <w:jc w:val="right"/>
            </w:pPr>
            <w:r w:rsidRPr="0099647E">
              <w:t>1,286</w:t>
            </w:r>
          </w:p>
        </w:tc>
        <w:tc>
          <w:tcPr>
            <w:tcW w:w="1153" w:type="dxa"/>
            <w:vAlign w:val="bottom"/>
          </w:tcPr>
          <w:p w:rsidR="002265C7" w:rsidRPr="009A001D" w:rsidRDefault="002265C7" w:rsidP="0099647E">
            <w:pPr>
              <w:pStyle w:val="TableFigText"/>
              <w:jc w:val="right"/>
            </w:pPr>
            <w:r w:rsidRPr="009A001D">
              <w:t>240,252</w:t>
            </w:r>
          </w:p>
        </w:tc>
      </w:tr>
      <w:tr w:rsidR="002265C7" w:rsidRPr="009A001D" w:rsidTr="002265C7">
        <w:tc>
          <w:tcPr>
            <w:tcW w:w="2443" w:type="dxa"/>
          </w:tcPr>
          <w:p w:rsidR="002265C7" w:rsidRPr="009A001D" w:rsidRDefault="002265C7" w:rsidP="00566C0D">
            <w:pPr>
              <w:pStyle w:val="TableFigText"/>
              <w:keepNext/>
              <w:rPr>
                <w:rFonts w:asciiTheme="minorHAnsi" w:hAnsiTheme="minorHAnsi" w:cstheme="minorHAnsi"/>
                <w:szCs w:val="22"/>
              </w:rPr>
            </w:pPr>
            <w:r w:rsidRPr="009A001D">
              <w:rPr>
                <w:rFonts w:asciiTheme="minorHAnsi" w:hAnsiTheme="minorHAnsi" w:cstheme="minorHAnsi"/>
                <w:szCs w:val="22"/>
              </w:rPr>
              <w:t>Residential mental health services</w:t>
            </w:r>
            <w:r w:rsidRPr="009A001D">
              <w:rPr>
                <w:rFonts w:asciiTheme="minorHAnsi" w:hAnsiTheme="minorHAnsi" w:cstheme="minorHAnsi"/>
                <w:szCs w:val="22"/>
                <w:vertAlign w:val="superscript"/>
              </w:rPr>
              <w:t>(</w:t>
            </w:r>
            <w:r w:rsidR="00566C0D" w:rsidRPr="009A001D">
              <w:rPr>
                <w:rFonts w:asciiTheme="minorHAnsi" w:hAnsiTheme="minorHAnsi" w:cstheme="minorHAnsi"/>
                <w:szCs w:val="22"/>
                <w:vertAlign w:val="superscript"/>
              </w:rPr>
              <w:t>g</w:t>
            </w:r>
            <w:r w:rsidRPr="009A001D">
              <w:rPr>
                <w:rFonts w:asciiTheme="minorHAnsi" w:hAnsiTheme="minorHAnsi" w:cstheme="minorHAnsi"/>
                <w:szCs w:val="22"/>
                <w:vertAlign w:val="superscript"/>
              </w:rPr>
              <w:t>)</w:t>
            </w:r>
          </w:p>
        </w:tc>
        <w:tc>
          <w:tcPr>
            <w:tcW w:w="1125" w:type="dxa"/>
            <w:vAlign w:val="bottom"/>
          </w:tcPr>
          <w:p w:rsidR="002265C7" w:rsidRPr="009A001D" w:rsidRDefault="002265C7" w:rsidP="0099647E">
            <w:pPr>
              <w:pStyle w:val="TableFigText"/>
              <w:jc w:val="right"/>
            </w:pPr>
            <w:r w:rsidRPr="009A001D">
              <w:t>17,807</w:t>
            </w:r>
          </w:p>
        </w:tc>
        <w:tc>
          <w:tcPr>
            <w:tcW w:w="1412" w:type="dxa"/>
            <w:vAlign w:val="bottom"/>
          </w:tcPr>
          <w:p w:rsidR="002265C7" w:rsidRPr="009A001D" w:rsidRDefault="002265C7" w:rsidP="0099647E">
            <w:pPr>
              <w:pStyle w:val="TableFigText"/>
              <w:jc w:val="right"/>
            </w:pPr>
            <w:r w:rsidRPr="009A001D">
              <w:t>1,905</w:t>
            </w:r>
          </w:p>
        </w:tc>
        <w:tc>
          <w:tcPr>
            <w:tcW w:w="1280" w:type="dxa"/>
            <w:vAlign w:val="bottom"/>
          </w:tcPr>
          <w:p w:rsidR="002265C7" w:rsidRPr="009A001D" w:rsidRDefault="002265C7" w:rsidP="0099647E">
            <w:pPr>
              <w:pStyle w:val="TableFigText"/>
              <w:jc w:val="right"/>
            </w:pPr>
            <w:r w:rsidRPr="009A001D">
              <w:t>1,844</w:t>
            </w:r>
          </w:p>
        </w:tc>
        <w:tc>
          <w:tcPr>
            <w:tcW w:w="1056" w:type="dxa"/>
            <w:vAlign w:val="bottom"/>
          </w:tcPr>
          <w:p w:rsidR="002265C7" w:rsidRPr="0099647E" w:rsidRDefault="002265C7" w:rsidP="0099647E">
            <w:pPr>
              <w:pStyle w:val="TableFigText"/>
              <w:jc w:val="right"/>
            </w:pPr>
            <w:r w:rsidRPr="0099647E">
              <w:t>0</w:t>
            </w:r>
          </w:p>
        </w:tc>
        <w:tc>
          <w:tcPr>
            <w:tcW w:w="1107" w:type="dxa"/>
            <w:vAlign w:val="bottom"/>
          </w:tcPr>
          <w:p w:rsidR="002265C7" w:rsidRPr="0099647E" w:rsidRDefault="002265C7" w:rsidP="0099647E">
            <w:pPr>
              <w:pStyle w:val="TableFigText"/>
              <w:jc w:val="right"/>
            </w:pPr>
            <w:r w:rsidRPr="0099647E">
              <w:t>0</w:t>
            </w:r>
          </w:p>
        </w:tc>
        <w:tc>
          <w:tcPr>
            <w:tcW w:w="1153" w:type="dxa"/>
            <w:vAlign w:val="bottom"/>
          </w:tcPr>
          <w:p w:rsidR="002265C7" w:rsidRPr="009A001D" w:rsidRDefault="002265C7" w:rsidP="0099647E">
            <w:pPr>
              <w:pStyle w:val="TableFigText"/>
              <w:jc w:val="right"/>
            </w:pPr>
            <w:r w:rsidRPr="009A001D">
              <w:t>21,556</w:t>
            </w:r>
          </w:p>
        </w:tc>
      </w:tr>
      <w:tr w:rsidR="002265C7" w:rsidRPr="009A001D" w:rsidTr="002265C7">
        <w:tc>
          <w:tcPr>
            <w:tcW w:w="2443" w:type="dxa"/>
          </w:tcPr>
          <w:p w:rsidR="002265C7" w:rsidRPr="0099647E" w:rsidRDefault="002265C7" w:rsidP="002265C7">
            <w:pPr>
              <w:pStyle w:val="TableFigText"/>
              <w:keepNext/>
              <w:rPr>
                <w:rFonts w:asciiTheme="minorHAnsi" w:hAnsiTheme="minorHAnsi" w:cstheme="minorHAnsi"/>
                <w:b/>
                <w:szCs w:val="22"/>
              </w:rPr>
            </w:pPr>
            <w:r w:rsidRPr="0099647E">
              <w:rPr>
                <w:rFonts w:asciiTheme="minorHAnsi" w:hAnsiTheme="minorHAnsi" w:cstheme="minorHAnsi"/>
                <w:b/>
                <w:szCs w:val="22"/>
              </w:rPr>
              <w:t>All mental health service types</w:t>
            </w:r>
            <w:r w:rsidR="00566C0D" w:rsidRPr="0099647E">
              <w:rPr>
                <w:rFonts w:asciiTheme="minorHAnsi" w:hAnsiTheme="minorHAnsi" w:cstheme="minorHAnsi"/>
                <w:b/>
                <w:szCs w:val="22"/>
                <w:vertAlign w:val="superscript"/>
              </w:rPr>
              <w:t>(c</w:t>
            </w:r>
            <w:r w:rsidRPr="0099647E">
              <w:rPr>
                <w:rFonts w:asciiTheme="minorHAnsi" w:hAnsiTheme="minorHAnsi" w:cstheme="minorHAnsi"/>
                <w:b/>
                <w:szCs w:val="22"/>
                <w:vertAlign w:val="superscript"/>
              </w:rPr>
              <w:t>)</w:t>
            </w:r>
          </w:p>
        </w:tc>
        <w:tc>
          <w:tcPr>
            <w:tcW w:w="1125" w:type="dxa"/>
            <w:vAlign w:val="bottom"/>
          </w:tcPr>
          <w:p w:rsidR="002265C7" w:rsidRPr="0099647E" w:rsidRDefault="002265C7" w:rsidP="0099647E">
            <w:pPr>
              <w:pStyle w:val="TableFigText"/>
              <w:jc w:val="right"/>
              <w:rPr>
                <w:b/>
              </w:rPr>
            </w:pPr>
            <w:r w:rsidRPr="0099647E">
              <w:rPr>
                <w:b/>
              </w:rPr>
              <w:t>454,898</w:t>
            </w:r>
          </w:p>
        </w:tc>
        <w:tc>
          <w:tcPr>
            <w:tcW w:w="1412" w:type="dxa"/>
            <w:vAlign w:val="bottom"/>
          </w:tcPr>
          <w:p w:rsidR="002265C7" w:rsidRPr="0099647E" w:rsidRDefault="002265C7" w:rsidP="0099647E">
            <w:pPr>
              <w:pStyle w:val="TableFigText"/>
              <w:jc w:val="right"/>
              <w:rPr>
                <w:b/>
              </w:rPr>
            </w:pPr>
            <w:r w:rsidRPr="0099647E">
              <w:rPr>
                <w:b/>
              </w:rPr>
              <w:t>28,337</w:t>
            </w:r>
          </w:p>
        </w:tc>
        <w:tc>
          <w:tcPr>
            <w:tcW w:w="1280" w:type="dxa"/>
            <w:vAlign w:val="bottom"/>
          </w:tcPr>
          <w:p w:rsidR="002265C7" w:rsidRPr="0099647E" w:rsidRDefault="00B92561" w:rsidP="0099647E">
            <w:pPr>
              <w:pStyle w:val="TableFigText"/>
              <w:jc w:val="right"/>
              <w:rPr>
                <w:b/>
                <w:vertAlign w:val="superscript"/>
              </w:rPr>
            </w:pPr>
            <w:r w:rsidRPr="0099647E">
              <w:rPr>
                <w:b/>
              </w:rPr>
              <w:t>23,2</w:t>
            </w:r>
            <w:r w:rsidR="000F45B9" w:rsidRPr="0099647E">
              <w:rPr>
                <w:b/>
              </w:rPr>
              <w:t>93</w:t>
            </w:r>
            <w:r w:rsidR="000F45B9" w:rsidRPr="0099647E">
              <w:rPr>
                <w:b/>
                <w:vertAlign w:val="superscript"/>
              </w:rPr>
              <w:t>(c)</w:t>
            </w:r>
          </w:p>
        </w:tc>
        <w:tc>
          <w:tcPr>
            <w:tcW w:w="1056" w:type="dxa"/>
            <w:vAlign w:val="bottom"/>
          </w:tcPr>
          <w:p w:rsidR="002265C7" w:rsidRPr="0099647E" w:rsidRDefault="00066E88" w:rsidP="0099647E">
            <w:pPr>
              <w:pStyle w:val="TableFigText"/>
              <w:jc w:val="right"/>
              <w:rPr>
                <w:b/>
              </w:rPr>
            </w:pPr>
            <w:r w:rsidRPr="0099647E">
              <w:rPr>
                <w:b/>
              </w:rPr>
              <w:t>9,9</w:t>
            </w:r>
            <w:r w:rsidR="000F45B9" w:rsidRPr="0099647E">
              <w:rPr>
                <w:b/>
              </w:rPr>
              <w:t>93</w:t>
            </w:r>
          </w:p>
        </w:tc>
        <w:tc>
          <w:tcPr>
            <w:tcW w:w="1107" w:type="dxa"/>
            <w:vAlign w:val="bottom"/>
          </w:tcPr>
          <w:p w:rsidR="002265C7" w:rsidRPr="0099647E" w:rsidRDefault="002265C7" w:rsidP="0099647E">
            <w:pPr>
              <w:pStyle w:val="TableFigText"/>
              <w:jc w:val="right"/>
              <w:rPr>
                <w:b/>
              </w:rPr>
            </w:pPr>
            <w:r w:rsidRPr="0099647E">
              <w:rPr>
                <w:b/>
              </w:rPr>
              <w:t>1,286</w:t>
            </w:r>
          </w:p>
        </w:tc>
        <w:tc>
          <w:tcPr>
            <w:tcW w:w="1153" w:type="dxa"/>
            <w:vAlign w:val="bottom"/>
          </w:tcPr>
          <w:p w:rsidR="002265C7" w:rsidRPr="0099647E" w:rsidRDefault="002265C7" w:rsidP="0099647E">
            <w:pPr>
              <w:pStyle w:val="TableFigText"/>
              <w:jc w:val="right"/>
              <w:rPr>
                <w:b/>
              </w:rPr>
            </w:pPr>
            <w:r w:rsidRPr="0099647E">
              <w:rPr>
                <w:b/>
              </w:rPr>
              <w:t>517,808</w:t>
            </w:r>
          </w:p>
        </w:tc>
      </w:tr>
    </w:tbl>
    <w:p w:rsidR="002265C7" w:rsidRPr="006876F2" w:rsidRDefault="002265C7" w:rsidP="006B2ED0">
      <w:pPr>
        <w:pStyle w:val="TableFigNotesnumbered"/>
        <w:ind w:left="294" w:hanging="294"/>
        <w:rPr>
          <w:rStyle w:val="table-note"/>
        </w:rPr>
      </w:pPr>
      <w:proofErr w:type="gramStart"/>
      <w:r w:rsidRPr="006876F2">
        <w:rPr>
          <w:rStyle w:val="table-note"/>
        </w:rPr>
        <w:t>n/a</w:t>
      </w:r>
      <w:proofErr w:type="gramEnd"/>
      <w:r w:rsidRPr="006876F2">
        <w:rPr>
          <w:rStyle w:val="table-note"/>
        </w:rPr>
        <w:tab/>
        <w:t>Not applicable</w:t>
      </w:r>
    </w:p>
    <w:p w:rsidR="002265C7" w:rsidRPr="006876F2" w:rsidRDefault="002265C7" w:rsidP="00540186">
      <w:pPr>
        <w:pStyle w:val="TableFigNotesnumbered"/>
        <w:numPr>
          <w:ilvl w:val="0"/>
          <w:numId w:val="42"/>
        </w:numPr>
        <w:rPr>
          <w:rStyle w:val="table-note"/>
        </w:rPr>
      </w:pPr>
      <w:r w:rsidRPr="006876F2">
        <w:rPr>
          <w:rStyle w:val="table-note"/>
        </w:rPr>
        <w:t>Expenditure excludes depreciation.</w:t>
      </w:r>
    </w:p>
    <w:p w:rsidR="00E53420" w:rsidRPr="006876F2" w:rsidRDefault="00E53420" w:rsidP="00540186">
      <w:pPr>
        <w:pStyle w:val="TableFigNotesnumbered"/>
        <w:numPr>
          <w:ilvl w:val="0"/>
          <w:numId w:val="42"/>
        </w:numPr>
        <w:rPr>
          <w:rStyle w:val="table-note"/>
        </w:rPr>
      </w:pPr>
      <w:r w:rsidRPr="006876F2">
        <w:rPr>
          <w:rStyle w:val="table-note"/>
        </w:rPr>
        <w:t xml:space="preserve">Expenditure excludes grants to non-government organisations and indirect expenditure at the state/territory, region and organisation levels not apportioned to service units. </w:t>
      </w:r>
    </w:p>
    <w:p w:rsidR="00E53420" w:rsidRPr="006876F2" w:rsidRDefault="00566C0D" w:rsidP="00540186">
      <w:pPr>
        <w:pStyle w:val="TableFigNotesnumbered"/>
        <w:numPr>
          <w:ilvl w:val="0"/>
          <w:numId w:val="42"/>
        </w:numPr>
        <w:rPr>
          <w:rStyle w:val="table-note"/>
        </w:rPr>
      </w:pPr>
      <w:r w:rsidRPr="006876F2">
        <w:rPr>
          <w:rStyle w:val="table-note"/>
        </w:rPr>
        <w:t>Totals may not add due to rounding to the nearest $'000.</w:t>
      </w:r>
    </w:p>
    <w:p w:rsidR="00566C0D" w:rsidRPr="006876F2" w:rsidRDefault="00566C0D" w:rsidP="00540186">
      <w:pPr>
        <w:pStyle w:val="TableFigNotesnumbered"/>
        <w:numPr>
          <w:ilvl w:val="0"/>
          <w:numId w:val="42"/>
        </w:numPr>
        <w:rPr>
          <w:rStyle w:val="table-note"/>
        </w:rPr>
      </w:pPr>
      <w:r w:rsidRPr="006876F2">
        <w:rPr>
          <w:rStyle w:val="table-note"/>
        </w:rPr>
        <w:t>Includes expenditure for public hospital services in remote and very remote areas.</w:t>
      </w:r>
    </w:p>
    <w:p w:rsidR="00566C0D" w:rsidRPr="006876F2" w:rsidRDefault="002265C7" w:rsidP="00540186">
      <w:pPr>
        <w:pStyle w:val="TableFigNotesnumbered"/>
        <w:numPr>
          <w:ilvl w:val="0"/>
          <w:numId w:val="42"/>
        </w:numPr>
        <w:rPr>
          <w:rStyle w:val="table-note"/>
        </w:rPr>
      </w:pPr>
      <w:r w:rsidRPr="006876F2">
        <w:rPr>
          <w:rStyle w:val="table-note"/>
        </w:rPr>
        <w:t>Includes public hospital services managed and operated by private and non-government entities.</w:t>
      </w:r>
    </w:p>
    <w:p w:rsidR="00566C0D" w:rsidRPr="006876F2" w:rsidRDefault="002265C7" w:rsidP="00540186">
      <w:pPr>
        <w:pStyle w:val="TableFigNotesnumbered"/>
        <w:numPr>
          <w:ilvl w:val="0"/>
          <w:numId w:val="42"/>
        </w:numPr>
        <w:rPr>
          <w:rStyle w:val="table-note"/>
        </w:rPr>
      </w:pPr>
      <w:r w:rsidRPr="006876F2">
        <w:rPr>
          <w:rStyle w:val="table-note"/>
        </w:rPr>
        <w:t>Public psychiatric hospitals and specialised psychiatric units or wards in public acute hospitals include expenditure on admitted patient services only. Public hospitals outpatient departments are included in community mental health care services</w:t>
      </w:r>
    </w:p>
    <w:p w:rsidR="002265C7" w:rsidRPr="009A001D" w:rsidRDefault="002265C7" w:rsidP="00540186">
      <w:pPr>
        <w:pStyle w:val="TableFigNotesnumbered"/>
        <w:numPr>
          <w:ilvl w:val="0"/>
          <w:numId w:val="42"/>
        </w:numPr>
        <w:rPr>
          <w:rFonts w:asciiTheme="minorHAnsi" w:hAnsiTheme="minorHAnsi" w:cstheme="minorHAnsi"/>
        </w:rPr>
      </w:pPr>
      <w:r w:rsidRPr="006876F2">
        <w:rPr>
          <w:rStyle w:val="table-note"/>
        </w:rPr>
        <w:t>Residential mental health services include the total operating costs for partially or wholly government funded non-government-operated residential mental health services.</w:t>
      </w:r>
    </w:p>
    <w:p w:rsidR="00E53420" w:rsidRPr="009A001D" w:rsidRDefault="00E53420" w:rsidP="006B2ED0">
      <w:pPr>
        <w:pStyle w:val="TableFigNotesnumbered"/>
        <w:ind w:left="294" w:hanging="294"/>
        <w:rPr>
          <w:rFonts w:asciiTheme="minorHAnsi" w:hAnsiTheme="minorHAnsi" w:cstheme="minorHAnsi"/>
        </w:rPr>
      </w:pPr>
    </w:p>
    <w:p w:rsidR="00E53420" w:rsidRPr="0096114C" w:rsidRDefault="0096114C" w:rsidP="00E53420">
      <w:pPr>
        <w:pStyle w:val="TableCaption"/>
        <w:rPr>
          <w:rStyle w:val="table-note"/>
        </w:rPr>
      </w:pPr>
      <w:r w:rsidRPr="0096114C">
        <w:rPr>
          <w:rStyle w:val="table-note"/>
        </w:rPr>
        <w:t xml:space="preserve">Table 35: </w:t>
      </w:r>
      <w:r w:rsidR="00566C0D" w:rsidRPr="0096114C">
        <w:rPr>
          <w:rStyle w:val="table-note"/>
        </w:rPr>
        <w:t>WA</w:t>
      </w:r>
      <w:r w:rsidR="00E53420" w:rsidRPr="0096114C">
        <w:rPr>
          <w:rStyle w:val="table-note"/>
        </w:rPr>
        <w:t xml:space="preserve">: Recurrent </w:t>
      </w:r>
      <w:proofErr w:type="gramStart"/>
      <w:r w:rsidR="00E53420" w:rsidRPr="0096114C">
        <w:rPr>
          <w:rStyle w:val="table-note"/>
        </w:rPr>
        <w:t>expenditure</w:t>
      </w:r>
      <w:r w:rsidR="00E53420" w:rsidRPr="0096114C">
        <w:rPr>
          <w:rStyle w:val="table-note"/>
          <w:vertAlign w:val="superscript"/>
        </w:rPr>
        <w:t>(</w:t>
      </w:r>
      <w:proofErr w:type="gramEnd"/>
      <w:r w:rsidR="00E53420" w:rsidRPr="0096114C">
        <w:rPr>
          <w:rStyle w:val="table-note"/>
          <w:vertAlign w:val="superscript"/>
        </w:rPr>
        <w:t>a)(b)</w:t>
      </w:r>
      <w:r w:rsidR="00E53420" w:rsidRPr="0096114C">
        <w:rPr>
          <w:rStyle w:val="table-note"/>
        </w:rPr>
        <w:t xml:space="preserve"> ($) per capita</w:t>
      </w:r>
      <w:r w:rsidR="00E53420" w:rsidRPr="0096114C">
        <w:rPr>
          <w:rStyle w:val="table-note"/>
          <w:vertAlign w:val="superscript"/>
        </w:rPr>
        <w:t>(c)</w:t>
      </w:r>
      <w:r w:rsidR="00E53420" w:rsidRPr="0096114C">
        <w:rPr>
          <w:rStyle w:val="table-note"/>
        </w:rPr>
        <w:t xml:space="preserve"> on state and territory specialised mental health services, by service type, 2011–12 (current prices)</w:t>
      </w:r>
    </w:p>
    <w:tbl>
      <w:tblPr>
        <w:tblStyle w:val="TableGrid"/>
        <w:tblW w:w="0" w:type="auto"/>
        <w:tblLook w:val="04A0" w:firstRow="1" w:lastRow="0" w:firstColumn="1" w:lastColumn="0" w:noHBand="0" w:noVBand="1"/>
        <w:tblCaption w:val="WA: Recurrent expenditure(a)(b) ($) per capita(c) on state and territory specialised mental health services, by service type, 2011–12 (current prices)"/>
        <w:tblDescription w:val="Table showing that, in 2011-2012, major cities in WA had the highest recurrent expenditure per capita overall, for mental health services, at $252.91. This was followed by inner regional areas at $134.33. Public hospital services had the highest recurrent expenditure overall, across region types, at $108.78."/>
      </w:tblPr>
      <w:tblGrid>
        <w:gridCol w:w="2381"/>
        <w:gridCol w:w="1047"/>
        <w:gridCol w:w="1380"/>
        <w:gridCol w:w="1251"/>
        <w:gridCol w:w="1047"/>
        <w:gridCol w:w="1094"/>
        <w:gridCol w:w="1086"/>
      </w:tblGrid>
      <w:tr w:rsidR="00E53420" w:rsidRPr="009A001D" w:rsidTr="000C3DEA">
        <w:trPr>
          <w:tblHeader/>
        </w:trPr>
        <w:tc>
          <w:tcPr>
            <w:tcW w:w="2381" w:type="dxa"/>
          </w:tcPr>
          <w:p w:rsidR="00E53420" w:rsidRPr="009A001D" w:rsidRDefault="00E53420" w:rsidP="00E53420">
            <w:pPr>
              <w:pStyle w:val="TableFigText"/>
              <w:rPr>
                <w:rFonts w:asciiTheme="minorHAnsi" w:hAnsiTheme="minorHAnsi" w:cstheme="minorHAnsi"/>
                <w:szCs w:val="22"/>
              </w:rPr>
            </w:pPr>
          </w:p>
        </w:tc>
        <w:tc>
          <w:tcPr>
            <w:tcW w:w="1047" w:type="dxa"/>
          </w:tcPr>
          <w:p w:rsidR="00E53420" w:rsidRPr="009A001D" w:rsidRDefault="00E53420" w:rsidP="00E53420">
            <w:pPr>
              <w:pStyle w:val="TableFigText"/>
              <w:jc w:val="right"/>
              <w:rPr>
                <w:rFonts w:asciiTheme="minorHAnsi" w:hAnsiTheme="minorHAnsi" w:cstheme="minorHAnsi"/>
                <w:b/>
                <w:szCs w:val="22"/>
              </w:rPr>
            </w:pPr>
            <w:r w:rsidRPr="009A001D">
              <w:rPr>
                <w:rFonts w:asciiTheme="minorHAnsi" w:hAnsiTheme="minorHAnsi" w:cstheme="minorHAnsi"/>
                <w:b/>
                <w:szCs w:val="22"/>
              </w:rPr>
              <w:t>Major cities</w:t>
            </w:r>
          </w:p>
        </w:tc>
        <w:tc>
          <w:tcPr>
            <w:tcW w:w="1380" w:type="dxa"/>
          </w:tcPr>
          <w:p w:rsidR="00E53420" w:rsidRPr="009A001D" w:rsidRDefault="00E53420" w:rsidP="00E53420">
            <w:pPr>
              <w:pStyle w:val="TableFigText"/>
              <w:jc w:val="right"/>
              <w:rPr>
                <w:rFonts w:asciiTheme="minorHAnsi" w:hAnsiTheme="minorHAnsi" w:cstheme="minorHAnsi"/>
                <w:b/>
                <w:szCs w:val="22"/>
              </w:rPr>
            </w:pPr>
            <w:r w:rsidRPr="009A001D">
              <w:rPr>
                <w:rFonts w:asciiTheme="minorHAnsi" w:hAnsiTheme="minorHAnsi" w:cstheme="minorHAnsi"/>
                <w:b/>
                <w:szCs w:val="22"/>
              </w:rPr>
              <w:t>Inner regional</w:t>
            </w:r>
          </w:p>
        </w:tc>
        <w:tc>
          <w:tcPr>
            <w:tcW w:w="1251" w:type="dxa"/>
          </w:tcPr>
          <w:p w:rsidR="00E53420" w:rsidRPr="009A001D" w:rsidRDefault="00E53420" w:rsidP="00E53420">
            <w:pPr>
              <w:pStyle w:val="TableFigText"/>
              <w:jc w:val="right"/>
              <w:rPr>
                <w:rFonts w:asciiTheme="minorHAnsi" w:hAnsiTheme="minorHAnsi" w:cstheme="minorHAnsi"/>
                <w:b/>
                <w:szCs w:val="22"/>
              </w:rPr>
            </w:pPr>
            <w:r w:rsidRPr="009A001D">
              <w:rPr>
                <w:rFonts w:asciiTheme="minorHAnsi" w:hAnsiTheme="minorHAnsi" w:cstheme="minorHAnsi"/>
                <w:b/>
                <w:szCs w:val="22"/>
              </w:rPr>
              <w:t>Outer regional</w:t>
            </w:r>
          </w:p>
        </w:tc>
        <w:tc>
          <w:tcPr>
            <w:tcW w:w="1047" w:type="dxa"/>
          </w:tcPr>
          <w:p w:rsidR="00E53420" w:rsidRPr="009A001D" w:rsidRDefault="00E53420" w:rsidP="00E53420">
            <w:pPr>
              <w:pStyle w:val="TableFigText"/>
              <w:jc w:val="right"/>
              <w:rPr>
                <w:rFonts w:asciiTheme="minorHAnsi" w:hAnsiTheme="minorHAnsi" w:cstheme="minorHAnsi"/>
                <w:b/>
                <w:szCs w:val="22"/>
              </w:rPr>
            </w:pPr>
            <w:r w:rsidRPr="009A001D">
              <w:rPr>
                <w:rFonts w:asciiTheme="minorHAnsi" w:hAnsiTheme="minorHAnsi" w:cstheme="minorHAnsi"/>
                <w:b/>
                <w:szCs w:val="22"/>
              </w:rPr>
              <w:t>Remote</w:t>
            </w:r>
          </w:p>
        </w:tc>
        <w:tc>
          <w:tcPr>
            <w:tcW w:w="1094" w:type="dxa"/>
          </w:tcPr>
          <w:p w:rsidR="00E53420" w:rsidRPr="009A001D" w:rsidRDefault="00E53420" w:rsidP="00E53420">
            <w:pPr>
              <w:pStyle w:val="TableFigText"/>
              <w:jc w:val="right"/>
              <w:rPr>
                <w:rFonts w:asciiTheme="minorHAnsi" w:hAnsiTheme="minorHAnsi" w:cstheme="minorHAnsi"/>
                <w:b/>
                <w:szCs w:val="22"/>
              </w:rPr>
            </w:pPr>
            <w:r w:rsidRPr="009A001D">
              <w:rPr>
                <w:rFonts w:asciiTheme="minorHAnsi" w:hAnsiTheme="minorHAnsi" w:cstheme="minorHAnsi"/>
                <w:b/>
                <w:szCs w:val="22"/>
              </w:rPr>
              <w:t>Very remote</w:t>
            </w:r>
          </w:p>
        </w:tc>
        <w:tc>
          <w:tcPr>
            <w:tcW w:w="1086" w:type="dxa"/>
          </w:tcPr>
          <w:p w:rsidR="00E53420" w:rsidRPr="009A001D" w:rsidRDefault="00E53420" w:rsidP="00E254F6">
            <w:pPr>
              <w:pStyle w:val="TableFigText"/>
              <w:jc w:val="right"/>
              <w:rPr>
                <w:rFonts w:asciiTheme="minorHAnsi" w:hAnsiTheme="minorHAnsi" w:cstheme="minorHAnsi"/>
                <w:b/>
                <w:szCs w:val="22"/>
              </w:rPr>
            </w:pPr>
            <w:r w:rsidRPr="009A001D">
              <w:rPr>
                <w:rFonts w:asciiTheme="minorHAnsi" w:hAnsiTheme="minorHAnsi" w:cstheme="minorHAnsi"/>
                <w:b/>
                <w:szCs w:val="22"/>
              </w:rPr>
              <w:t>Total</w:t>
            </w:r>
          </w:p>
        </w:tc>
      </w:tr>
      <w:tr w:rsidR="00E254F6" w:rsidRPr="009A001D" w:rsidTr="00566C0D">
        <w:tc>
          <w:tcPr>
            <w:tcW w:w="2381" w:type="dxa"/>
          </w:tcPr>
          <w:p w:rsidR="00E254F6" w:rsidRPr="001B1E83" w:rsidRDefault="00E254F6" w:rsidP="00B977D5">
            <w:pPr>
              <w:pStyle w:val="TableFigText"/>
              <w:rPr>
                <w:rFonts w:asciiTheme="minorHAnsi" w:hAnsiTheme="minorHAnsi" w:cstheme="minorHAnsi"/>
                <w:szCs w:val="22"/>
              </w:rPr>
            </w:pPr>
            <w:r w:rsidRPr="001B1E83">
              <w:rPr>
                <w:rFonts w:asciiTheme="minorHAnsi" w:hAnsiTheme="minorHAnsi" w:cstheme="minorHAnsi"/>
                <w:szCs w:val="22"/>
              </w:rPr>
              <w:t>Public hospital services</w:t>
            </w:r>
            <w:r w:rsidRPr="001B1E83">
              <w:rPr>
                <w:rFonts w:asciiTheme="minorHAnsi" w:hAnsiTheme="minorHAnsi" w:cstheme="minorHAnsi"/>
                <w:szCs w:val="22"/>
                <w:vertAlign w:val="superscript"/>
              </w:rPr>
              <w:t>(d)(e)</w:t>
            </w:r>
          </w:p>
        </w:tc>
        <w:tc>
          <w:tcPr>
            <w:tcW w:w="1047" w:type="dxa"/>
            <w:vAlign w:val="bottom"/>
          </w:tcPr>
          <w:p w:rsidR="00E254F6" w:rsidRPr="009A001D" w:rsidRDefault="00E254F6" w:rsidP="0099647E">
            <w:pPr>
              <w:pStyle w:val="TableFigText"/>
              <w:jc w:val="right"/>
            </w:pPr>
            <w:r w:rsidRPr="009A001D">
              <w:t>133.81</w:t>
            </w:r>
          </w:p>
        </w:tc>
        <w:tc>
          <w:tcPr>
            <w:tcW w:w="1380" w:type="dxa"/>
            <w:vAlign w:val="bottom"/>
          </w:tcPr>
          <w:p w:rsidR="00E254F6" w:rsidRPr="009A001D" w:rsidRDefault="00E254F6" w:rsidP="0099647E">
            <w:pPr>
              <w:pStyle w:val="TableFigText"/>
              <w:jc w:val="right"/>
            </w:pPr>
            <w:r w:rsidRPr="009A001D">
              <w:t>47.71</w:t>
            </w:r>
          </w:p>
        </w:tc>
        <w:tc>
          <w:tcPr>
            <w:tcW w:w="1251" w:type="dxa"/>
            <w:vAlign w:val="bottom"/>
          </w:tcPr>
          <w:p w:rsidR="00E254F6" w:rsidRPr="009A001D" w:rsidRDefault="00B92561" w:rsidP="0099647E">
            <w:pPr>
              <w:pStyle w:val="TableFigText"/>
              <w:jc w:val="right"/>
            </w:pPr>
            <w:r>
              <w:t>28.87</w:t>
            </w:r>
            <w:r w:rsidR="00E254F6">
              <w:rPr>
                <w:vertAlign w:val="superscript"/>
              </w:rPr>
              <w:t>(f</w:t>
            </w:r>
            <w:r w:rsidR="00E254F6" w:rsidRPr="009A001D">
              <w:rPr>
                <w:vertAlign w:val="superscript"/>
              </w:rPr>
              <w:t>)</w:t>
            </w:r>
          </w:p>
        </w:tc>
        <w:tc>
          <w:tcPr>
            <w:tcW w:w="1047" w:type="dxa"/>
          </w:tcPr>
          <w:p w:rsidR="00E254F6" w:rsidRPr="0099647E" w:rsidRDefault="00E254F6" w:rsidP="0099647E">
            <w:pPr>
              <w:pStyle w:val="TableFigText"/>
              <w:jc w:val="right"/>
              <w:rPr>
                <w:rFonts w:cstheme="minorHAnsi"/>
                <w:szCs w:val="22"/>
              </w:rPr>
            </w:pPr>
            <w:r w:rsidRPr="0099647E">
              <w:rPr>
                <w:rFonts w:cstheme="minorHAnsi"/>
                <w:szCs w:val="22"/>
              </w:rPr>
              <w:t>n/a</w:t>
            </w:r>
            <w:r w:rsidRPr="0099647E" w:rsidDel="00681F6F">
              <w:rPr>
                <w:rFonts w:cstheme="minorHAnsi"/>
                <w:szCs w:val="22"/>
              </w:rPr>
              <w:t xml:space="preserve"> </w:t>
            </w:r>
          </w:p>
        </w:tc>
        <w:tc>
          <w:tcPr>
            <w:tcW w:w="1094" w:type="dxa"/>
          </w:tcPr>
          <w:p w:rsidR="00E254F6" w:rsidRPr="0099647E" w:rsidRDefault="00E254F6" w:rsidP="0099647E">
            <w:pPr>
              <w:pStyle w:val="TableFigText"/>
              <w:jc w:val="right"/>
              <w:rPr>
                <w:rFonts w:cstheme="minorHAnsi"/>
                <w:szCs w:val="22"/>
              </w:rPr>
            </w:pPr>
            <w:r w:rsidRPr="0099647E">
              <w:rPr>
                <w:rFonts w:cstheme="minorHAnsi"/>
                <w:szCs w:val="22"/>
              </w:rPr>
              <w:t>n/a</w:t>
            </w:r>
          </w:p>
        </w:tc>
        <w:tc>
          <w:tcPr>
            <w:tcW w:w="1086" w:type="dxa"/>
            <w:vAlign w:val="bottom"/>
          </w:tcPr>
          <w:p w:rsidR="00E254F6" w:rsidRPr="009A001D" w:rsidRDefault="00E254F6" w:rsidP="0099647E">
            <w:pPr>
              <w:pStyle w:val="TableFigText"/>
              <w:jc w:val="right"/>
            </w:pPr>
            <w:r w:rsidRPr="009A001D">
              <w:t>108.78</w:t>
            </w:r>
          </w:p>
        </w:tc>
      </w:tr>
      <w:tr w:rsidR="00E254F6" w:rsidRPr="009A001D" w:rsidTr="00566C0D">
        <w:tc>
          <w:tcPr>
            <w:tcW w:w="2381" w:type="dxa"/>
          </w:tcPr>
          <w:p w:rsidR="00E254F6" w:rsidRPr="001B1E83" w:rsidRDefault="00E254F6" w:rsidP="00B977D5">
            <w:pPr>
              <w:pStyle w:val="TableFigText"/>
              <w:rPr>
                <w:rFonts w:asciiTheme="minorHAnsi" w:hAnsiTheme="minorHAnsi" w:cstheme="minorHAnsi"/>
                <w:szCs w:val="22"/>
              </w:rPr>
            </w:pPr>
            <w:r w:rsidRPr="001B1E83">
              <w:rPr>
                <w:rFonts w:asciiTheme="minorHAnsi" w:hAnsiTheme="minorHAnsi" w:cstheme="minorHAnsi"/>
                <w:szCs w:val="22"/>
              </w:rPr>
              <w:t>Community mental health services</w:t>
            </w:r>
          </w:p>
        </w:tc>
        <w:tc>
          <w:tcPr>
            <w:tcW w:w="1047" w:type="dxa"/>
            <w:vAlign w:val="bottom"/>
          </w:tcPr>
          <w:p w:rsidR="00E254F6" w:rsidRPr="009A001D" w:rsidRDefault="00E254F6" w:rsidP="0099647E">
            <w:pPr>
              <w:pStyle w:val="TableFigText"/>
              <w:jc w:val="right"/>
            </w:pPr>
            <w:r w:rsidRPr="009A001D">
              <w:t>109.19</w:t>
            </w:r>
          </w:p>
        </w:tc>
        <w:tc>
          <w:tcPr>
            <w:tcW w:w="1380" w:type="dxa"/>
            <w:vAlign w:val="bottom"/>
          </w:tcPr>
          <w:p w:rsidR="00E254F6" w:rsidRPr="009A001D" w:rsidRDefault="00E254F6" w:rsidP="0099647E">
            <w:pPr>
              <w:pStyle w:val="TableFigText"/>
              <w:jc w:val="right"/>
            </w:pPr>
            <w:r w:rsidRPr="009A001D">
              <w:t>77.59</w:t>
            </w:r>
          </w:p>
        </w:tc>
        <w:tc>
          <w:tcPr>
            <w:tcW w:w="1251" w:type="dxa"/>
            <w:vAlign w:val="bottom"/>
          </w:tcPr>
          <w:p w:rsidR="00E254F6" w:rsidRPr="009A001D" w:rsidRDefault="00E254F6" w:rsidP="0099647E">
            <w:pPr>
              <w:pStyle w:val="TableFigText"/>
              <w:jc w:val="right"/>
            </w:pPr>
            <w:r w:rsidRPr="009A001D">
              <w:t>89.08</w:t>
            </w:r>
          </w:p>
        </w:tc>
        <w:tc>
          <w:tcPr>
            <w:tcW w:w="1047" w:type="dxa"/>
            <w:vAlign w:val="bottom"/>
          </w:tcPr>
          <w:p w:rsidR="00E254F6" w:rsidRPr="0099647E" w:rsidRDefault="00E254F6" w:rsidP="0099647E">
            <w:pPr>
              <w:pStyle w:val="TableFigText"/>
              <w:jc w:val="right"/>
            </w:pPr>
            <w:r w:rsidRPr="0099647E">
              <w:t>101.06</w:t>
            </w:r>
          </w:p>
        </w:tc>
        <w:tc>
          <w:tcPr>
            <w:tcW w:w="1094" w:type="dxa"/>
            <w:vAlign w:val="bottom"/>
          </w:tcPr>
          <w:p w:rsidR="00E254F6" w:rsidRPr="0099647E" w:rsidRDefault="00E254F6" w:rsidP="0099647E">
            <w:pPr>
              <w:pStyle w:val="TableFigText"/>
              <w:jc w:val="right"/>
            </w:pPr>
            <w:r w:rsidRPr="0099647E">
              <w:t>20.40</w:t>
            </w:r>
          </w:p>
        </w:tc>
        <w:tc>
          <w:tcPr>
            <w:tcW w:w="1086" w:type="dxa"/>
            <w:vAlign w:val="bottom"/>
          </w:tcPr>
          <w:p w:rsidR="00E254F6" w:rsidRPr="009A001D" w:rsidRDefault="00E254F6" w:rsidP="0099647E">
            <w:pPr>
              <w:pStyle w:val="TableFigText"/>
              <w:jc w:val="right"/>
            </w:pPr>
            <w:r w:rsidRPr="009A001D">
              <w:t>102.09</w:t>
            </w:r>
          </w:p>
        </w:tc>
      </w:tr>
      <w:tr w:rsidR="00E254F6" w:rsidRPr="009A001D" w:rsidTr="00566C0D">
        <w:tc>
          <w:tcPr>
            <w:tcW w:w="2381" w:type="dxa"/>
          </w:tcPr>
          <w:p w:rsidR="00E254F6" w:rsidRPr="001B1E83" w:rsidRDefault="00E254F6" w:rsidP="00B977D5">
            <w:pPr>
              <w:pStyle w:val="TableFigText"/>
              <w:rPr>
                <w:rFonts w:asciiTheme="minorHAnsi" w:hAnsiTheme="minorHAnsi" w:cstheme="minorHAnsi"/>
                <w:szCs w:val="22"/>
              </w:rPr>
            </w:pPr>
            <w:r w:rsidRPr="001B1E83">
              <w:rPr>
                <w:rFonts w:asciiTheme="minorHAnsi" w:hAnsiTheme="minorHAnsi" w:cstheme="minorHAnsi"/>
                <w:szCs w:val="22"/>
              </w:rPr>
              <w:t>Residential mental health services</w:t>
            </w:r>
            <w:r w:rsidRPr="001B1E83">
              <w:rPr>
                <w:rFonts w:asciiTheme="minorHAnsi" w:hAnsiTheme="minorHAnsi" w:cstheme="minorHAnsi"/>
                <w:szCs w:val="22"/>
                <w:vertAlign w:val="superscript"/>
              </w:rPr>
              <w:t>(</w:t>
            </w:r>
            <w:r>
              <w:rPr>
                <w:rFonts w:asciiTheme="minorHAnsi" w:hAnsiTheme="minorHAnsi" w:cstheme="minorHAnsi"/>
                <w:szCs w:val="22"/>
                <w:vertAlign w:val="superscript"/>
              </w:rPr>
              <w:t>g</w:t>
            </w:r>
            <w:r w:rsidRPr="001B1E83">
              <w:rPr>
                <w:rFonts w:asciiTheme="minorHAnsi" w:hAnsiTheme="minorHAnsi" w:cstheme="minorHAnsi"/>
                <w:szCs w:val="22"/>
                <w:vertAlign w:val="superscript"/>
              </w:rPr>
              <w:t>)</w:t>
            </w:r>
          </w:p>
        </w:tc>
        <w:tc>
          <w:tcPr>
            <w:tcW w:w="1047" w:type="dxa"/>
            <w:vAlign w:val="bottom"/>
          </w:tcPr>
          <w:p w:rsidR="00E254F6" w:rsidRPr="009A001D" w:rsidRDefault="00E254F6" w:rsidP="0099647E">
            <w:pPr>
              <w:pStyle w:val="TableFigText"/>
              <w:jc w:val="right"/>
            </w:pPr>
            <w:r w:rsidRPr="009A001D">
              <w:t>9.90</w:t>
            </w:r>
          </w:p>
        </w:tc>
        <w:tc>
          <w:tcPr>
            <w:tcW w:w="1380" w:type="dxa"/>
            <w:vAlign w:val="bottom"/>
          </w:tcPr>
          <w:p w:rsidR="00E254F6" w:rsidRPr="009A001D" w:rsidRDefault="00E254F6" w:rsidP="0099647E">
            <w:pPr>
              <w:pStyle w:val="TableFigText"/>
              <w:jc w:val="right"/>
            </w:pPr>
            <w:r w:rsidRPr="009A001D">
              <w:t>9.03</w:t>
            </w:r>
          </w:p>
        </w:tc>
        <w:tc>
          <w:tcPr>
            <w:tcW w:w="1251" w:type="dxa"/>
            <w:vAlign w:val="bottom"/>
          </w:tcPr>
          <w:p w:rsidR="00E254F6" w:rsidRPr="009A001D" w:rsidRDefault="00E254F6" w:rsidP="0099647E">
            <w:pPr>
              <w:pStyle w:val="TableFigText"/>
              <w:jc w:val="right"/>
            </w:pPr>
            <w:r w:rsidRPr="009A001D">
              <w:t>10.14</w:t>
            </w:r>
          </w:p>
        </w:tc>
        <w:tc>
          <w:tcPr>
            <w:tcW w:w="1047" w:type="dxa"/>
            <w:vAlign w:val="bottom"/>
          </w:tcPr>
          <w:p w:rsidR="00E254F6" w:rsidRPr="0099647E" w:rsidRDefault="00E254F6" w:rsidP="0099647E">
            <w:pPr>
              <w:pStyle w:val="TableFigText"/>
              <w:jc w:val="right"/>
            </w:pPr>
            <w:r w:rsidRPr="0099647E">
              <w:t>0</w:t>
            </w:r>
          </w:p>
        </w:tc>
        <w:tc>
          <w:tcPr>
            <w:tcW w:w="1094" w:type="dxa"/>
            <w:vAlign w:val="bottom"/>
          </w:tcPr>
          <w:p w:rsidR="00E254F6" w:rsidRPr="0099647E" w:rsidRDefault="00E254F6" w:rsidP="0099647E">
            <w:pPr>
              <w:pStyle w:val="TableFigText"/>
              <w:jc w:val="right"/>
            </w:pPr>
            <w:r w:rsidRPr="0099647E">
              <w:t>0</w:t>
            </w:r>
          </w:p>
        </w:tc>
        <w:tc>
          <w:tcPr>
            <w:tcW w:w="1086" w:type="dxa"/>
            <w:vAlign w:val="bottom"/>
          </w:tcPr>
          <w:p w:rsidR="00E254F6" w:rsidRPr="009A001D" w:rsidRDefault="00E254F6" w:rsidP="0099647E">
            <w:pPr>
              <w:pStyle w:val="TableFigText"/>
              <w:jc w:val="right"/>
            </w:pPr>
            <w:r w:rsidRPr="009A001D">
              <w:t>9.16</w:t>
            </w:r>
          </w:p>
        </w:tc>
      </w:tr>
      <w:tr w:rsidR="00E254F6" w:rsidRPr="009A001D" w:rsidTr="00566C0D">
        <w:tc>
          <w:tcPr>
            <w:tcW w:w="2381" w:type="dxa"/>
          </w:tcPr>
          <w:p w:rsidR="00E254F6" w:rsidRPr="0099647E" w:rsidRDefault="00E254F6" w:rsidP="00E254F6">
            <w:pPr>
              <w:pStyle w:val="TableFigText"/>
              <w:rPr>
                <w:rFonts w:asciiTheme="minorHAnsi" w:hAnsiTheme="minorHAnsi" w:cstheme="minorHAnsi"/>
                <w:b/>
                <w:szCs w:val="22"/>
              </w:rPr>
            </w:pPr>
            <w:r w:rsidRPr="0099647E">
              <w:rPr>
                <w:rFonts w:asciiTheme="minorHAnsi" w:hAnsiTheme="minorHAnsi" w:cstheme="minorHAnsi"/>
                <w:b/>
                <w:szCs w:val="22"/>
              </w:rPr>
              <w:t>All mental health service types</w:t>
            </w:r>
            <w:r w:rsidRPr="0099647E">
              <w:rPr>
                <w:rFonts w:asciiTheme="minorHAnsi" w:hAnsiTheme="minorHAnsi" w:cstheme="minorHAnsi"/>
                <w:b/>
                <w:szCs w:val="22"/>
                <w:vertAlign w:val="superscript"/>
              </w:rPr>
              <w:t>(h)</w:t>
            </w:r>
          </w:p>
        </w:tc>
        <w:tc>
          <w:tcPr>
            <w:tcW w:w="1047" w:type="dxa"/>
            <w:vAlign w:val="bottom"/>
          </w:tcPr>
          <w:p w:rsidR="00E254F6" w:rsidRPr="0099647E" w:rsidRDefault="00E254F6" w:rsidP="0099647E">
            <w:pPr>
              <w:pStyle w:val="TableFigText"/>
              <w:jc w:val="right"/>
              <w:rPr>
                <w:b/>
              </w:rPr>
            </w:pPr>
            <w:r w:rsidRPr="0099647E">
              <w:rPr>
                <w:b/>
              </w:rPr>
              <w:t>252.91</w:t>
            </w:r>
          </w:p>
        </w:tc>
        <w:tc>
          <w:tcPr>
            <w:tcW w:w="1380" w:type="dxa"/>
            <w:vAlign w:val="bottom"/>
          </w:tcPr>
          <w:p w:rsidR="00E254F6" w:rsidRPr="0099647E" w:rsidRDefault="00E254F6" w:rsidP="0099647E">
            <w:pPr>
              <w:pStyle w:val="TableFigText"/>
              <w:jc w:val="right"/>
              <w:rPr>
                <w:b/>
              </w:rPr>
            </w:pPr>
            <w:r w:rsidRPr="0099647E">
              <w:rPr>
                <w:b/>
              </w:rPr>
              <w:t>134.33</w:t>
            </w:r>
          </w:p>
        </w:tc>
        <w:tc>
          <w:tcPr>
            <w:tcW w:w="1251" w:type="dxa"/>
            <w:vAlign w:val="bottom"/>
          </w:tcPr>
          <w:p w:rsidR="00E254F6" w:rsidRPr="0099647E" w:rsidRDefault="00B92561" w:rsidP="0099647E">
            <w:pPr>
              <w:pStyle w:val="TableFigText"/>
              <w:jc w:val="right"/>
              <w:rPr>
                <w:b/>
              </w:rPr>
            </w:pPr>
            <w:r w:rsidRPr="0099647E">
              <w:rPr>
                <w:b/>
              </w:rPr>
              <w:t>128.09</w:t>
            </w:r>
          </w:p>
        </w:tc>
        <w:tc>
          <w:tcPr>
            <w:tcW w:w="1047" w:type="dxa"/>
            <w:vAlign w:val="bottom"/>
          </w:tcPr>
          <w:p w:rsidR="00E254F6" w:rsidRPr="0099647E" w:rsidRDefault="00B92561" w:rsidP="0099647E">
            <w:pPr>
              <w:pStyle w:val="TableFigText"/>
              <w:jc w:val="right"/>
              <w:rPr>
                <w:b/>
              </w:rPr>
            </w:pPr>
            <w:r w:rsidRPr="0099647E">
              <w:rPr>
                <w:b/>
              </w:rPr>
              <w:t>101.6</w:t>
            </w:r>
          </w:p>
        </w:tc>
        <w:tc>
          <w:tcPr>
            <w:tcW w:w="1094" w:type="dxa"/>
            <w:vAlign w:val="bottom"/>
          </w:tcPr>
          <w:p w:rsidR="00E254F6" w:rsidRPr="0099647E" w:rsidRDefault="00E254F6" w:rsidP="0099647E">
            <w:pPr>
              <w:pStyle w:val="TableFigText"/>
              <w:jc w:val="right"/>
              <w:rPr>
                <w:b/>
              </w:rPr>
            </w:pPr>
            <w:r w:rsidRPr="0099647E">
              <w:rPr>
                <w:b/>
              </w:rPr>
              <w:t>20.40</w:t>
            </w:r>
          </w:p>
        </w:tc>
        <w:tc>
          <w:tcPr>
            <w:tcW w:w="1086" w:type="dxa"/>
            <w:vAlign w:val="bottom"/>
          </w:tcPr>
          <w:p w:rsidR="00E254F6" w:rsidRPr="0099647E" w:rsidRDefault="00E254F6" w:rsidP="0099647E">
            <w:pPr>
              <w:pStyle w:val="TableFigText"/>
              <w:jc w:val="right"/>
              <w:rPr>
                <w:b/>
              </w:rPr>
            </w:pPr>
            <w:r w:rsidRPr="0099647E">
              <w:rPr>
                <w:b/>
              </w:rPr>
              <w:t>220.02</w:t>
            </w:r>
          </w:p>
        </w:tc>
      </w:tr>
    </w:tbl>
    <w:p w:rsidR="0064617E" w:rsidRPr="006876F2" w:rsidRDefault="0064617E" w:rsidP="0064617E">
      <w:pPr>
        <w:pStyle w:val="TableFigNotesnumbered"/>
        <w:ind w:left="294" w:hanging="294"/>
        <w:rPr>
          <w:rStyle w:val="table-note"/>
        </w:rPr>
      </w:pPr>
      <w:proofErr w:type="gramStart"/>
      <w:r w:rsidRPr="006876F2">
        <w:rPr>
          <w:rStyle w:val="table-note"/>
        </w:rPr>
        <w:t>n/a</w:t>
      </w:r>
      <w:proofErr w:type="gramEnd"/>
      <w:r w:rsidRPr="006876F2">
        <w:rPr>
          <w:rStyle w:val="table-note"/>
        </w:rPr>
        <w:tab/>
        <w:t>Not applicable</w:t>
      </w:r>
    </w:p>
    <w:p w:rsidR="00E53420" w:rsidRPr="006876F2" w:rsidRDefault="00E53420" w:rsidP="00540186">
      <w:pPr>
        <w:pStyle w:val="TableFigNotesnumbered"/>
        <w:numPr>
          <w:ilvl w:val="0"/>
          <w:numId w:val="41"/>
        </w:numPr>
        <w:rPr>
          <w:rStyle w:val="table-note"/>
        </w:rPr>
      </w:pPr>
      <w:r w:rsidRPr="006876F2">
        <w:rPr>
          <w:rStyle w:val="table-note"/>
        </w:rPr>
        <w:t>Expenditure excludes depreciation.</w:t>
      </w:r>
    </w:p>
    <w:p w:rsidR="00E53420" w:rsidRPr="006876F2" w:rsidRDefault="00E53420" w:rsidP="00540186">
      <w:pPr>
        <w:pStyle w:val="TableFigNotesnumbered"/>
        <w:numPr>
          <w:ilvl w:val="0"/>
          <w:numId w:val="41"/>
        </w:numPr>
        <w:rPr>
          <w:rStyle w:val="table-note"/>
        </w:rPr>
      </w:pPr>
      <w:r w:rsidRPr="006876F2">
        <w:rPr>
          <w:rStyle w:val="table-note"/>
        </w:rPr>
        <w:t xml:space="preserve">Expenditure excludes grants to non-government organisations and indirect expenditure at the state/territory, region and organisation levels not apportioned to service units. </w:t>
      </w:r>
    </w:p>
    <w:p w:rsidR="00E53420" w:rsidRPr="006876F2" w:rsidRDefault="00E53420" w:rsidP="00540186">
      <w:pPr>
        <w:pStyle w:val="TableFigNotesnumbered"/>
        <w:numPr>
          <w:ilvl w:val="0"/>
          <w:numId w:val="41"/>
        </w:numPr>
        <w:rPr>
          <w:rStyle w:val="table-note"/>
        </w:rPr>
      </w:pPr>
      <w:r w:rsidRPr="006876F2">
        <w:rPr>
          <w:rStyle w:val="table-note"/>
        </w:rPr>
        <w:t>Crude rate is based on the state and territory estimated resident population by remoteness area as at 30 June 2011.</w:t>
      </w:r>
    </w:p>
    <w:p w:rsidR="00E53420" w:rsidRPr="006876F2" w:rsidRDefault="00E53420" w:rsidP="00540186">
      <w:pPr>
        <w:pStyle w:val="TableFigNotesnumbered"/>
        <w:numPr>
          <w:ilvl w:val="0"/>
          <w:numId w:val="41"/>
        </w:numPr>
        <w:rPr>
          <w:rStyle w:val="table-note"/>
        </w:rPr>
      </w:pPr>
      <w:r w:rsidRPr="006876F2">
        <w:rPr>
          <w:rStyle w:val="table-note"/>
        </w:rPr>
        <w:t>Includes public hospital services managed and operated by private and non-government entities.</w:t>
      </w:r>
    </w:p>
    <w:p w:rsidR="00E53420" w:rsidRPr="006876F2" w:rsidRDefault="00E53420" w:rsidP="00540186">
      <w:pPr>
        <w:pStyle w:val="TableFigNotesnumbered"/>
        <w:numPr>
          <w:ilvl w:val="0"/>
          <w:numId w:val="41"/>
        </w:numPr>
        <w:rPr>
          <w:rStyle w:val="table-note"/>
        </w:rPr>
      </w:pPr>
      <w:r w:rsidRPr="006876F2">
        <w:rPr>
          <w:rStyle w:val="table-note"/>
        </w:rPr>
        <w:t>Public psychiatric hospitals and specialised psychiatric units or wards in public acute hospitals include expenditure on admitted patient services only. Public hospitals outpatient departments are included in community mental health care services.</w:t>
      </w:r>
    </w:p>
    <w:p w:rsidR="00E254F6" w:rsidRPr="006876F2" w:rsidRDefault="00E254F6" w:rsidP="00540186">
      <w:pPr>
        <w:pStyle w:val="TableFigNotesnumbered"/>
        <w:numPr>
          <w:ilvl w:val="0"/>
          <w:numId w:val="41"/>
        </w:numPr>
        <w:rPr>
          <w:rStyle w:val="table-note"/>
        </w:rPr>
      </w:pPr>
      <w:r w:rsidRPr="006876F2">
        <w:rPr>
          <w:rStyle w:val="table-note"/>
        </w:rPr>
        <w:t>Includes expenditure for public hospital services in remote and very remote areas.</w:t>
      </w:r>
    </w:p>
    <w:p w:rsidR="00E53420" w:rsidRPr="006876F2" w:rsidRDefault="00E53420" w:rsidP="00540186">
      <w:pPr>
        <w:pStyle w:val="TableFigNotesnumbered"/>
        <w:numPr>
          <w:ilvl w:val="0"/>
          <w:numId w:val="41"/>
        </w:numPr>
        <w:rPr>
          <w:rStyle w:val="table-note"/>
        </w:rPr>
      </w:pPr>
      <w:r w:rsidRPr="006876F2">
        <w:rPr>
          <w:rStyle w:val="table-note"/>
        </w:rPr>
        <w:t>Residential mental health services include the total operating costs for partially or wholly government funded non-government-operated residential mental health services.</w:t>
      </w:r>
    </w:p>
    <w:p w:rsidR="00E254F6" w:rsidRPr="006876F2" w:rsidRDefault="00E254F6" w:rsidP="00540186">
      <w:pPr>
        <w:pStyle w:val="TableFigNotesnumbered"/>
        <w:numPr>
          <w:ilvl w:val="0"/>
          <w:numId w:val="41"/>
        </w:numPr>
        <w:rPr>
          <w:rStyle w:val="table-note"/>
        </w:rPr>
      </w:pPr>
      <w:r w:rsidRPr="006876F2">
        <w:rPr>
          <w:rStyle w:val="table-note"/>
        </w:rPr>
        <w:t>Totals may not add due to rounding.</w:t>
      </w:r>
    </w:p>
    <w:p w:rsidR="00E53420" w:rsidRPr="006876F2" w:rsidRDefault="00E53420">
      <w:pPr>
        <w:spacing w:before="0" w:after="0" w:line="240" w:lineRule="auto"/>
        <w:rPr>
          <w:rStyle w:val="table-note"/>
        </w:rPr>
      </w:pPr>
      <w:r w:rsidRPr="006876F2">
        <w:rPr>
          <w:rStyle w:val="table-note"/>
        </w:rPr>
        <w:br w:type="page"/>
      </w:r>
    </w:p>
    <w:p w:rsidR="002265C7" w:rsidRPr="0096114C" w:rsidRDefault="0096114C" w:rsidP="002265C7">
      <w:pPr>
        <w:pStyle w:val="TableCaption"/>
        <w:rPr>
          <w:rStyle w:val="table-note"/>
        </w:rPr>
      </w:pPr>
      <w:r w:rsidRPr="0096114C">
        <w:rPr>
          <w:rStyle w:val="table-note"/>
        </w:rPr>
        <w:lastRenderedPageBreak/>
        <w:t xml:space="preserve">Table 36: </w:t>
      </w:r>
      <w:r w:rsidR="002265C7" w:rsidRPr="0096114C">
        <w:rPr>
          <w:rStyle w:val="table-note"/>
        </w:rPr>
        <w:t xml:space="preserve">WA: Number of specialised mental health beds, by service type, 2007–08 </w:t>
      </w:r>
    </w:p>
    <w:tbl>
      <w:tblPr>
        <w:tblStyle w:val="TableGrid"/>
        <w:tblW w:w="0" w:type="auto"/>
        <w:tblLook w:val="04A0" w:firstRow="1" w:lastRow="0" w:firstColumn="1" w:lastColumn="0" w:noHBand="0" w:noVBand="1"/>
        <w:tblCaption w:val="WA: Number of specialised mental health beds, by service type, 2007–08 "/>
        <w:tblDescription w:val="Table showing that, in 2007-08, major cities in WA had the highest number of all types of specialised mental health beds at 726. The number of beds decreased as the region type became more remote, with no beds in very remote areas. The highest number of beds was in the specialised psychiatric units or wards in public acute hospitals."/>
      </w:tblPr>
      <w:tblGrid>
        <w:gridCol w:w="2403"/>
        <w:gridCol w:w="1059"/>
        <w:gridCol w:w="1398"/>
        <w:gridCol w:w="1266"/>
        <w:gridCol w:w="1056"/>
        <w:gridCol w:w="1105"/>
        <w:gridCol w:w="999"/>
      </w:tblGrid>
      <w:tr w:rsidR="002265C7" w:rsidRPr="00856F57" w:rsidTr="000C3DEA">
        <w:trPr>
          <w:tblHeader/>
        </w:trPr>
        <w:tc>
          <w:tcPr>
            <w:tcW w:w="2504" w:type="dxa"/>
          </w:tcPr>
          <w:p w:rsidR="002265C7" w:rsidRPr="00856F57" w:rsidRDefault="002265C7" w:rsidP="002265C7">
            <w:pPr>
              <w:pStyle w:val="TableFigText"/>
              <w:keepNext/>
              <w:rPr>
                <w:rFonts w:asciiTheme="minorHAnsi" w:hAnsiTheme="minorHAnsi" w:cstheme="minorHAnsi"/>
                <w:szCs w:val="22"/>
              </w:rPr>
            </w:pPr>
          </w:p>
        </w:tc>
        <w:tc>
          <w:tcPr>
            <w:tcW w:w="1089" w:type="dxa"/>
          </w:tcPr>
          <w:p w:rsidR="002265C7" w:rsidRPr="00856F57" w:rsidRDefault="002265C7" w:rsidP="002265C7">
            <w:pPr>
              <w:pStyle w:val="TableFigText"/>
              <w:keepNext/>
              <w:jc w:val="right"/>
              <w:rPr>
                <w:rFonts w:asciiTheme="minorHAnsi" w:hAnsiTheme="minorHAnsi" w:cstheme="minorHAnsi"/>
                <w:b/>
                <w:szCs w:val="22"/>
              </w:rPr>
            </w:pPr>
            <w:r w:rsidRPr="00856F57">
              <w:rPr>
                <w:rFonts w:asciiTheme="minorHAnsi" w:hAnsiTheme="minorHAnsi" w:cstheme="minorHAnsi"/>
                <w:b/>
                <w:szCs w:val="22"/>
              </w:rPr>
              <w:t>Major cities</w:t>
            </w:r>
          </w:p>
        </w:tc>
        <w:tc>
          <w:tcPr>
            <w:tcW w:w="1442" w:type="dxa"/>
          </w:tcPr>
          <w:p w:rsidR="002265C7" w:rsidRPr="00856F57" w:rsidRDefault="002265C7" w:rsidP="002265C7">
            <w:pPr>
              <w:pStyle w:val="TableFigText"/>
              <w:keepNext/>
              <w:jc w:val="right"/>
              <w:rPr>
                <w:rFonts w:asciiTheme="minorHAnsi" w:hAnsiTheme="minorHAnsi" w:cstheme="minorHAnsi"/>
                <w:b/>
                <w:szCs w:val="22"/>
              </w:rPr>
            </w:pPr>
            <w:r w:rsidRPr="00856F57">
              <w:rPr>
                <w:rFonts w:asciiTheme="minorHAnsi" w:hAnsiTheme="minorHAnsi" w:cstheme="minorHAnsi"/>
                <w:b/>
                <w:szCs w:val="22"/>
              </w:rPr>
              <w:t>Inner regional</w:t>
            </w:r>
          </w:p>
        </w:tc>
        <w:tc>
          <w:tcPr>
            <w:tcW w:w="1301" w:type="dxa"/>
          </w:tcPr>
          <w:p w:rsidR="002265C7" w:rsidRPr="00856F57" w:rsidRDefault="002265C7" w:rsidP="002265C7">
            <w:pPr>
              <w:pStyle w:val="TableFigText"/>
              <w:keepNext/>
              <w:jc w:val="right"/>
              <w:rPr>
                <w:rFonts w:asciiTheme="minorHAnsi" w:hAnsiTheme="minorHAnsi" w:cstheme="minorHAnsi"/>
                <w:b/>
                <w:szCs w:val="22"/>
              </w:rPr>
            </w:pPr>
            <w:r w:rsidRPr="00856F57">
              <w:rPr>
                <w:rFonts w:asciiTheme="minorHAnsi" w:hAnsiTheme="minorHAnsi" w:cstheme="minorHAnsi"/>
                <w:b/>
                <w:szCs w:val="22"/>
              </w:rPr>
              <w:t>Outer regional</w:t>
            </w:r>
          </w:p>
        </w:tc>
        <w:tc>
          <w:tcPr>
            <w:tcW w:w="1078" w:type="dxa"/>
          </w:tcPr>
          <w:p w:rsidR="002265C7" w:rsidRPr="00856F57" w:rsidRDefault="002265C7" w:rsidP="002265C7">
            <w:pPr>
              <w:pStyle w:val="TableFigText"/>
              <w:keepNext/>
              <w:jc w:val="right"/>
              <w:rPr>
                <w:rFonts w:asciiTheme="minorHAnsi" w:hAnsiTheme="minorHAnsi" w:cstheme="minorHAnsi"/>
                <w:b/>
                <w:szCs w:val="22"/>
              </w:rPr>
            </w:pPr>
            <w:r w:rsidRPr="00856F57">
              <w:rPr>
                <w:rFonts w:asciiTheme="minorHAnsi" w:hAnsiTheme="minorHAnsi" w:cstheme="minorHAnsi"/>
                <w:b/>
                <w:szCs w:val="22"/>
              </w:rPr>
              <w:t>Remote</w:t>
            </w:r>
          </w:p>
        </w:tc>
        <w:tc>
          <w:tcPr>
            <w:tcW w:w="1132" w:type="dxa"/>
          </w:tcPr>
          <w:p w:rsidR="002265C7" w:rsidRPr="00856F57" w:rsidRDefault="002265C7" w:rsidP="002265C7">
            <w:pPr>
              <w:pStyle w:val="TableFigText"/>
              <w:keepNext/>
              <w:jc w:val="right"/>
              <w:rPr>
                <w:rFonts w:asciiTheme="minorHAnsi" w:hAnsiTheme="minorHAnsi" w:cstheme="minorHAnsi"/>
                <w:b/>
                <w:szCs w:val="22"/>
              </w:rPr>
            </w:pPr>
            <w:r w:rsidRPr="00856F57">
              <w:rPr>
                <w:rFonts w:asciiTheme="minorHAnsi" w:hAnsiTheme="minorHAnsi" w:cstheme="minorHAnsi"/>
                <w:b/>
                <w:szCs w:val="22"/>
              </w:rPr>
              <w:t>Very remote</w:t>
            </w:r>
          </w:p>
        </w:tc>
        <w:tc>
          <w:tcPr>
            <w:tcW w:w="1030" w:type="dxa"/>
          </w:tcPr>
          <w:p w:rsidR="002265C7" w:rsidRPr="00856F57" w:rsidRDefault="002265C7" w:rsidP="002265C7">
            <w:pPr>
              <w:pStyle w:val="TableFigText"/>
              <w:keepNext/>
              <w:jc w:val="right"/>
              <w:rPr>
                <w:rFonts w:asciiTheme="minorHAnsi" w:hAnsiTheme="minorHAnsi" w:cstheme="minorHAnsi"/>
                <w:b/>
                <w:szCs w:val="22"/>
              </w:rPr>
            </w:pPr>
            <w:r w:rsidRPr="00856F57">
              <w:rPr>
                <w:rFonts w:asciiTheme="minorHAnsi" w:hAnsiTheme="minorHAnsi" w:cstheme="minorHAnsi"/>
                <w:b/>
                <w:szCs w:val="22"/>
              </w:rPr>
              <w:t>Total</w:t>
            </w:r>
          </w:p>
        </w:tc>
      </w:tr>
      <w:tr w:rsidR="002265C7" w:rsidRPr="00856F57" w:rsidTr="002265C7">
        <w:tc>
          <w:tcPr>
            <w:tcW w:w="2504" w:type="dxa"/>
          </w:tcPr>
          <w:p w:rsidR="002265C7" w:rsidRPr="00856F57" w:rsidRDefault="002265C7" w:rsidP="002265C7">
            <w:pPr>
              <w:pStyle w:val="TableFigText"/>
              <w:keepLines w:val="0"/>
              <w:rPr>
                <w:rFonts w:asciiTheme="minorHAnsi" w:hAnsiTheme="minorHAnsi" w:cstheme="minorHAnsi"/>
                <w:szCs w:val="22"/>
              </w:rPr>
            </w:pPr>
            <w:r w:rsidRPr="00856F57">
              <w:rPr>
                <w:rFonts w:asciiTheme="minorHAnsi" w:hAnsiTheme="minorHAnsi" w:cstheme="minorHAnsi"/>
                <w:szCs w:val="22"/>
              </w:rPr>
              <w:t>Specialised psychiatric units or wards in public acute hospitals</w:t>
            </w:r>
          </w:p>
        </w:tc>
        <w:tc>
          <w:tcPr>
            <w:tcW w:w="1089" w:type="dxa"/>
            <w:vAlign w:val="center"/>
          </w:tcPr>
          <w:p w:rsidR="002265C7" w:rsidRPr="001726A2" w:rsidRDefault="002265C7" w:rsidP="0099647E">
            <w:pPr>
              <w:pStyle w:val="TableFigText"/>
              <w:jc w:val="right"/>
            </w:pPr>
            <w:r w:rsidRPr="001726A2">
              <w:t>391</w:t>
            </w:r>
          </w:p>
        </w:tc>
        <w:tc>
          <w:tcPr>
            <w:tcW w:w="1442" w:type="dxa"/>
            <w:vAlign w:val="center"/>
          </w:tcPr>
          <w:p w:rsidR="002265C7" w:rsidRPr="001726A2" w:rsidRDefault="002265C7" w:rsidP="0099647E">
            <w:pPr>
              <w:pStyle w:val="TableFigText"/>
              <w:jc w:val="right"/>
            </w:pPr>
            <w:r w:rsidRPr="001726A2">
              <w:t>18</w:t>
            </w:r>
          </w:p>
        </w:tc>
        <w:tc>
          <w:tcPr>
            <w:tcW w:w="1301" w:type="dxa"/>
            <w:vAlign w:val="center"/>
          </w:tcPr>
          <w:p w:rsidR="002265C7" w:rsidRPr="001726A2" w:rsidRDefault="002265C7" w:rsidP="0099647E">
            <w:pPr>
              <w:pStyle w:val="TableFigText"/>
              <w:jc w:val="right"/>
            </w:pPr>
            <w:r w:rsidRPr="001726A2">
              <w:t>16</w:t>
            </w:r>
          </w:p>
        </w:tc>
        <w:tc>
          <w:tcPr>
            <w:tcW w:w="1078" w:type="dxa"/>
            <w:vAlign w:val="center"/>
          </w:tcPr>
          <w:p w:rsidR="002265C7" w:rsidRPr="001726A2" w:rsidRDefault="002265C7" w:rsidP="0099647E">
            <w:pPr>
              <w:pStyle w:val="TableFigText"/>
              <w:jc w:val="right"/>
            </w:pPr>
            <w:r w:rsidRPr="001726A2">
              <w:t>0</w:t>
            </w:r>
          </w:p>
        </w:tc>
        <w:tc>
          <w:tcPr>
            <w:tcW w:w="1132" w:type="dxa"/>
            <w:vAlign w:val="center"/>
          </w:tcPr>
          <w:p w:rsidR="002265C7" w:rsidRPr="001726A2" w:rsidRDefault="002265C7" w:rsidP="0099647E">
            <w:pPr>
              <w:pStyle w:val="TableFigText"/>
              <w:jc w:val="right"/>
            </w:pPr>
            <w:r w:rsidRPr="001726A2">
              <w:t>0</w:t>
            </w:r>
          </w:p>
        </w:tc>
        <w:tc>
          <w:tcPr>
            <w:tcW w:w="1030" w:type="dxa"/>
            <w:vAlign w:val="center"/>
          </w:tcPr>
          <w:p w:rsidR="002265C7" w:rsidRPr="001726A2" w:rsidRDefault="002265C7" w:rsidP="0099647E">
            <w:pPr>
              <w:pStyle w:val="TableFigText"/>
              <w:jc w:val="right"/>
            </w:pPr>
            <w:r w:rsidRPr="001726A2">
              <w:t>425</w:t>
            </w:r>
          </w:p>
        </w:tc>
      </w:tr>
      <w:tr w:rsidR="002265C7" w:rsidRPr="00856F57" w:rsidTr="002265C7">
        <w:tc>
          <w:tcPr>
            <w:tcW w:w="2504" w:type="dxa"/>
          </w:tcPr>
          <w:p w:rsidR="002265C7" w:rsidRPr="00856F57" w:rsidRDefault="002265C7" w:rsidP="002265C7">
            <w:pPr>
              <w:pStyle w:val="TableFigText"/>
              <w:keepLines w:val="0"/>
              <w:rPr>
                <w:rFonts w:asciiTheme="minorHAnsi" w:hAnsiTheme="minorHAnsi" w:cstheme="minorHAnsi"/>
                <w:szCs w:val="22"/>
              </w:rPr>
            </w:pPr>
            <w:r w:rsidRPr="00856F57">
              <w:rPr>
                <w:rFonts w:asciiTheme="minorHAnsi" w:hAnsiTheme="minorHAnsi" w:cstheme="minorHAnsi"/>
                <w:szCs w:val="22"/>
              </w:rPr>
              <w:t>Public psychiatric hospital services</w:t>
            </w:r>
          </w:p>
        </w:tc>
        <w:tc>
          <w:tcPr>
            <w:tcW w:w="1089" w:type="dxa"/>
            <w:vAlign w:val="center"/>
          </w:tcPr>
          <w:p w:rsidR="002265C7" w:rsidRPr="001726A2" w:rsidRDefault="002265C7" w:rsidP="0099647E">
            <w:pPr>
              <w:pStyle w:val="TableFigText"/>
              <w:jc w:val="right"/>
            </w:pPr>
            <w:r w:rsidRPr="001726A2">
              <w:t>245</w:t>
            </w:r>
          </w:p>
        </w:tc>
        <w:tc>
          <w:tcPr>
            <w:tcW w:w="1442" w:type="dxa"/>
            <w:vAlign w:val="center"/>
          </w:tcPr>
          <w:p w:rsidR="002265C7" w:rsidRPr="001726A2" w:rsidRDefault="002265C7" w:rsidP="0099647E">
            <w:pPr>
              <w:pStyle w:val="TableFigText"/>
              <w:jc w:val="right"/>
            </w:pPr>
            <w:r w:rsidRPr="001726A2">
              <w:t>0</w:t>
            </w:r>
          </w:p>
        </w:tc>
        <w:tc>
          <w:tcPr>
            <w:tcW w:w="1301" w:type="dxa"/>
            <w:vAlign w:val="center"/>
          </w:tcPr>
          <w:p w:rsidR="002265C7" w:rsidRPr="001726A2" w:rsidRDefault="002265C7" w:rsidP="0099647E">
            <w:pPr>
              <w:pStyle w:val="TableFigText"/>
              <w:jc w:val="right"/>
            </w:pPr>
            <w:r w:rsidRPr="001726A2">
              <w:t>0</w:t>
            </w:r>
          </w:p>
        </w:tc>
        <w:tc>
          <w:tcPr>
            <w:tcW w:w="1078" w:type="dxa"/>
            <w:vAlign w:val="center"/>
          </w:tcPr>
          <w:p w:rsidR="002265C7" w:rsidRPr="001726A2" w:rsidRDefault="002265C7" w:rsidP="0099647E">
            <w:pPr>
              <w:pStyle w:val="TableFigText"/>
              <w:jc w:val="right"/>
            </w:pPr>
            <w:r w:rsidRPr="001726A2">
              <w:t>0</w:t>
            </w:r>
          </w:p>
        </w:tc>
        <w:tc>
          <w:tcPr>
            <w:tcW w:w="1132" w:type="dxa"/>
            <w:vAlign w:val="center"/>
          </w:tcPr>
          <w:p w:rsidR="002265C7" w:rsidRPr="001726A2" w:rsidRDefault="002265C7" w:rsidP="0099647E">
            <w:pPr>
              <w:pStyle w:val="TableFigText"/>
              <w:jc w:val="right"/>
            </w:pPr>
            <w:r w:rsidRPr="001726A2">
              <w:t>0</w:t>
            </w:r>
          </w:p>
        </w:tc>
        <w:tc>
          <w:tcPr>
            <w:tcW w:w="1030" w:type="dxa"/>
            <w:vAlign w:val="center"/>
          </w:tcPr>
          <w:p w:rsidR="002265C7" w:rsidRPr="001726A2" w:rsidRDefault="002265C7" w:rsidP="0099647E">
            <w:pPr>
              <w:pStyle w:val="TableFigText"/>
              <w:jc w:val="right"/>
            </w:pPr>
            <w:r w:rsidRPr="001726A2">
              <w:t>245</w:t>
            </w:r>
          </w:p>
        </w:tc>
      </w:tr>
      <w:tr w:rsidR="002265C7" w:rsidRPr="00856F57" w:rsidTr="002265C7">
        <w:tc>
          <w:tcPr>
            <w:tcW w:w="2504" w:type="dxa"/>
          </w:tcPr>
          <w:p w:rsidR="002265C7" w:rsidRPr="00856F57" w:rsidRDefault="002265C7" w:rsidP="002265C7">
            <w:pPr>
              <w:pStyle w:val="TableFigText"/>
              <w:keepLines w:val="0"/>
              <w:rPr>
                <w:rFonts w:asciiTheme="minorHAnsi" w:hAnsiTheme="minorHAnsi" w:cstheme="minorHAnsi"/>
                <w:szCs w:val="22"/>
              </w:rPr>
            </w:pPr>
            <w:r w:rsidRPr="00856F57">
              <w:rPr>
                <w:rFonts w:asciiTheme="minorHAnsi" w:hAnsiTheme="minorHAnsi" w:cstheme="minorHAnsi"/>
                <w:szCs w:val="22"/>
              </w:rPr>
              <w:t>Residential mental health care services</w:t>
            </w:r>
          </w:p>
        </w:tc>
        <w:tc>
          <w:tcPr>
            <w:tcW w:w="1089" w:type="dxa"/>
            <w:vAlign w:val="center"/>
          </w:tcPr>
          <w:p w:rsidR="002265C7" w:rsidRPr="001726A2" w:rsidRDefault="002265C7" w:rsidP="0099647E">
            <w:pPr>
              <w:pStyle w:val="TableFigText"/>
              <w:jc w:val="right"/>
            </w:pPr>
            <w:r w:rsidRPr="001726A2">
              <w:t>90</w:t>
            </w:r>
          </w:p>
        </w:tc>
        <w:tc>
          <w:tcPr>
            <w:tcW w:w="1442" w:type="dxa"/>
            <w:vAlign w:val="center"/>
          </w:tcPr>
          <w:p w:rsidR="002265C7" w:rsidRPr="001726A2" w:rsidRDefault="002265C7" w:rsidP="0099647E">
            <w:pPr>
              <w:pStyle w:val="TableFigText"/>
              <w:jc w:val="right"/>
            </w:pPr>
            <w:r w:rsidRPr="001726A2">
              <w:t>11</w:t>
            </w:r>
          </w:p>
        </w:tc>
        <w:tc>
          <w:tcPr>
            <w:tcW w:w="1301" w:type="dxa"/>
            <w:vAlign w:val="center"/>
          </w:tcPr>
          <w:p w:rsidR="002265C7" w:rsidRPr="001726A2" w:rsidRDefault="002265C7" w:rsidP="0099647E">
            <w:pPr>
              <w:pStyle w:val="TableFigText"/>
              <w:jc w:val="right"/>
            </w:pPr>
            <w:r w:rsidRPr="001726A2">
              <w:t>29</w:t>
            </w:r>
          </w:p>
        </w:tc>
        <w:tc>
          <w:tcPr>
            <w:tcW w:w="1078" w:type="dxa"/>
            <w:vAlign w:val="center"/>
          </w:tcPr>
          <w:p w:rsidR="002265C7" w:rsidRPr="001726A2" w:rsidRDefault="002265C7" w:rsidP="0099647E">
            <w:pPr>
              <w:pStyle w:val="TableFigText"/>
              <w:jc w:val="right"/>
            </w:pPr>
            <w:r w:rsidRPr="001726A2">
              <w:t>0</w:t>
            </w:r>
          </w:p>
        </w:tc>
        <w:tc>
          <w:tcPr>
            <w:tcW w:w="1132" w:type="dxa"/>
            <w:vAlign w:val="center"/>
          </w:tcPr>
          <w:p w:rsidR="002265C7" w:rsidRPr="001726A2" w:rsidRDefault="002265C7" w:rsidP="0099647E">
            <w:pPr>
              <w:pStyle w:val="TableFigText"/>
              <w:jc w:val="right"/>
            </w:pPr>
            <w:r w:rsidRPr="001726A2">
              <w:t>0</w:t>
            </w:r>
          </w:p>
        </w:tc>
        <w:tc>
          <w:tcPr>
            <w:tcW w:w="1030" w:type="dxa"/>
            <w:vAlign w:val="center"/>
          </w:tcPr>
          <w:p w:rsidR="002265C7" w:rsidRPr="001726A2" w:rsidRDefault="002265C7" w:rsidP="0099647E">
            <w:pPr>
              <w:pStyle w:val="TableFigText"/>
              <w:jc w:val="right"/>
            </w:pPr>
            <w:r w:rsidRPr="001726A2">
              <w:t>130</w:t>
            </w:r>
          </w:p>
        </w:tc>
      </w:tr>
      <w:tr w:rsidR="002265C7" w:rsidRPr="00856F57" w:rsidTr="002265C7">
        <w:tc>
          <w:tcPr>
            <w:tcW w:w="2504" w:type="dxa"/>
          </w:tcPr>
          <w:p w:rsidR="002265C7" w:rsidRPr="0099647E" w:rsidRDefault="002265C7" w:rsidP="002265C7">
            <w:pPr>
              <w:pStyle w:val="TableFigText"/>
              <w:keepLines w:val="0"/>
              <w:rPr>
                <w:rFonts w:asciiTheme="minorHAnsi" w:hAnsiTheme="minorHAnsi" w:cstheme="minorHAnsi"/>
                <w:b/>
                <w:szCs w:val="22"/>
              </w:rPr>
            </w:pPr>
            <w:r w:rsidRPr="0099647E">
              <w:rPr>
                <w:rFonts w:asciiTheme="minorHAnsi" w:hAnsiTheme="minorHAnsi" w:cstheme="minorHAnsi"/>
                <w:b/>
                <w:szCs w:val="22"/>
              </w:rPr>
              <w:t>Total</w:t>
            </w:r>
          </w:p>
        </w:tc>
        <w:tc>
          <w:tcPr>
            <w:tcW w:w="1089" w:type="dxa"/>
            <w:vAlign w:val="center"/>
          </w:tcPr>
          <w:p w:rsidR="002265C7" w:rsidRPr="0099647E" w:rsidRDefault="002265C7" w:rsidP="0099647E">
            <w:pPr>
              <w:pStyle w:val="TableFigText"/>
              <w:jc w:val="right"/>
              <w:rPr>
                <w:b/>
              </w:rPr>
            </w:pPr>
            <w:r w:rsidRPr="0099647E">
              <w:rPr>
                <w:b/>
              </w:rPr>
              <w:t>726</w:t>
            </w:r>
          </w:p>
        </w:tc>
        <w:tc>
          <w:tcPr>
            <w:tcW w:w="1442" w:type="dxa"/>
            <w:vAlign w:val="center"/>
          </w:tcPr>
          <w:p w:rsidR="002265C7" w:rsidRPr="0099647E" w:rsidRDefault="002265C7" w:rsidP="0099647E">
            <w:pPr>
              <w:pStyle w:val="TableFigText"/>
              <w:jc w:val="right"/>
              <w:rPr>
                <w:b/>
              </w:rPr>
            </w:pPr>
            <w:r w:rsidRPr="0099647E">
              <w:rPr>
                <w:b/>
              </w:rPr>
              <w:t>29</w:t>
            </w:r>
          </w:p>
        </w:tc>
        <w:tc>
          <w:tcPr>
            <w:tcW w:w="1301" w:type="dxa"/>
            <w:vAlign w:val="center"/>
          </w:tcPr>
          <w:p w:rsidR="002265C7" w:rsidRPr="0099647E" w:rsidRDefault="002265C7" w:rsidP="0099647E">
            <w:pPr>
              <w:pStyle w:val="TableFigText"/>
              <w:jc w:val="right"/>
              <w:rPr>
                <w:b/>
              </w:rPr>
            </w:pPr>
            <w:r w:rsidRPr="0099647E">
              <w:rPr>
                <w:b/>
              </w:rPr>
              <w:t>45</w:t>
            </w:r>
          </w:p>
        </w:tc>
        <w:tc>
          <w:tcPr>
            <w:tcW w:w="1078" w:type="dxa"/>
            <w:vAlign w:val="center"/>
          </w:tcPr>
          <w:p w:rsidR="002265C7" w:rsidRPr="0099647E" w:rsidRDefault="002265C7" w:rsidP="0099647E">
            <w:pPr>
              <w:pStyle w:val="TableFigText"/>
              <w:jc w:val="right"/>
              <w:rPr>
                <w:b/>
              </w:rPr>
            </w:pPr>
            <w:r w:rsidRPr="0099647E">
              <w:rPr>
                <w:b/>
              </w:rPr>
              <w:t>0</w:t>
            </w:r>
          </w:p>
        </w:tc>
        <w:tc>
          <w:tcPr>
            <w:tcW w:w="1132" w:type="dxa"/>
            <w:vAlign w:val="center"/>
          </w:tcPr>
          <w:p w:rsidR="002265C7" w:rsidRPr="0099647E" w:rsidRDefault="002265C7" w:rsidP="0099647E">
            <w:pPr>
              <w:pStyle w:val="TableFigText"/>
              <w:jc w:val="right"/>
              <w:rPr>
                <w:b/>
              </w:rPr>
            </w:pPr>
            <w:r w:rsidRPr="0099647E">
              <w:rPr>
                <w:b/>
              </w:rPr>
              <w:t>0</w:t>
            </w:r>
          </w:p>
        </w:tc>
        <w:tc>
          <w:tcPr>
            <w:tcW w:w="1030" w:type="dxa"/>
            <w:vAlign w:val="center"/>
          </w:tcPr>
          <w:p w:rsidR="002265C7" w:rsidRPr="0099647E" w:rsidRDefault="002265C7" w:rsidP="0099647E">
            <w:pPr>
              <w:pStyle w:val="TableFigText"/>
              <w:jc w:val="right"/>
              <w:rPr>
                <w:b/>
              </w:rPr>
            </w:pPr>
            <w:r w:rsidRPr="0099647E">
              <w:rPr>
                <w:b/>
              </w:rPr>
              <w:t>800</w:t>
            </w:r>
          </w:p>
        </w:tc>
      </w:tr>
    </w:tbl>
    <w:p w:rsidR="008C2A85" w:rsidRDefault="008C2A85" w:rsidP="002265C7">
      <w:pPr>
        <w:keepNext/>
        <w:spacing w:before="0" w:after="0" w:line="240" w:lineRule="auto"/>
        <w:rPr>
          <w:rFonts w:asciiTheme="minorHAnsi" w:hAnsiTheme="minorHAnsi" w:cstheme="minorHAnsi"/>
          <w:sz w:val="14"/>
          <w:szCs w:val="20"/>
          <w:lang w:eastAsia="en-US"/>
        </w:rPr>
      </w:pPr>
    </w:p>
    <w:p w:rsidR="002265C7" w:rsidRPr="006876F2" w:rsidRDefault="002265C7" w:rsidP="002265C7">
      <w:pPr>
        <w:keepNext/>
        <w:spacing w:before="0" w:after="0" w:line="240" w:lineRule="auto"/>
        <w:rPr>
          <w:rStyle w:val="table-note"/>
          <w:rFonts w:ascii="Arial" w:hAnsi="Arial"/>
        </w:rPr>
      </w:pPr>
      <w:r w:rsidRPr="006876F2">
        <w:rPr>
          <w:rStyle w:val="table-note"/>
          <w:rFonts w:ascii="Arial" w:hAnsi="Arial"/>
          <w:sz w:val="14"/>
          <w:szCs w:val="20"/>
          <w:lang w:eastAsia="en-US"/>
        </w:rPr>
        <w:t>Notes:</w:t>
      </w:r>
      <w:r w:rsidRPr="006876F2">
        <w:rPr>
          <w:rStyle w:val="table-note"/>
          <w:rFonts w:ascii="Arial" w:hAnsi="Arial"/>
        </w:rPr>
        <w:t xml:space="preserve"> </w:t>
      </w:r>
      <w:r w:rsidRPr="006876F2">
        <w:rPr>
          <w:rStyle w:val="table-note"/>
          <w:rFonts w:ascii="Arial" w:hAnsi="Arial"/>
        </w:rPr>
        <w:tab/>
      </w:r>
    </w:p>
    <w:p w:rsidR="002265C7" w:rsidRPr="006876F2" w:rsidRDefault="002265C7" w:rsidP="00540186">
      <w:pPr>
        <w:pStyle w:val="TableFigNotesnumbered"/>
        <w:numPr>
          <w:ilvl w:val="0"/>
          <w:numId w:val="79"/>
        </w:numPr>
        <w:rPr>
          <w:rStyle w:val="table-note"/>
        </w:rPr>
      </w:pPr>
      <w:r w:rsidRPr="006876F2">
        <w:rPr>
          <w:rStyle w:val="table-note"/>
        </w:rPr>
        <w:t>Caution is required when interpreting Western Australian data. A review of services resulted in the reclassification of beds between the acute and non-acute categories for the 2010–11 collection, to more accurately reflect the function of these services. In addition, data prior to 2010–11 include a small number of emergency department observation beds in one hospital.</w:t>
      </w:r>
    </w:p>
    <w:p w:rsidR="002265C7" w:rsidRPr="0096114C" w:rsidRDefault="0096114C" w:rsidP="002265C7">
      <w:pPr>
        <w:pStyle w:val="TableCaption"/>
        <w:rPr>
          <w:rStyle w:val="table-note"/>
        </w:rPr>
      </w:pPr>
      <w:r w:rsidRPr="0096114C">
        <w:rPr>
          <w:rStyle w:val="table-note"/>
        </w:rPr>
        <w:t xml:space="preserve">Table 37: </w:t>
      </w:r>
      <w:r w:rsidR="002265C7" w:rsidRPr="0096114C">
        <w:rPr>
          <w:rStyle w:val="table-note"/>
        </w:rPr>
        <w:t>WA: Number of specialised mental health beds, by service type, 2011–12</w:t>
      </w:r>
    </w:p>
    <w:tbl>
      <w:tblPr>
        <w:tblStyle w:val="TableGrid"/>
        <w:tblW w:w="0" w:type="auto"/>
        <w:tblLook w:val="04A0" w:firstRow="1" w:lastRow="0" w:firstColumn="1" w:lastColumn="0" w:noHBand="0" w:noVBand="1"/>
        <w:tblCaption w:val="Table 37: WA: Number of specialised mental health beds, by service type, 2011–12"/>
        <w:tblDescription w:val="Table showing that, in 2011-12, major cities in WA had the highest number of all types of specialised mental health beds at 907. The number of beds decreased as the region type became more remote. Remote and very remote areas were not applicable. The highest number of beds was in the specialised psychiatric units or wards in public acute hospitals."/>
      </w:tblPr>
      <w:tblGrid>
        <w:gridCol w:w="2402"/>
        <w:gridCol w:w="1058"/>
        <w:gridCol w:w="1397"/>
        <w:gridCol w:w="1266"/>
        <w:gridCol w:w="1056"/>
        <w:gridCol w:w="1104"/>
        <w:gridCol w:w="1003"/>
      </w:tblGrid>
      <w:tr w:rsidR="002265C7" w:rsidRPr="00856F57" w:rsidTr="000C3DEA">
        <w:trPr>
          <w:tblHeader/>
        </w:trPr>
        <w:tc>
          <w:tcPr>
            <w:tcW w:w="2504" w:type="dxa"/>
          </w:tcPr>
          <w:p w:rsidR="002265C7" w:rsidRPr="00856F57" w:rsidRDefault="002265C7" w:rsidP="002265C7">
            <w:pPr>
              <w:pStyle w:val="TableFigText"/>
              <w:keepNext/>
              <w:rPr>
                <w:rFonts w:asciiTheme="minorHAnsi" w:hAnsiTheme="minorHAnsi" w:cstheme="minorHAnsi"/>
                <w:szCs w:val="22"/>
              </w:rPr>
            </w:pPr>
          </w:p>
        </w:tc>
        <w:tc>
          <w:tcPr>
            <w:tcW w:w="1089" w:type="dxa"/>
          </w:tcPr>
          <w:p w:rsidR="002265C7" w:rsidRPr="00856F57" w:rsidRDefault="002265C7" w:rsidP="002265C7">
            <w:pPr>
              <w:pStyle w:val="TableFigText"/>
              <w:keepNext/>
              <w:jc w:val="right"/>
              <w:rPr>
                <w:rFonts w:asciiTheme="minorHAnsi" w:hAnsiTheme="minorHAnsi" w:cstheme="minorHAnsi"/>
                <w:b/>
                <w:szCs w:val="22"/>
              </w:rPr>
            </w:pPr>
            <w:r w:rsidRPr="00856F57">
              <w:rPr>
                <w:rFonts w:asciiTheme="minorHAnsi" w:hAnsiTheme="minorHAnsi" w:cstheme="minorHAnsi"/>
                <w:b/>
                <w:szCs w:val="22"/>
              </w:rPr>
              <w:t>Major cities</w:t>
            </w:r>
          </w:p>
        </w:tc>
        <w:tc>
          <w:tcPr>
            <w:tcW w:w="1442" w:type="dxa"/>
          </w:tcPr>
          <w:p w:rsidR="002265C7" w:rsidRPr="00856F57" w:rsidRDefault="002265C7" w:rsidP="002265C7">
            <w:pPr>
              <w:pStyle w:val="TableFigText"/>
              <w:keepNext/>
              <w:jc w:val="right"/>
              <w:rPr>
                <w:rFonts w:asciiTheme="minorHAnsi" w:hAnsiTheme="minorHAnsi" w:cstheme="minorHAnsi"/>
                <w:b/>
                <w:szCs w:val="22"/>
              </w:rPr>
            </w:pPr>
            <w:r w:rsidRPr="00856F57">
              <w:rPr>
                <w:rFonts w:asciiTheme="minorHAnsi" w:hAnsiTheme="minorHAnsi" w:cstheme="minorHAnsi"/>
                <w:b/>
                <w:szCs w:val="22"/>
              </w:rPr>
              <w:t>Inner regional</w:t>
            </w:r>
          </w:p>
        </w:tc>
        <w:tc>
          <w:tcPr>
            <w:tcW w:w="1301" w:type="dxa"/>
          </w:tcPr>
          <w:p w:rsidR="002265C7" w:rsidRPr="00856F57" w:rsidRDefault="002265C7" w:rsidP="002265C7">
            <w:pPr>
              <w:pStyle w:val="TableFigText"/>
              <w:keepNext/>
              <w:jc w:val="right"/>
              <w:rPr>
                <w:rFonts w:asciiTheme="minorHAnsi" w:hAnsiTheme="minorHAnsi" w:cstheme="minorHAnsi"/>
                <w:b/>
                <w:szCs w:val="22"/>
              </w:rPr>
            </w:pPr>
            <w:r w:rsidRPr="00856F57">
              <w:rPr>
                <w:rFonts w:asciiTheme="minorHAnsi" w:hAnsiTheme="minorHAnsi" w:cstheme="minorHAnsi"/>
                <w:b/>
                <w:szCs w:val="22"/>
              </w:rPr>
              <w:t>Outer regional</w:t>
            </w:r>
          </w:p>
        </w:tc>
        <w:tc>
          <w:tcPr>
            <w:tcW w:w="1078" w:type="dxa"/>
          </w:tcPr>
          <w:p w:rsidR="002265C7" w:rsidRPr="00856F57" w:rsidRDefault="002265C7" w:rsidP="002265C7">
            <w:pPr>
              <w:pStyle w:val="TableFigText"/>
              <w:keepNext/>
              <w:jc w:val="right"/>
              <w:rPr>
                <w:rFonts w:asciiTheme="minorHAnsi" w:hAnsiTheme="minorHAnsi" w:cstheme="minorHAnsi"/>
                <w:b/>
                <w:szCs w:val="22"/>
              </w:rPr>
            </w:pPr>
            <w:r w:rsidRPr="00856F57">
              <w:rPr>
                <w:rFonts w:asciiTheme="minorHAnsi" w:hAnsiTheme="minorHAnsi" w:cstheme="minorHAnsi"/>
                <w:b/>
                <w:szCs w:val="22"/>
              </w:rPr>
              <w:t>Remote</w:t>
            </w:r>
          </w:p>
        </w:tc>
        <w:tc>
          <w:tcPr>
            <w:tcW w:w="1132" w:type="dxa"/>
          </w:tcPr>
          <w:p w:rsidR="002265C7" w:rsidRPr="00856F57" w:rsidRDefault="002265C7" w:rsidP="002265C7">
            <w:pPr>
              <w:pStyle w:val="TableFigText"/>
              <w:keepNext/>
              <w:jc w:val="right"/>
              <w:rPr>
                <w:rFonts w:asciiTheme="minorHAnsi" w:hAnsiTheme="minorHAnsi" w:cstheme="minorHAnsi"/>
                <w:b/>
                <w:szCs w:val="22"/>
              </w:rPr>
            </w:pPr>
            <w:r w:rsidRPr="00856F57">
              <w:rPr>
                <w:rFonts w:asciiTheme="minorHAnsi" w:hAnsiTheme="minorHAnsi" w:cstheme="minorHAnsi"/>
                <w:b/>
                <w:szCs w:val="22"/>
              </w:rPr>
              <w:t>Very remote</w:t>
            </w:r>
          </w:p>
        </w:tc>
        <w:tc>
          <w:tcPr>
            <w:tcW w:w="1030" w:type="dxa"/>
          </w:tcPr>
          <w:p w:rsidR="002265C7" w:rsidRPr="00856F57" w:rsidRDefault="002265C7" w:rsidP="002265C7">
            <w:pPr>
              <w:pStyle w:val="TableFigText"/>
              <w:keepNext/>
              <w:jc w:val="right"/>
              <w:rPr>
                <w:rFonts w:asciiTheme="minorHAnsi" w:hAnsiTheme="minorHAnsi" w:cstheme="minorHAnsi"/>
                <w:b/>
                <w:szCs w:val="22"/>
              </w:rPr>
            </w:pPr>
            <w:r w:rsidRPr="00856F57">
              <w:rPr>
                <w:rFonts w:asciiTheme="minorHAnsi" w:hAnsiTheme="minorHAnsi" w:cstheme="minorHAnsi"/>
                <w:b/>
                <w:szCs w:val="22"/>
              </w:rPr>
              <w:t>Total</w:t>
            </w:r>
          </w:p>
        </w:tc>
      </w:tr>
      <w:tr w:rsidR="002265C7" w:rsidRPr="00856F57" w:rsidTr="002265C7">
        <w:tc>
          <w:tcPr>
            <w:tcW w:w="2504" w:type="dxa"/>
          </w:tcPr>
          <w:p w:rsidR="002265C7" w:rsidRPr="00856F57" w:rsidRDefault="002265C7" w:rsidP="002265C7">
            <w:pPr>
              <w:pStyle w:val="TableFigText"/>
              <w:keepLines w:val="0"/>
              <w:rPr>
                <w:rFonts w:asciiTheme="minorHAnsi" w:hAnsiTheme="minorHAnsi" w:cstheme="minorHAnsi"/>
                <w:szCs w:val="22"/>
              </w:rPr>
            </w:pPr>
            <w:r w:rsidRPr="00856F57">
              <w:rPr>
                <w:rFonts w:asciiTheme="minorHAnsi" w:hAnsiTheme="minorHAnsi" w:cstheme="minorHAnsi"/>
                <w:szCs w:val="22"/>
              </w:rPr>
              <w:t>Specialised psychiatric units or wards in public acute hospitals</w:t>
            </w:r>
          </w:p>
        </w:tc>
        <w:tc>
          <w:tcPr>
            <w:tcW w:w="1089" w:type="dxa"/>
            <w:vAlign w:val="center"/>
          </w:tcPr>
          <w:p w:rsidR="002265C7" w:rsidRPr="00856F57" w:rsidRDefault="002265C7" w:rsidP="0099647E">
            <w:pPr>
              <w:pStyle w:val="TableFigText"/>
              <w:jc w:val="right"/>
            </w:pPr>
            <w:r w:rsidRPr="00856F57">
              <w:t>415</w:t>
            </w:r>
          </w:p>
        </w:tc>
        <w:tc>
          <w:tcPr>
            <w:tcW w:w="1442" w:type="dxa"/>
            <w:vAlign w:val="center"/>
          </w:tcPr>
          <w:p w:rsidR="002265C7" w:rsidRPr="00856F57" w:rsidRDefault="002265C7" w:rsidP="0099647E">
            <w:pPr>
              <w:pStyle w:val="TableFigText"/>
              <w:jc w:val="right"/>
            </w:pPr>
            <w:r w:rsidRPr="00856F57">
              <w:t>31</w:t>
            </w:r>
          </w:p>
        </w:tc>
        <w:tc>
          <w:tcPr>
            <w:tcW w:w="1301" w:type="dxa"/>
            <w:shd w:val="clear" w:color="auto" w:fill="auto"/>
            <w:vAlign w:val="center"/>
          </w:tcPr>
          <w:p w:rsidR="002265C7" w:rsidRPr="00856F57" w:rsidRDefault="002265C7" w:rsidP="0099647E">
            <w:pPr>
              <w:pStyle w:val="TableFigText"/>
              <w:jc w:val="right"/>
            </w:pPr>
            <w:r w:rsidRPr="00856F57">
              <w:t>1</w:t>
            </w:r>
            <w:r>
              <w:t>7</w:t>
            </w:r>
            <w:r>
              <w:rPr>
                <w:vertAlign w:val="superscript"/>
              </w:rPr>
              <w:t>(a)</w:t>
            </w:r>
          </w:p>
        </w:tc>
        <w:tc>
          <w:tcPr>
            <w:tcW w:w="1078" w:type="dxa"/>
            <w:shd w:val="clear" w:color="auto" w:fill="auto"/>
            <w:vAlign w:val="center"/>
          </w:tcPr>
          <w:p w:rsidR="002265C7" w:rsidRPr="005326A2" w:rsidRDefault="002265C7" w:rsidP="0099647E">
            <w:pPr>
              <w:pStyle w:val="TableFigText"/>
              <w:jc w:val="right"/>
              <w:rPr>
                <w:vertAlign w:val="superscript"/>
              </w:rPr>
            </w:pPr>
            <w:r>
              <w:t>n/a</w:t>
            </w:r>
          </w:p>
        </w:tc>
        <w:tc>
          <w:tcPr>
            <w:tcW w:w="1132" w:type="dxa"/>
            <w:shd w:val="clear" w:color="auto" w:fill="auto"/>
            <w:vAlign w:val="center"/>
          </w:tcPr>
          <w:p w:rsidR="002265C7" w:rsidRPr="001726A2" w:rsidRDefault="002265C7" w:rsidP="0099647E">
            <w:pPr>
              <w:pStyle w:val="TableFigText"/>
              <w:jc w:val="right"/>
            </w:pPr>
            <w:r>
              <w:t>n/a</w:t>
            </w:r>
          </w:p>
        </w:tc>
        <w:tc>
          <w:tcPr>
            <w:tcW w:w="1030" w:type="dxa"/>
            <w:shd w:val="clear" w:color="auto" w:fill="auto"/>
            <w:vAlign w:val="center"/>
          </w:tcPr>
          <w:p w:rsidR="002265C7" w:rsidRPr="00856F57" w:rsidRDefault="002265C7" w:rsidP="0099647E">
            <w:pPr>
              <w:pStyle w:val="TableFigText"/>
              <w:jc w:val="right"/>
            </w:pPr>
            <w:r w:rsidRPr="00856F57">
              <w:t>463</w:t>
            </w:r>
          </w:p>
        </w:tc>
      </w:tr>
      <w:tr w:rsidR="002265C7" w:rsidRPr="00856F57" w:rsidTr="002265C7">
        <w:tc>
          <w:tcPr>
            <w:tcW w:w="2504" w:type="dxa"/>
          </w:tcPr>
          <w:p w:rsidR="002265C7" w:rsidRPr="00856F57" w:rsidRDefault="002265C7" w:rsidP="002265C7">
            <w:pPr>
              <w:pStyle w:val="TableFigText"/>
              <w:keepLines w:val="0"/>
              <w:rPr>
                <w:rFonts w:asciiTheme="minorHAnsi" w:hAnsiTheme="minorHAnsi" w:cstheme="minorHAnsi"/>
                <w:szCs w:val="22"/>
              </w:rPr>
            </w:pPr>
            <w:r w:rsidRPr="00856F57">
              <w:rPr>
                <w:rFonts w:asciiTheme="minorHAnsi" w:hAnsiTheme="minorHAnsi" w:cstheme="minorHAnsi"/>
                <w:szCs w:val="22"/>
              </w:rPr>
              <w:t>Public psychiatric hospital services</w:t>
            </w:r>
          </w:p>
        </w:tc>
        <w:tc>
          <w:tcPr>
            <w:tcW w:w="1089" w:type="dxa"/>
            <w:vAlign w:val="center"/>
          </w:tcPr>
          <w:p w:rsidR="002265C7" w:rsidRPr="00856F57" w:rsidRDefault="002265C7" w:rsidP="0099647E">
            <w:pPr>
              <w:pStyle w:val="TableFigText"/>
              <w:jc w:val="right"/>
            </w:pPr>
            <w:r w:rsidRPr="00856F57">
              <w:t>246</w:t>
            </w:r>
          </w:p>
        </w:tc>
        <w:tc>
          <w:tcPr>
            <w:tcW w:w="1442" w:type="dxa"/>
            <w:vAlign w:val="center"/>
          </w:tcPr>
          <w:p w:rsidR="002265C7" w:rsidRPr="00856F57" w:rsidRDefault="002265C7" w:rsidP="0099647E">
            <w:pPr>
              <w:pStyle w:val="TableFigText"/>
              <w:jc w:val="right"/>
            </w:pPr>
            <w:r w:rsidRPr="00856F57">
              <w:t>0</w:t>
            </w:r>
          </w:p>
        </w:tc>
        <w:tc>
          <w:tcPr>
            <w:tcW w:w="1301" w:type="dxa"/>
            <w:vAlign w:val="center"/>
          </w:tcPr>
          <w:p w:rsidR="002265C7" w:rsidRPr="00856F57" w:rsidRDefault="002265C7" w:rsidP="0099647E">
            <w:pPr>
              <w:pStyle w:val="TableFigText"/>
              <w:jc w:val="right"/>
            </w:pPr>
            <w:r w:rsidRPr="00856F57">
              <w:t>0</w:t>
            </w:r>
          </w:p>
        </w:tc>
        <w:tc>
          <w:tcPr>
            <w:tcW w:w="1078" w:type="dxa"/>
            <w:vAlign w:val="center"/>
          </w:tcPr>
          <w:p w:rsidR="002265C7" w:rsidRPr="00856F57" w:rsidRDefault="002265C7" w:rsidP="0099647E">
            <w:pPr>
              <w:pStyle w:val="TableFigText"/>
              <w:jc w:val="right"/>
            </w:pPr>
            <w:r w:rsidRPr="00856F57">
              <w:t>0</w:t>
            </w:r>
          </w:p>
        </w:tc>
        <w:tc>
          <w:tcPr>
            <w:tcW w:w="1132" w:type="dxa"/>
            <w:vAlign w:val="center"/>
          </w:tcPr>
          <w:p w:rsidR="002265C7" w:rsidRPr="00856F57" w:rsidRDefault="002265C7" w:rsidP="0099647E">
            <w:pPr>
              <w:pStyle w:val="TableFigText"/>
              <w:jc w:val="right"/>
            </w:pPr>
            <w:r w:rsidRPr="00856F57">
              <w:t>0</w:t>
            </w:r>
          </w:p>
        </w:tc>
        <w:tc>
          <w:tcPr>
            <w:tcW w:w="1030" w:type="dxa"/>
            <w:vAlign w:val="center"/>
          </w:tcPr>
          <w:p w:rsidR="002265C7" w:rsidRPr="00856F57" w:rsidRDefault="002265C7" w:rsidP="0099647E">
            <w:pPr>
              <w:pStyle w:val="TableFigText"/>
              <w:jc w:val="right"/>
            </w:pPr>
            <w:r w:rsidRPr="00856F57">
              <w:t>246</w:t>
            </w:r>
          </w:p>
        </w:tc>
      </w:tr>
      <w:tr w:rsidR="002265C7" w:rsidRPr="00856F57" w:rsidTr="002265C7">
        <w:tc>
          <w:tcPr>
            <w:tcW w:w="2504" w:type="dxa"/>
          </w:tcPr>
          <w:p w:rsidR="002265C7" w:rsidRPr="00856F57" w:rsidRDefault="002265C7" w:rsidP="002265C7">
            <w:pPr>
              <w:pStyle w:val="TableFigText"/>
              <w:keepLines w:val="0"/>
              <w:rPr>
                <w:rFonts w:asciiTheme="minorHAnsi" w:hAnsiTheme="minorHAnsi" w:cstheme="minorHAnsi"/>
                <w:szCs w:val="22"/>
              </w:rPr>
            </w:pPr>
            <w:r w:rsidRPr="00856F57">
              <w:rPr>
                <w:rFonts w:asciiTheme="minorHAnsi" w:hAnsiTheme="minorHAnsi" w:cstheme="minorHAnsi"/>
                <w:szCs w:val="22"/>
              </w:rPr>
              <w:t>Residential mental health care services</w:t>
            </w:r>
          </w:p>
        </w:tc>
        <w:tc>
          <w:tcPr>
            <w:tcW w:w="1089" w:type="dxa"/>
            <w:vAlign w:val="center"/>
          </w:tcPr>
          <w:p w:rsidR="002265C7" w:rsidRPr="00856F57" w:rsidRDefault="002265C7" w:rsidP="0099647E">
            <w:pPr>
              <w:pStyle w:val="TableFigText"/>
              <w:jc w:val="right"/>
            </w:pPr>
            <w:r w:rsidRPr="00856F57">
              <w:t>246</w:t>
            </w:r>
          </w:p>
        </w:tc>
        <w:tc>
          <w:tcPr>
            <w:tcW w:w="1442" w:type="dxa"/>
            <w:vAlign w:val="center"/>
          </w:tcPr>
          <w:p w:rsidR="002265C7" w:rsidRPr="00856F57" w:rsidRDefault="002265C7" w:rsidP="0099647E">
            <w:pPr>
              <w:pStyle w:val="TableFigText"/>
              <w:jc w:val="right"/>
            </w:pPr>
            <w:r w:rsidRPr="00856F57">
              <w:t>28</w:t>
            </w:r>
          </w:p>
        </w:tc>
        <w:tc>
          <w:tcPr>
            <w:tcW w:w="1301" w:type="dxa"/>
            <w:vAlign w:val="center"/>
          </w:tcPr>
          <w:p w:rsidR="002265C7" w:rsidRPr="00856F57" w:rsidRDefault="002265C7" w:rsidP="0099647E">
            <w:pPr>
              <w:pStyle w:val="TableFigText"/>
              <w:jc w:val="right"/>
            </w:pPr>
            <w:r w:rsidRPr="00856F57">
              <w:t>29</w:t>
            </w:r>
          </w:p>
        </w:tc>
        <w:tc>
          <w:tcPr>
            <w:tcW w:w="1078" w:type="dxa"/>
            <w:vAlign w:val="center"/>
          </w:tcPr>
          <w:p w:rsidR="002265C7" w:rsidRPr="00856F57" w:rsidRDefault="002265C7" w:rsidP="0099647E">
            <w:pPr>
              <w:pStyle w:val="TableFigText"/>
              <w:jc w:val="right"/>
            </w:pPr>
            <w:r w:rsidRPr="00856F57">
              <w:t>0</w:t>
            </w:r>
          </w:p>
        </w:tc>
        <w:tc>
          <w:tcPr>
            <w:tcW w:w="1132" w:type="dxa"/>
            <w:vAlign w:val="center"/>
          </w:tcPr>
          <w:p w:rsidR="002265C7" w:rsidRPr="00856F57" w:rsidRDefault="002265C7" w:rsidP="0099647E">
            <w:pPr>
              <w:pStyle w:val="TableFigText"/>
              <w:jc w:val="right"/>
            </w:pPr>
            <w:r w:rsidRPr="00856F57">
              <w:t>0</w:t>
            </w:r>
          </w:p>
        </w:tc>
        <w:tc>
          <w:tcPr>
            <w:tcW w:w="1030" w:type="dxa"/>
            <w:vAlign w:val="center"/>
          </w:tcPr>
          <w:p w:rsidR="002265C7" w:rsidRPr="00856F57" w:rsidRDefault="002265C7" w:rsidP="0099647E">
            <w:pPr>
              <w:pStyle w:val="TableFigText"/>
              <w:jc w:val="right"/>
            </w:pPr>
            <w:r w:rsidRPr="00856F57">
              <w:t>303</w:t>
            </w:r>
          </w:p>
        </w:tc>
      </w:tr>
      <w:tr w:rsidR="002265C7" w:rsidRPr="00856F57" w:rsidTr="002265C7">
        <w:tc>
          <w:tcPr>
            <w:tcW w:w="2504" w:type="dxa"/>
          </w:tcPr>
          <w:p w:rsidR="002265C7" w:rsidRPr="0099647E" w:rsidRDefault="002265C7" w:rsidP="002265C7">
            <w:pPr>
              <w:pStyle w:val="TableFigText"/>
              <w:keepLines w:val="0"/>
              <w:rPr>
                <w:rFonts w:asciiTheme="minorHAnsi" w:hAnsiTheme="minorHAnsi" w:cstheme="minorHAnsi"/>
                <w:b/>
                <w:szCs w:val="22"/>
              </w:rPr>
            </w:pPr>
            <w:r w:rsidRPr="0099647E">
              <w:rPr>
                <w:rFonts w:asciiTheme="minorHAnsi" w:hAnsiTheme="minorHAnsi" w:cstheme="minorHAnsi"/>
                <w:b/>
                <w:szCs w:val="22"/>
              </w:rPr>
              <w:t>Total</w:t>
            </w:r>
          </w:p>
        </w:tc>
        <w:tc>
          <w:tcPr>
            <w:tcW w:w="1089" w:type="dxa"/>
            <w:vAlign w:val="center"/>
          </w:tcPr>
          <w:p w:rsidR="002265C7" w:rsidRPr="0099647E" w:rsidRDefault="002265C7" w:rsidP="0099647E">
            <w:pPr>
              <w:pStyle w:val="TableFigText"/>
              <w:jc w:val="right"/>
              <w:rPr>
                <w:b/>
              </w:rPr>
            </w:pPr>
            <w:r w:rsidRPr="0099647E">
              <w:rPr>
                <w:b/>
              </w:rPr>
              <w:t>907</w:t>
            </w:r>
          </w:p>
        </w:tc>
        <w:tc>
          <w:tcPr>
            <w:tcW w:w="1442" w:type="dxa"/>
            <w:vAlign w:val="center"/>
          </w:tcPr>
          <w:p w:rsidR="002265C7" w:rsidRPr="0099647E" w:rsidRDefault="002265C7" w:rsidP="0099647E">
            <w:pPr>
              <w:pStyle w:val="TableFigText"/>
              <w:jc w:val="right"/>
              <w:rPr>
                <w:b/>
              </w:rPr>
            </w:pPr>
            <w:r w:rsidRPr="0099647E">
              <w:rPr>
                <w:b/>
              </w:rPr>
              <w:t>59</w:t>
            </w:r>
          </w:p>
        </w:tc>
        <w:tc>
          <w:tcPr>
            <w:tcW w:w="1301" w:type="dxa"/>
            <w:vAlign w:val="center"/>
          </w:tcPr>
          <w:p w:rsidR="002265C7" w:rsidRPr="0099647E" w:rsidRDefault="000F45B9" w:rsidP="0099647E">
            <w:pPr>
              <w:pStyle w:val="TableFigText"/>
              <w:jc w:val="right"/>
              <w:rPr>
                <w:b/>
                <w:vertAlign w:val="superscript"/>
              </w:rPr>
            </w:pPr>
            <w:r w:rsidRPr="0099647E">
              <w:rPr>
                <w:b/>
              </w:rPr>
              <w:t>46</w:t>
            </w:r>
            <w:r w:rsidRPr="0099647E">
              <w:rPr>
                <w:b/>
                <w:vertAlign w:val="superscript"/>
              </w:rPr>
              <w:t>(a)</w:t>
            </w:r>
          </w:p>
        </w:tc>
        <w:tc>
          <w:tcPr>
            <w:tcW w:w="1078" w:type="dxa"/>
            <w:vAlign w:val="center"/>
          </w:tcPr>
          <w:p w:rsidR="002265C7" w:rsidRPr="0099647E" w:rsidRDefault="000F45B9" w:rsidP="0099647E">
            <w:pPr>
              <w:pStyle w:val="TableFigText"/>
              <w:jc w:val="right"/>
              <w:rPr>
                <w:b/>
              </w:rPr>
            </w:pPr>
            <w:r w:rsidRPr="0099647E">
              <w:rPr>
                <w:b/>
              </w:rPr>
              <w:t>n/a</w:t>
            </w:r>
          </w:p>
        </w:tc>
        <w:tc>
          <w:tcPr>
            <w:tcW w:w="1132" w:type="dxa"/>
            <w:vAlign w:val="center"/>
          </w:tcPr>
          <w:p w:rsidR="002265C7" w:rsidRPr="0099647E" w:rsidRDefault="00066E88" w:rsidP="0099647E">
            <w:pPr>
              <w:pStyle w:val="TableFigText"/>
              <w:jc w:val="right"/>
              <w:rPr>
                <w:b/>
              </w:rPr>
            </w:pPr>
            <w:r w:rsidRPr="0099647E">
              <w:rPr>
                <w:b/>
              </w:rPr>
              <w:t>n/a</w:t>
            </w:r>
          </w:p>
        </w:tc>
        <w:tc>
          <w:tcPr>
            <w:tcW w:w="1030" w:type="dxa"/>
            <w:vAlign w:val="center"/>
          </w:tcPr>
          <w:p w:rsidR="002265C7" w:rsidRPr="0099647E" w:rsidRDefault="002265C7" w:rsidP="0099647E">
            <w:pPr>
              <w:pStyle w:val="TableFigText"/>
              <w:jc w:val="right"/>
              <w:rPr>
                <w:b/>
              </w:rPr>
            </w:pPr>
            <w:r w:rsidRPr="0099647E">
              <w:rPr>
                <w:b/>
              </w:rPr>
              <w:t>1,012</w:t>
            </w:r>
          </w:p>
        </w:tc>
      </w:tr>
    </w:tbl>
    <w:p w:rsidR="002265C7" w:rsidRPr="00512E44" w:rsidRDefault="002265C7" w:rsidP="006B2ED0">
      <w:pPr>
        <w:pStyle w:val="TableFigNotesnumbered"/>
        <w:ind w:left="294" w:hanging="294"/>
        <w:rPr>
          <w:rStyle w:val="table-note"/>
        </w:rPr>
      </w:pPr>
      <w:r w:rsidRPr="00512E44">
        <w:rPr>
          <w:rStyle w:val="table-note"/>
        </w:rPr>
        <w:t xml:space="preserve">Notes: </w:t>
      </w:r>
      <w:r w:rsidRPr="00512E44">
        <w:rPr>
          <w:rStyle w:val="table-note"/>
        </w:rPr>
        <w:tab/>
      </w:r>
    </w:p>
    <w:p w:rsidR="002265C7" w:rsidRPr="00512E44" w:rsidRDefault="002265C7" w:rsidP="006B2ED0">
      <w:pPr>
        <w:pStyle w:val="TableFigNotesnumbered"/>
        <w:ind w:left="294" w:hanging="294"/>
        <w:rPr>
          <w:rStyle w:val="table-note"/>
        </w:rPr>
      </w:pPr>
      <w:proofErr w:type="gramStart"/>
      <w:r w:rsidRPr="00512E44">
        <w:rPr>
          <w:rStyle w:val="table-note"/>
        </w:rPr>
        <w:t>n/a</w:t>
      </w:r>
      <w:proofErr w:type="gramEnd"/>
      <w:r w:rsidRPr="00512E44">
        <w:rPr>
          <w:rStyle w:val="table-note"/>
        </w:rPr>
        <w:tab/>
        <w:t>Not applicable</w:t>
      </w:r>
    </w:p>
    <w:p w:rsidR="002265C7" w:rsidRPr="00512E44" w:rsidRDefault="002265C7" w:rsidP="00540186">
      <w:pPr>
        <w:pStyle w:val="TableFigNotesnumbered"/>
        <w:numPr>
          <w:ilvl w:val="0"/>
          <w:numId w:val="80"/>
        </w:numPr>
        <w:rPr>
          <w:rStyle w:val="table-note"/>
        </w:rPr>
      </w:pPr>
      <w:r w:rsidRPr="00512E44">
        <w:rPr>
          <w:rStyle w:val="table-note"/>
        </w:rPr>
        <w:t>Includes beds in remote and very remote areas</w:t>
      </w:r>
    </w:p>
    <w:p w:rsidR="002265C7" w:rsidRDefault="002265C7" w:rsidP="002265C7">
      <w:pPr>
        <w:pStyle w:val="ListParagraph"/>
        <w:spacing w:after="0" w:line="240" w:lineRule="auto"/>
        <w:ind w:left="360"/>
        <w:rPr>
          <w:rFonts w:cstheme="minorHAnsi"/>
        </w:rPr>
      </w:pPr>
    </w:p>
    <w:p w:rsidR="002265C7" w:rsidRPr="00512E44" w:rsidRDefault="002265C7" w:rsidP="006876F2">
      <w:pPr>
        <w:pStyle w:val="ListParagraph"/>
        <w:numPr>
          <w:ilvl w:val="0"/>
          <w:numId w:val="23"/>
        </w:numPr>
        <w:spacing w:after="0" w:line="240" w:lineRule="auto"/>
        <w:rPr>
          <w:rStyle w:val="table-note"/>
          <w:rFonts w:ascii="Arial" w:eastAsia="Times New Roman" w:hAnsi="Arial" w:cs="Times New Roman"/>
          <w:sz w:val="14"/>
          <w:szCs w:val="20"/>
          <w:lang w:eastAsia="en-US"/>
        </w:rPr>
      </w:pPr>
      <w:r w:rsidRPr="00512E44">
        <w:rPr>
          <w:rStyle w:val="table-note"/>
          <w:rFonts w:ascii="Arial" w:eastAsia="Times New Roman" w:hAnsi="Arial" w:cs="Times New Roman"/>
          <w:sz w:val="14"/>
          <w:szCs w:val="20"/>
          <w:lang w:eastAsia="en-US"/>
        </w:rPr>
        <w:t>Caution is required when interpreting Western Australian data. A review of services resulted in the reclassification of beds between the acute and non-acute categories for the 2010–11 collection, to more accurately reflect the function of these services. In addition, data prior to 2010–11 include a small number of emergency department observation beds in one hospital.</w:t>
      </w:r>
    </w:p>
    <w:p w:rsidR="002265C7" w:rsidRPr="00E80F6E" w:rsidRDefault="002265C7" w:rsidP="002265C7">
      <w:pPr>
        <w:spacing w:before="0" w:after="0" w:line="240" w:lineRule="auto"/>
        <w:rPr>
          <w:rFonts w:asciiTheme="minorHAnsi" w:hAnsiTheme="minorHAnsi" w:cstheme="minorHAnsi"/>
        </w:rPr>
      </w:pPr>
    </w:p>
    <w:p w:rsidR="002265C7" w:rsidRPr="0096114C" w:rsidRDefault="0096114C" w:rsidP="002265C7">
      <w:pPr>
        <w:pStyle w:val="TableCaption"/>
        <w:rPr>
          <w:rStyle w:val="table-note"/>
        </w:rPr>
      </w:pPr>
      <w:r w:rsidRPr="0096114C">
        <w:rPr>
          <w:rStyle w:val="table-note"/>
        </w:rPr>
        <w:lastRenderedPageBreak/>
        <w:t xml:space="preserve">Table 38: </w:t>
      </w:r>
      <w:r w:rsidR="002265C7" w:rsidRPr="0096114C">
        <w:rPr>
          <w:rStyle w:val="table-note"/>
        </w:rPr>
        <w:t xml:space="preserve">WA: Full-time-equivalent staff, state and territory specialised mental health care facilities, by staffing category, 2007–08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WA: Full-time-equivalent staff, state and territory specialised mental health care facilities, by staffing category, 2007–08 "/>
        <w:tblDescription w:val="Table showing, in 2007-08, the number of full-time-equivalent (FTE) staff in specialised mental health care facilities across WA region types.  Major cities have the highest number of all types of FTE staff at 2,845.4 and very remote have the least at 5.9. Nurses were the highest FTE staff type overall, across all region types, at 1,493.8."/>
      </w:tblPr>
      <w:tblGrid>
        <w:gridCol w:w="2404"/>
        <w:gridCol w:w="1158"/>
        <w:gridCol w:w="1350"/>
        <w:gridCol w:w="1225"/>
        <w:gridCol w:w="1024"/>
        <w:gridCol w:w="1066"/>
        <w:gridCol w:w="1059"/>
      </w:tblGrid>
      <w:tr w:rsidR="002265C7" w:rsidRPr="00856F57" w:rsidTr="000C3DEA">
        <w:trPr>
          <w:tblHeader/>
        </w:trPr>
        <w:tc>
          <w:tcPr>
            <w:tcW w:w="2404" w:type="dxa"/>
          </w:tcPr>
          <w:p w:rsidR="002265C7" w:rsidRPr="00856F57" w:rsidRDefault="002265C7" w:rsidP="002265C7">
            <w:pPr>
              <w:pStyle w:val="TableFigText"/>
              <w:keepNext/>
              <w:rPr>
                <w:rFonts w:asciiTheme="minorHAnsi" w:hAnsiTheme="minorHAnsi" w:cstheme="minorHAnsi"/>
                <w:szCs w:val="22"/>
              </w:rPr>
            </w:pPr>
          </w:p>
        </w:tc>
        <w:tc>
          <w:tcPr>
            <w:tcW w:w="1158" w:type="dxa"/>
          </w:tcPr>
          <w:p w:rsidR="002265C7" w:rsidRPr="00856F57" w:rsidRDefault="002265C7" w:rsidP="002265C7">
            <w:pPr>
              <w:pStyle w:val="TableFigText"/>
              <w:keepNext/>
              <w:jc w:val="right"/>
              <w:rPr>
                <w:rFonts w:asciiTheme="minorHAnsi" w:hAnsiTheme="minorHAnsi" w:cstheme="minorHAnsi"/>
                <w:b/>
                <w:szCs w:val="22"/>
              </w:rPr>
            </w:pPr>
            <w:r w:rsidRPr="00856F57">
              <w:rPr>
                <w:rFonts w:asciiTheme="minorHAnsi" w:hAnsiTheme="minorHAnsi" w:cstheme="minorHAnsi"/>
                <w:b/>
                <w:szCs w:val="22"/>
              </w:rPr>
              <w:t>Major cities</w:t>
            </w:r>
          </w:p>
        </w:tc>
        <w:tc>
          <w:tcPr>
            <w:tcW w:w="1350" w:type="dxa"/>
          </w:tcPr>
          <w:p w:rsidR="002265C7" w:rsidRPr="00856F57" w:rsidRDefault="002265C7" w:rsidP="002265C7">
            <w:pPr>
              <w:pStyle w:val="TableFigText"/>
              <w:keepNext/>
              <w:jc w:val="right"/>
              <w:rPr>
                <w:rFonts w:asciiTheme="minorHAnsi" w:hAnsiTheme="minorHAnsi" w:cstheme="minorHAnsi"/>
                <w:b/>
                <w:szCs w:val="22"/>
              </w:rPr>
            </w:pPr>
            <w:r w:rsidRPr="00856F57">
              <w:rPr>
                <w:rFonts w:asciiTheme="minorHAnsi" w:hAnsiTheme="minorHAnsi" w:cstheme="minorHAnsi"/>
                <w:b/>
                <w:szCs w:val="22"/>
              </w:rPr>
              <w:t>Inner regional</w:t>
            </w:r>
          </w:p>
        </w:tc>
        <w:tc>
          <w:tcPr>
            <w:tcW w:w="1225" w:type="dxa"/>
          </w:tcPr>
          <w:p w:rsidR="002265C7" w:rsidRPr="00856F57" w:rsidRDefault="002265C7" w:rsidP="002265C7">
            <w:pPr>
              <w:pStyle w:val="TableFigText"/>
              <w:keepNext/>
              <w:jc w:val="right"/>
              <w:rPr>
                <w:rFonts w:asciiTheme="minorHAnsi" w:hAnsiTheme="minorHAnsi" w:cstheme="minorHAnsi"/>
                <w:b/>
                <w:szCs w:val="22"/>
              </w:rPr>
            </w:pPr>
            <w:r w:rsidRPr="00856F57">
              <w:rPr>
                <w:rFonts w:asciiTheme="minorHAnsi" w:hAnsiTheme="minorHAnsi" w:cstheme="minorHAnsi"/>
                <w:b/>
                <w:szCs w:val="22"/>
              </w:rPr>
              <w:t>Outer regional</w:t>
            </w:r>
          </w:p>
        </w:tc>
        <w:tc>
          <w:tcPr>
            <w:tcW w:w="1024" w:type="dxa"/>
          </w:tcPr>
          <w:p w:rsidR="002265C7" w:rsidRPr="00856F57" w:rsidRDefault="002265C7" w:rsidP="002265C7">
            <w:pPr>
              <w:pStyle w:val="TableFigText"/>
              <w:keepNext/>
              <w:jc w:val="right"/>
              <w:rPr>
                <w:rFonts w:asciiTheme="minorHAnsi" w:hAnsiTheme="minorHAnsi" w:cstheme="minorHAnsi"/>
                <w:b/>
                <w:szCs w:val="22"/>
              </w:rPr>
            </w:pPr>
            <w:r w:rsidRPr="00856F57">
              <w:rPr>
                <w:rFonts w:asciiTheme="minorHAnsi" w:hAnsiTheme="minorHAnsi" w:cstheme="minorHAnsi"/>
                <w:b/>
                <w:szCs w:val="22"/>
              </w:rPr>
              <w:t>Remote</w:t>
            </w:r>
          </w:p>
        </w:tc>
        <w:tc>
          <w:tcPr>
            <w:tcW w:w="1066" w:type="dxa"/>
          </w:tcPr>
          <w:p w:rsidR="002265C7" w:rsidRPr="00856F57" w:rsidRDefault="002265C7" w:rsidP="002265C7">
            <w:pPr>
              <w:pStyle w:val="TableFigText"/>
              <w:keepNext/>
              <w:jc w:val="right"/>
              <w:rPr>
                <w:rFonts w:asciiTheme="minorHAnsi" w:hAnsiTheme="minorHAnsi" w:cstheme="minorHAnsi"/>
                <w:b/>
                <w:szCs w:val="22"/>
              </w:rPr>
            </w:pPr>
            <w:r w:rsidRPr="00856F57">
              <w:rPr>
                <w:rFonts w:asciiTheme="minorHAnsi" w:hAnsiTheme="minorHAnsi" w:cstheme="minorHAnsi"/>
                <w:b/>
                <w:szCs w:val="22"/>
              </w:rPr>
              <w:t>Very remote</w:t>
            </w:r>
          </w:p>
        </w:tc>
        <w:tc>
          <w:tcPr>
            <w:tcW w:w="1059" w:type="dxa"/>
          </w:tcPr>
          <w:p w:rsidR="002265C7" w:rsidRPr="00856F57" w:rsidRDefault="002265C7" w:rsidP="002265C7">
            <w:pPr>
              <w:pStyle w:val="TableFigText"/>
              <w:keepNext/>
              <w:jc w:val="right"/>
              <w:rPr>
                <w:rFonts w:asciiTheme="minorHAnsi" w:hAnsiTheme="minorHAnsi" w:cstheme="minorHAnsi"/>
                <w:b/>
                <w:szCs w:val="22"/>
              </w:rPr>
            </w:pPr>
            <w:r w:rsidRPr="00856F57">
              <w:rPr>
                <w:rFonts w:asciiTheme="minorHAnsi" w:hAnsiTheme="minorHAnsi" w:cstheme="minorHAnsi"/>
                <w:b/>
                <w:szCs w:val="22"/>
              </w:rPr>
              <w:t>Total</w:t>
            </w:r>
            <w:r w:rsidRPr="00E86D05">
              <w:rPr>
                <w:rFonts w:asciiTheme="minorHAnsi" w:hAnsiTheme="minorHAnsi" w:cstheme="minorHAnsi"/>
                <w:b/>
                <w:szCs w:val="22"/>
                <w:vertAlign w:val="superscript"/>
              </w:rPr>
              <w:t>(a)</w:t>
            </w:r>
          </w:p>
        </w:tc>
      </w:tr>
      <w:tr w:rsidR="002265C7" w:rsidRPr="00856F57" w:rsidTr="002265C7">
        <w:tc>
          <w:tcPr>
            <w:tcW w:w="2404" w:type="dxa"/>
          </w:tcPr>
          <w:p w:rsidR="002265C7" w:rsidRPr="00856F57" w:rsidRDefault="002265C7" w:rsidP="002265C7">
            <w:pPr>
              <w:pStyle w:val="TableFigText"/>
              <w:keepNext/>
              <w:rPr>
                <w:rFonts w:asciiTheme="minorHAnsi" w:hAnsiTheme="minorHAnsi" w:cstheme="minorHAnsi"/>
                <w:szCs w:val="22"/>
              </w:rPr>
            </w:pPr>
            <w:r w:rsidRPr="00856F57">
              <w:rPr>
                <w:rFonts w:asciiTheme="minorHAnsi" w:hAnsiTheme="minorHAnsi" w:cstheme="minorHAnsi"/>
                <w:szCs w:val="22"/>
              </w:rPr>
              <w:t>Consultant psychiatrists and psychiatrists</w:t>
            </w:r>
          </w:p>
        </w:tc>
        <w:tc>
          <w:tcPr>
            <w:tcW w:w="1158" w:type="dxa"/>
            <w:vAlign w:val="bottom"/>
          </w:tcPr>
          <w:p w:rsidR="002265C7" w:rsidRPr="001726A2" w:rsidRDefault="002265C7" w:rsidP="00A37EDF">
            <w:pPr>
              <w:pStyle w:val="TableFigText"/>
              <w:jc w:val="right"/>
            </w:pPr>
            <w:r w:rsidRPr="001726A2">
              <w:t>90.2</w:t>
            </w:r>
          </w:p>
        </w:tc>
        <w:tc>
          <w:tcPr>
            <w:tcW w:w="1350" w:type="dxa"/>
            <w:vAlign w:val="bottom"/>
          </w:tcPr>
          <w:p w:rsidR="002265C7" w:rsidRPr="001726A2" w:rsidRDefault="002265C7" w:rsidP="00A37EDF">
            <w:pPr>
              <w:pStyle w:val="TableFigText"/>
              <w:jc w:val="right"/>
            </w:pPr>
            <w:r w:rsidRPr="001726A2">
              <w:t>5.7</w:t>
            </w:r>
          </w:p>
        </w:tc>
        <w:tc>
          <w:tcPr>
            <w:tcW w:w="1225" w:type="dxa"/>
            <w:vAlign w:val="bottom"/>
          </w:tcPr>
          <w:p w:rsidR="002265C7" w:rsidRPr="001726A2" w:rsidRDefault="002265C7" w:rsidP="00A37EDF">
            <w:pPr>
              <w:pStyle w:val="TableFigText"/>
              <w:jc w:val="right"/>
            </w:pPr>
            <w:r w:rsidRPr="001726A2">
              <w:t>3.9</w:t>
            </w:r>
          </w:p>
        </w:tc>
        <w:tc>
          <w:tcPr>
            <w:tcW w:w="1024" w:type="dxa"/>
            <w:vAlign w:val="bottom"/>
          </w:tcPr>
          <w:p w:rsidR="002265C7" w:rsidRPr="001726A2" w:rsidRDefault="002265C7" w:rsidP="00A37EDF">
            <w:pPr>
              <w:pStyle w:val="TableFigText"/>
              <w:jc w:val="right"/>
            </w:pPr>
            <w:r w:rsidRPr="001726A2">
              <w:t>2.5</w:t>
            </w:r>
          </w:p>
        </w:tc>
        <w:tc>
          <w:tcPr>
            <w:tcW w:w="1066" w:type="dxa"/>
            <w:vAlign w:val="bottom"/>
          </w:tcPr>
          <w:p w:rsidR="002265C7" w:rsidRPr="001726A2" w:rsidRDefault="002265C7" w:rsidP="00A37EDF">
            <w:pPr>
              <w:pStyle w:val="TableFigText"/>
              <w:jc w:val="right"/>
            </w:pPr>
            <w:r w:rsidRPr="001726A2">
              <w:t>0.3</w:t>
            </w:r>
          </w:p>
        </w:tc>
        <w:tc>
          <w:tcPr>
            <w:tcW w:w="1059" w:type="dxa"/>
            <w:vAlign w:val="bottom"/>
          </w:tcPr>
          <w:p w:rsidR="002265C7" w:rsidRPr="001726A2" w:rsidRDefault="002265C7" w:rsidP="00A37EDF">
            <w:pPr>
              <w:pStyle w:val="TableFigText"/>
              <w:jc w:val="right"/>
            </w:pPr>
            <w:r w:rsidRPr="001726A2">
              <w:t>102.6</w:t>
            </w:r>
          </w:p>
        </w:tc>
      </w:tr>
      <w:tr w:rsidR="002265C7" w:rsidRPr="00856F57" w:rsidTr="002265C7">
        <w:tc>
          <w:tcPr>
            <w:tcW w:w="2404" w:type="dxa"/>
          </w:tcPr>
          <w:p w:rsidR="002265C7" w:rsidRPr="00856F57" w:rsidRDefault="002265C7" w:rsidP="002265C7">
            <w:pPr>
              <w:pStyle w:val="TableFigText"/>
              <w:keepNext/>
              <w:rPr>
                <w:rFonts w:asciiTheme="minorHAnsi" w:hAnsiTheme="minorHAnsi" w:cstheme="minorHAnsi"/>
                <w:szCs w:val="22"/>
              </w:rPr>
            </w:pPr>
            <w:r w:rsidRPr="00856F57">
              <w:rPr>
                <w:rFonts w:asciiTheme="minorHAnsi" w:hAnsiTheme="minorHAnsi" w:cstheme="minorHAnsi"/>
                <w:szCs w:val="22"/>
              </w:rPr>
              <w:t>Psychiatry registrars and trainees</w:t>
            </w:r>
          </w:p>
        </w:tc>
        <w:tc>
          <w:tcPr>
            <w:tcW w:w="1158" w:type="dxa"/>
            <w:vAlign w:val="bottom"/>
          </w:tcPr>
          <w:p w:rsidR="002265C7" w:rsidRPr="001726A2" w:rsidRDefault="002265C7" w:rsidP="00A37EDF">
            <w:pPr>
              <w:pStyle w:val="TableFigText"/>
              <w:jc w:val="right"/>
            </w:pPr>
            <w:r w:rsidRPr="001726A2">
              <w:t>98.2</w:t>
            </w:r>
          </w:p>
        </w:tc>
        <w:tc>
          <w:tcPr>
            <w:tcW w:w="1350" w:type="dxa"/>
            <w:vAlign w:val="bottom"/>
          </w:tcPr>
          <w:p w:rsidR="002265C7" w:rsidRPr="001726A2" w:rsidRDefault="002265C7" w:rsidP="00A37EDF">
            <w:pPr>
              <w:pStyle w:val="TableFigText"/>
              <w:jc w:val="right"/>
            </w:pPr>
            <w:r w:rsidRPr="001726A2">
              <w:t>1.4</w:t>
            </w:r>
          </w:p>
        </w:tc>
        <w:tc>
          <w:tcPr>
            <w:tcW w:w="1225" w:type="dxa"/>
            <w:vAlign w:val="bottom"/>
          </w:tcPr>
          <w:p w:rsidR="002265C7" w:rsidRPr="001726A2" w:rsidRDefault="002265C7" w:rsidP="00A37EDF">
            <w:pPr>
              <w:pStyle w:val="TableFigText"/>
              <w:jc w:val="right"/>
            </w:pPr>
            <w:r w:rsidRPr="001726A2">
              <w:t>1.0</w:t>
            </w:r>
          </w:p>
        </w:tc>
        <w:tc>
          <w:tcPr>
            <w:tcW w:w="1024" w:type="dxa"/>
            <w:vAlign w:val="bottom"/>
          </w:tcPr>
          <w:p w:rsidR="002265C7" w:rsidRPr="001726A2" w:rsidRDefault="002265C7" w:rsidP="00A37EDF">
            <w:pPr>
              <w:pStyle w:val="TableFigText"/>
              <w:jc w:val="right"/>
            </w:pPr>
            <w:r w:rsidRPr="001726A2">
              <w:t>0.8</w:t>
            </w:r>
          </w:p>
        </w:tc>
        <w:tc>
          <w:tcPr>
            <w:tcW w:w="1066" w:type="dxa"/>
            <w:vAlign w:val="bottom"/>
          </w:tcPr>
          <w:p w:rsidR="002265C7" w:rsidRPr="001726A2" w:rsidRDefault="002265C7" w:rsidP="00A37EDF">
            <w:pPr>
              <w:pStyle w:val="TableFigText"/>
              <w:jc w:val="right"/>
            </w:pPr>
            <w:r w:rsidRPr="001726A2">
              <w:t>0.2</w:t>
            </w:r>
          </w:p>
        </w:tc>
        <w:tc>
          <w:tcPr>
            <w:tcW w:w="1059" w:type="dxa"/>
            <w:vAlign w:val="bottom"/>
          </w:tcPr>
          <w:p w:rsidR="002265C7" w:rsidRPr="001726A2" w:rsidRDefault="002265C7" w:rsidP="00A37EDF">
            <w:pPr>
              <w:pStyle w:val="TableFigText"/>
              <w:jc w:val="right"/>
            </w:pPr>
            <w:r w:rsidRPr="001726A2">
              <w:t>101.6</w:t>
            </w:r>
          </w:p>
        </w:tc>
      </w:tr>
      <w:tr w:rsidR="002265C7" w:rsidRPr="00856F57" w:rsidTr="002265C7">
        <w:tc>
          <w:tcPr>
            <w:tcW w:w="2404" w:type="dxa"/>
          </w:tcPr>
          <w:p w:rsidR="002265C7" w:rsidRPr="00856F57" w:rsidRDefault="002265C7" w:rsidP="002265C7">
            <w:pPr>
              <w:pStyle w:val="TableFigText"/>
              <w:keepNext/>
              <w:rPr>
                <w:rFonts w:asciiTheme="minorHAnsi" w:hAnsiTheme="minorHAnsi" w:cstheme="minorHAnsi"/>
                <w:szCs w:val="22"/>
              </w:rPr>
            </w:pPr>
            <w:r w:rsidRPr="00856F57">
              <w:rPr>
                <w:rFonts w:asciiTheme="minorHAnsi" w:hAnsiTheme="minorHAnsi" w:cstheme="minorHAnsi"/>
                <w:szCs w:val="22"/>
              </w:rPr>
              <w:t>Other medical officers</w:t>
            </w:r>
          </w:p>
        </w:tc>
        <w:tc>
          <w:tcPr>
            <w:tcW w:w="1158" w:type="dxa"/>
            <w:vAlign w:val="bottom"/>
          </w:tcPr>
          <w:p w:rsidR="002265C7" w:rsidRPr="001726A2" w:rsidRDefault="002265C7" w:rsidP="00A37EDF">
            <w:pPr>
              <w:pStyle w:val="TableFigText"/>
              <w:jc w:val="right"/>
            </w:pPr>
            <w:r w:rsidRPr="001726A2">
              <w:t>69.2</w:t>
            </w:r>
          </w:p>
        </w:tc>
        <w:tc>
          <w:tcPr>
            <w:tcW w:w="1350" w:type="dxa"/>
            <w:vAlign w:val="bottom"/>
          </w:tcPr>
          <w:p w:rsidR="002265C7" w:rsidRPr="001726A2" w:rsidRDefault="002265C7" w:rsidP="00A37EDF">
            <w:pPr>
              <w:pStyle w:val="TableFigText"/>
              <w:jc w:val="right"/>
            </w:pPr>
            <w:r w:rsidRPr="001726A2">
              <w:t>6.7</w:t>
            </w:r>
          </w:p>
        </w:tc>
        <w:tc>
          <w:tcPr>
            <w:tcW w:w="1225" w:type="dxa"/>
            <w:vAlign w:val="bottom"/>
          </w:tcPr>
          <w:p w:rsidR="002265C7" w:rsidRPr="001726A2" w:rsidRDefault="002265C7" w:rsidP="00A37EDF">
            <w:pPr>
              <w:pStyle w:val="TableFigText"/>
              <w:jc w:val="right"/>
            </w:pPr>
            <w:r w:rsidRPr="001726A2">
              <w:t>0.3</w:t>
            </w:r>
          </w:p>
        </w:tc>
        <w:tc>
          <w:tcPr>
            <w:tcW w:w="1024" w:type="dxa"/>
            <w:vAlign w:val="bottom"/>
          </w:tcPr>
          <w:p w:rsidR="002265C7" w:rsidRPr="001726A2" w:rsidRDefault="002265C7" w:rsidP="00A37EDF">
            <w:pPr>
              <w:pStyle w:val="TableFigText"/>
              <w:jc w:val="right"/>
            </w:pPr>
            <w:r w:rsidRPr="001726A2">
              <w:t>0.9</w:t>
            </w:r>
          </w:p>
        </w:tc>
        <w:tc>
          <w:tcPr>
            <w:tcW w:w="1066" w:type="dxa"/>
            <w:vAlign w:val="bottom"/>
          </w:tcPr>
          <w:p w:rsidR="002265C7" w:rsidRPr="001726A2" w:rsidRDefault="002265C7" w:rsidP="00A37EDF">
            <w:pPr>
              <w:pStyle w:val="TableFigText"/>
              <w:jc w:val="right"/>
            </w:pPr>
            <w:r w:rsidRPr="001726A2">
              <w:t>0.1</w:t>
            </w:r>
          </w:p>
        </w:tc>
        <w:tc>
          <w:tcPr>
            <w:tcW w:w="1059" w:type="dxa"/>
            <w:vAlign w:val="bottom"/>
          </w:tcPr>
          <w:p w:rsidR="002265C7" w:rsidRPr="001726A2" w:rsidRDefault="002265C7" w:rsidP="00A37EDF">
            <w:pPr>
              <w:pStyle w:val="TableFigText"/>
              <w:jc w:val="right"/>
            </w:pPr>
            <w:r w:rsidRPr="001726A2">
              <w:t>77.2</w:t>
            </w:r>
          </w:p>
        </w:tc>
      </w:tr>
      <w:tr w:rsidR="002265C7" w:rsidRPr="00856F57" w:rsidTr="002265C7">
        <w:tc>
          <w:tcPr>
            <w:tcW w:w="2404" w:type="dxa"/>
          </w:tcPr>
          <w:p w:rsidR="002265C7" w:rsidRPr="00856F57" w:rsidRDefault="002265C7" w:rsidP="002265C7">
            <w:pPr>
              <w:pStyle w:val="TableFigText"/>
              <w:keepNext/>
              <w:rPr>
                <w:rFonts w:asciiTheme="minorHAnsi" w:hAnsiTheme="minorHAnsi" w:cstheme="minorHAnsi"/>
                <w:szCs w:val="22"/>
              </w:rPr>
            </w:pPr>
            <w:r w:rsidRPr="00856F57">
              <w:rPr>
                <w:rFonts w:asciiTheme="minorHAnsi" w:hAnsiTheme="minorHAnsi" w:cstheme="minorHAnsi"/>
                <w:szCs w:val="22"/>
              </w:rPr>
              <w:t>Psychologists</w:t>
            </w:r>
          </w:p>
        </w:tc>
        <w:tc>
          <w:tcPr>
            <w:tcW w:w="1158" w:type="dxa"/>
            <w:vAlign w:val="bottom"/>
          </w:tcPr>
          <w:p w:rsidR="002265C7" w:rsidRPr="001726A2" w:rsidRDefault="002265C7" w:rsidP="00A37EDF">
            <w:pPr>
              <w:pStyle w:val="TableFigText"/>
              <w:jc w:val="right"/>
            </w:pPr>
            <w:r w:rsidRPr="001726A2">
              <w:t>143.6</w:t>
            </w:r>
          </w:p>
        </w:tc>
        <w:tc>
          <w:tcPr>
            <w:tcW w:w="1350" w:type="dxa"/>
            <w:vAlign w:val="bottom"/>
          </w:tcPr>
          <w:p w:rsidR="002265C7" w:rsidRPr="001726A2" w:rsidRDefault="002265C7" w:rsidP="00A37EDF">
            <w:pPr>
              <w:pStyle w:val="TableFigText"/>
              <w:jc w:val="right"/>
            </w:pPr>
            <w:r w:rsidRPr="001726A2">
              <w:t>8.3</w:t>
            </w:r>
          </w:p>
        </w:tc>
        <w:tc>
          <w:tcPr>
            <w:tcW w:w="1225" w:type="dxa"/>
            <w:vAlign w:val="bottom"/>
          </w:tcPr>
          <w:p w:rsidR="002265C7" w:rsidRPr="001726A2" w:rsidRDefault="002265C7" w:rsidP="00A37EDF">
            <w:pPr>
              <w:pStyle w:val="TableFigText"/>
              <w:jc w:val="right"/>
            </w:pPr>
            <w:r w:rsidRPr="001726A2">
              <w:t>6.2</w:t>
            </w:r>
          </w:p>
        </w:tc>
        <w:tc>
          <w:tcPr>
            <w:tcW w:w="1024" w:type="dxa"/>
            <w:vAlign w:val="bottom"/>
          </w:tcPr>
          <w:p w:rsidR="002265C7" w:rsidRPr="001726A2" w:rsidRDefault="002265C7" w:rsidP="00A37EDF">
            <w:pPr>
              <w:pStyle w:val="TableFigText"/>
              <w:jc w:val="right"/>
            </w:pPr>
            <w:r w:rsidRPr="001726A2">
              <w:t>0.9</w:t>
            </w:r>
          </w:p>
        </w:tc>
        <w:tc>
          <w:tcPr>
            <w:tcW w:w="1066" w:type="dxa"/>
            <w:vAlign w:val="bottom"/>
          </w:tcPr>
          <w:p w:rsidR="002265C7" w:rsidRPr="001726A2" w:rsidRDefault="002265C7" w:rsidP="00A37EDF">
            <w:pPr>
              <w:pStyle w:val="TableFigText"/>
              <w:jc w:val="right"/>
            </w:pPr>
            <w:r w:rsidRPr="001726A2">
              <w:t>0.1</w:t>
            </w:r>
          </w:p>
        </w:tc>
        <w:tc>
          <w:tcPr>
            <w:tcW w:w="1059" w:type="dxa"/>
            <w:vAlign w:val="bottom"/>
          </w:tcPr>
          <w:p w:rsidR="002265C7" w:rsidRPr="001726A2" w:rsidRDefault="002265C7" w:rsidP="00A37EDF">
            <w:pPr>
              <w:pStyle w:val="TableFigText"/>
              <w:jc w:val="right"/>
            </w:pPr>
            <w:r w:rsidRPr="001726A2">
              <w:t>159.1</w:t>
            </w:r>
          </w:p>
        </w:tc>
      </w:tr>
      <w:tr w:rsidR="002265C7" w:rsidRPr="00856F57" w:rsidTr="002265C7">
        <w:tc>
          <w:tcPr>
            <w:tcW w:w="2404" w:type="dxa"/>
          </w:tcPr>
          <w:p w:rsidR="002265C7" w:rsidRPr="00856F57" w:rsidRDefault="002265C7" w:rsidP="002265C7">
            <w:pPr>
              <w:pStyle w:val="TableFigText"/>
              <w:keepNext/>
              <w:rPr>
                <w:rFonts w:asciiTheme="minorHAnsi" w:hAnsiTheme="minorHAnsi" w:cstheme="minorHAnsi"/>
                <w:szCs w:val="22"/>
              </w:rPr>
            </w:pPr>
            <w:r w:rsidRPr="00856F57">
              <w:rPr>
                <w:rFonts w:asciiTheme="minorHAnsi" w:hAnsiTheme="minorHAnsi" w:cstheme="minorHAnsi"/>
                <w:szCs w:val="22"/>
              </w:rPr>
              <w:t>Diagnostic and health professionals</w:t>
            </w:r>
            <w:r w:rsidRPr="00856F57">
              <w:rPr>
                <w:rFonts w:asciiTheme="minorHAnsi" w:hAnsiTheme="minorHAnsi" w:cstheme="minorHAnsi"/>
                <w:szCs w:val="22"/>
                <w:vertAlign w:val="superscript"/>
              </w:rPr>
              <w:t>(b)</w:t>
            </w:r>
          </w:p>
        </w:tc>
        <w:tc>
          <w:tcPr>
            <w:tcW w:w="1158" w:type="dxa"/>
            <w:vAlign w:val="bottom"/>
          </w:tcPr>
          <w:p w:rsidR="002265C7" w:rsidRPr="001726A2" w:rsidRDefault="002265C7" w:rsidP="00A37EDF">
            <w:pPr>
              <w:pStyle w:val="TableFigText"/>
              <w:jc w:val="right"/>
            </w:pPr>
            <w:r w:rsidRPr="001726A2">
              <w:t>399.4</w:t>
            </w:r>
          </w:p>
        </w:tc>
        <w:tc>
          <w:tcPr>
            <w:tcW w:w="1350" w:type="dxa"/>
            <w:vAlign w:val="bottom"/>
          </w:tcPr>
          <w:p w:rsidR="002265C7" w:rsidRPr="001726A2" w:rsidRDefault="002265C7" w:rsidP="00A37EDF">
            <w:pPr>
              <w:pStyle w:val="TableFigText"/>
              <w:jc w:val="right"/>
            </w:pPr>
            <w:r w:rsidRPr="001726A2">
              <w:t>28.0</w:t>
            </w:r>
          </w:p>
        </w:tc>
        <w:tc>
          <w:tcPr>
            <w:tcW w:w="1225" w:type="dxa"/>
            <w:vAlign w:val="bottom"/>
          </w:tcPr>
          <w:p w:rsidR="002265C7" w:rsidRPr="001726A2" w:rsidRDefault="002265C7" w:rsidP="00A37EDF">
            <w:pPr>
              <w:pStyle w:val="TableFigText"/>
              <w:jc w:val="right"/>
            </w:pPr>
            <w:r w:rsidRPr="001726A2">
              <w:t>32.6</w:t>
            </w:r>
          </w:p>
        </w:tc>
        <w:tc>
          <w:tcPr>
            <w:tcW w:w="1024" w:type="dxa"/>
            <w:vAlign w:val="bottom"/>
          </w:tcPr>
          <w:p w:rsidR="002265C7" w:rsidRPr="001726A2" w:rsidRDefault="002265C7" w:rsidP="00A37EDF">
            <w:pPr>
              <w:pStyle w:val="TableFigText"/>
              <w:jc w:val="right"/>
            </w:pPr>
            <w:r w:rsidRPr="001726A2">
              <w:t>8.7</w:t>
            </w:r>
          </w:p>
        </w:tc>
        <w:tc>
          <w:tcPr>
            <w:tcW w:w="1066" w:type="dxa"/>
            <w:vAlign w:val="bottom"/>
          </w:tcPr>
          <w:p w:rsidR="002265C7" w:rsidRPr="001726A2" w:rsidRDefault="002265C7" w:rsidP="00A37EDF">
            <w:pPr>
              <w:pStyle w:val="TableFigText"/>
              <w:jc w:val="right"/>
            </w:pPr>
            <w:r w:rsidRPr="001726A2">
              <w:t>1.2</w:t>
            </w:r>
          </w:p>
        </w:tc>
        <w:tc>
          <w:tcPr>
            <w:tcW w:w="1059" w:type="dxa"/>
            <w:vAlign w:val="bottom"/>
          </w:tcPr>
          <w:p w:rsidR="002265C7" w:rsidRPr="001726A2" w:rsidRDefault="002265C7" w:rsidP="00A37EDF">
            <w:pPr>
              <w:pStyle w:val="TableFigText"/>
              <w:jc w:val="right"/>
            </w:pPr>
            <w:r w:rsidRPr="001726A2">
              <w:t>469.9</w:t>
            </w:r>
          </w:p>
        </w:tc>
      </w:tr>
      <w:tr w:rsidR="002265C7" w:rsidRPr="00856F57" w:rsidTr="002265C7">
        <w:tc>
          <w:tcPr>
            <w:tcW w:w="2404" w:type="dxa"/>
          </w:tcPr>
          <w:p w:rsidR="002265C7" w:rsidRPr="00856F57" w:rsidRDefault="002265C7" w:rsidP="002265C7">
            <w:pPr>
              <w:pStyle w:val="TableFigText"/>
              <w:keepNext/>
              <w:rPr>
                <w:rFonts w:asciiTheme="minorHAnsi" w:hAnsiTheme="minorHAnsi" w:cstheme="minorHAnsi"/>
                <w:szCs w:val="22"/>
              </w:rPr>
            </w:pPr>
            <w:r w:rsidRPr="00856F57">
              <w:rPr>
                <w:rFonts w:asciiTheme="minorHAnsi" w:hAnsiTheme="minorHAnsi" w:cstheme="minorHAnsi"/>
                <w:szCs w:val="22"/>
              </w:rPr>
              <w:t>Nurses</w:t>
            </w:r>
            <w:r w:rsidRPr="00856F57">
              <w:rPr>
                <w:rFonts w:asciiTheme="minorHAnsi" w:hAnsiTheme="minorHAnsi" w:cstheme="minorHAnsi"/>
                <w:szCs w:val="22"/>
                <w:vertAlign w:val="superscript"/>
              </w:rPr>
              <w:t>(c)</w:t>
            </w:r>
          </w:p>
        </w:tc>
        <w:tc>
          <w:tcPr>
            <w:tcW w:w="1158" w:type="dxa"/>
            <w:vAlign w:val="bottom"/>
          </w:tcPr>
          <w:p w:rsidR="002265C7" w:rsidRPr="001726A2" w:rsidRDefault="002265C7" w:rsidP="00A37EDF">
            <w:pPr>
              <w:pStyle w:val="TableFigText"/>
              <w:jc w:val="right"/>
            </w:pPr>
            <w:r w:rsidRPr="001726A2">
              <w:t>1,360.5</w:t>
            </w:r>
          </w:p>
        </w:tc>
        <w:tc>
          <w:tcPr>
            <w:tcW w:w="1350" w:type="dxa"/>
            <w:vAlign w:val="bottom"/>
          </w:tcPr>
          <w:p w:rsidR="002265C7" w:rsidRPr="001726A2" w:rsidRDefault="002265C7" w:rsidP="00A37EDF">
            <w:pPr>
              <w:pStyle w:val="TableFigText"/>
              <w:jc w:val="right"/>
            </w:pPr>
            <w:r w:rsidRPr="001726A2">
              <w:t>69.5</w:t>
            </w:r>
          </w:p>
        </w:tc>
        <w:tc>
          <w:tcPr>
            <w:tcW w:w="1225" w:type="dxa"/>
            <w:vAlign w:val="bottom"/>
          </w:tcPr>
          <w:p w:rsidR="002265C7" w:rsidRPr="001726A2" w:rsidRDefault="002265C7" w:rsidP="00A37EDF">
            <w:pPr>
              <w:pStyle w:val="TableFigText"/>
              <w:jc w:val="right"/>
            </w:pPr>
            <w:r w:rsidRPr="001726A2">
              <w:t>51.9</w:t>
            </w:r>
          </w:p>
        </w:tc>
        <w:tc>
          <w:tcPr>
            <w:tcW w:w="1024" w:type="dxa"/>
            <w:vAlign w:val="bottom"/>
          </w:tcPr>
          <w:p w:rsidR="002265C7" w:rsidRPr="001726A2" w:rsidRDefault="002265C7" w:rsidP="00A37EDF">
            <w:pPr>
              <w:pStyle w:val="TableFigText"/>
              <w:jc w:val="right"/>
            </w:pPr>
            <w:r w:rsidRPr="001726A2">
              <w:t>10.7</w:t>
            </w:r>
          </w:p>
        </w:tc>
        <w:tc>
          <w:tcPr>
            <w:tcW w:w="1066" w:type="dxa"/>
            <w:vAlign w:val="bottom"/>
          </w:tcPr>
          <w:p w:rsidR="002265C7" w:rsidRPr="001726A2" w:rsidRDefault="002265C7" w:rsidP="00A37EDF">
            <w:pPr>
              <w:pStyle w:val="TableFigText"/>
              <w:jc w:val="right"/>
            </w:pPr>
            <w:r w:rsidRPr="001726A2">
              <w:t>1.3</w:t>
            </w:r>
          </w:p>
        </w:tc>
        <w:tc>
          <w:tcPr>
            <w:tcW w:w="1059" w:type="dxa"/>
            <w:vAlign w:val="bottom"/>
          </w:tcPr>
          <w:p w:rsidR="002265C7" w:rsidRPr="001726A2" w:rsidRDefault="002265C7" w:rsidP="00A37EDF">
            <w:pPr>
              <w:pStyle w:val="TableFigText"/>
              <w:jc w:val="right"/>
            </w:pPr>
            <w:r w:rsidRPr="001726A2">
              <w:t>1,493.8</w:t>
            </w:r>
          </w:p>
        </w:tc>
      </w:tr>
      <w:tr w:rsidR="002265C7" w:rsidRPr="00856F57" w:rsidTr="002265C7">
        <w:tc>
          <w:tcPr>
            <w:tcW w:w="2404" w:type="dxa"/>
          </w:tcPr>
          <w:p w:rsidR="002265C7" w:rsidRPr="00856F57" w:rsidRDefault="002265C7" w:rsidP="002265C7">
            <w:pPr>
              <w:pStyle w:val="TableFigText"/>
              <w:keepNext/>
              <w:rPr>
                <w:rFonts w:asciiTheme="minorHAnsi" w:hAnsiTheme="minorHAnsi" w:cstheme="minorHAnsi"/>
                <w:szCs w:val="22"/>
              </w:rPr>
            </w:pPr>
            <w:r w:rsidRPr="00856F57">
              <w:rPr>
                <w:rFonts w:asciiTheme="minorHAnsi" w:hAnsiTheme="minorHAnsi" w:cstheme="minorHAnsi"/>
                <w:szCs w:val="22"/>
              </w:rPr>
              <w:t>Carer workers</w:t>
            </w:r>
            <w:r w:rsidRPr="00856F57">
              <w:rPr>
                <w:rFonts w:asciiTheme="minorHAnsi" w:hAnsiTheme="minorHAnsi" w:cstheme="minorHAnsi"/>
                <w:szCs w:val="22"/>
                <w:vertAlign w:val="superscript"/>
              </w:rPr>
              <w:t>(d)</w:t>
            </w:r>
          </w:p>
        </w:tc>
        <w:tc>
          <w:tcPr>
            <w:tcW w:w="1158" w:type="dxa"/>
            <w:vAlign w:val="bottom"/>
          </w:tcPr>
          <w:p w:rsidR="002265C7" w:rsidRPr="001726A2" w:rsidRDefault="002265C7" w:rsidP="00A37EDF">
            <w:pPr>
              <w:pStyle w:val="TableFigText"/>
              <w:jc w:val="right"/>
            </w:pPr>
            <w:r w:rsidRPr="001726A2">
              <w:t>0.5</w:t>
            </w:r>
          </w:p>
        </w:tc>
        <w:tc>
          <w:tcPr>
            <w:tcW w:w="1350" w:type="dxa"/>
            <w:vAlign w:val="bottom"/>
          </w:tcPr>
          <w:p w:rsidR="002265C7" w:rsidRPr="001726A2" w:rsidRDefault="002265C7" w:rsidP="00A37EDF">
            <w:pPr>
              <w:pStyle w:val="TableFigText"/>
              <w:jc w:val="right"/>
            </w:pPr>
            <w:r w:rsidRPr="001726A2">
              <w:t>0.1</w:t>
            </w:r>
          </w:p>
        </w:tc>
        <w:tc>
          <w:tcPr>
            <w:tcW w:w="1225" w:type="dxa"/>
            <w:vAlign w:val="bottom"/>
          </w:tcPr>
          <w:p w:rsidR="002265C7" w:rsidRPr="001726A2" w:rsidRDefault="002265C7" w:rsidP="00A37EDF">
            <w:pPr>
              <w:pStyle w:val="TableFigText"/>
              <w:jc w:val="right"/>
            </w:pPr>
            <w:r w:rsidRPr="001726A2">
              <w:t>0.2</w:t>
            </w:r>
          </w:p>
        </w:tc>
        <w:tc>
          <w:tcPr>
            <w:tcW w:w="1024" w:type="dxa"/>
            <w:vAlign w:val="bottom"/>
          </w:tcPr>
          <w:p w:rsidR="002265C7" w:rsidRPr="001726A2" w:rsidRDefault="002265C7" w:rsidP="00A37EDF">
            <w:pPr>
              <w:pStyle w:val="TableFigText"/>
              <w:jc w:val="right"/>
            </w:pPr>
            <w:r w:rsidRPr="001726A2">
              <w:t>0.0</w:t>
            </w:r>
          </w:p>
        </w:tc>
        <w:tc>
          <w:tcPr>
            <w:tcW w:w="1066" w:type="dxa"/>
            <w:vAlign w:val="bottom"/>
          </w:tcPr>
          <w:p w:rsidR="002265C7" w:rsidRPr="001726A2" w:rsidRDefault="002265C7" w:rsidP="00A37EDF">
            <w:pPr>
              <w:pStyle w:val="TableFigText"/>
              <w:jc w:val="right"/>
            </w:pPr>
            <w:r w:rsidRPr="001726A2">
              <w:t>0.0</w:t>
            </w:r>
          </w:p>
        </w:tc>
        <w:tc>
          <w:tcPr>
            <w:tcW w:w="1059" w:type="dxa"/>
            <w:vAlign w:val="bottom"/>
          </w:tcPr>
          <w:p w:rsidR="002265C7" w:rsidRPr="001726A2" w:rsidRDefault="002265C7" w:rsidP="00A37EDF">
            <w:pPr>
              <w:pStyle w:val="TableFigText"/>
              <w:jc w:val="right"/>
            </w:pPr>
            <w:r w:rsidRPr="001726A2">
              <w:t>0.8</w:t>
            </w:r>
          </w:p>
        </w:tc>
      </w:tr>
      <w:tr w:rsidR="002265C7" w:rsidRPr="00856F57" w:rsidTr="002265C7">
        <w:tc>
          <w:tcPr>
            <w:tcW w:w="2404" w:type="dxa"/>
          </w:tcPr>
          <w:p w:rsidR="002265C7" w:rsidRPr="00856F57" w:rsidRDefault="002265C7" w:rsidP="002265C7">
            <w:pPr>
              <w:pStyle w:val="TableFigText"/>
              <w:keepNext/>
              <w:rPr>
                <w:rFonts w:asciiTheme="minorHAnsi" w:hAnsiTheme="minorHAnsi" w:cstheme="minorHAnsi"/>
                <w:szCs w:val="22"/>
              </w:rPr>
            </w:pPr>
            <w:r w:rsidRPr="00856F57">
              <w:rPr>
                <w:rFonts w:asciiTheme="minorHAnsi" w:hAnsiTheme="minorHAnsi" w:cstheme="minorHAnsi"/>
                <w:szCs w:val="22"/>
              </w:rPr>
              <w:t>Consumer workers</w:t>
            </w:r>
            <w:r w:rsidRPr="00856F57">
              <w:rPr>
                <w:rFonts w:asciiTheme="minorHAnsi" w:hAnsiTheme="minorHAnsi" w:cstheme="minorHAnsi"/>
                <w:szCs w:val="22"/>
                <w:vertAlign w:val="superscript"/>
              </w:rPr>
              <w:t>(d)</w:t>
            </w:r>
          </w:p>
        </w:tc>
        <w:tc>
          <w:tcPr>
            <w:tcW w:w="1158" w:type="dxa"/>
            <w:vAlign w:val="bottom"/>
          </w:tcPr>
          <w:p w:rsidR="002265C7" w:rsidRPr="001726A2" w:rsidRDefault="002265C7" w:rsidP="00A37EDF">
            <w:pPr>
              <w:pStyle w:val="TableFigText"/>
              <w:jc w:val="right"/>
            </w:pPr>
            <w:r w:rsidRPr="001726A2">
              <w:t>1.2</w:t>
            </w:r>
          </w:p>
        </w:tc>
        <w:tc>
          <w:tcPr>
            <w:tcW w:w="1350" w:type="dxa"/>
            <w:vAlign w:val="bottom"/>
          </w:tcPr>
          <w:p w:rsidR="002265C7" w:rsidRPr="001726A2" w:rsidRDefault="002265C7" w:rsidP="00A37EDF">
            <w:pPr>
              <w:pStyle w:val="TableFigText"/>
              <w:jc w:val="right"/>
            </w:pPr>
            <w:r w:rsidRPr="001726A2">
              <w:t>0.0</w:t>
            </w:r>
          </w:p>
        </w:tc>
        <w:tc>
          <w:tcPr>
            <w:tcW w:w="1225" w:type="dxa"/>
            <w:vAlign w:val="bottom"/>
          </w:tcPr>
          <w:p w:rsidR="002265C7" w:rsidRPr="001726A2" w:rsidRDefault="002265C7" w:rsidP="00A37EDF">
            <w:pPr>
              <w:pStyle w:val="TableFigText"/>
              <w:jc w:val="right"/>
            </w:pPr>
            <w:r w:rsidRPr="001726A2">
              <w:t>0.0</w:t>
            </w:r>
          </w:p>
        </w:tc>
        <w:tc>
          <w:tcPr>
            <w:tcW w:w="1024" w:type="dxa"/>
            <w:vAlign w:val="bottom"/>
          </w:tcPr>
          <w:p w:rsidR="002265C7" w:rsidRPr="001726A2" w:rsidRDefault="002265C7" w:rsidP="00A37EDF">
            <w:pPr>
              <w:pStyle w:val="TableFigText"/>
              <w:jc w:val="right"/>
            </w:pPr>
            <w:r w:rsidRPr="001726A2">
              <w:t>0.0</w:t>
            </w:r>
          </w:p>
        </w:tc>
        <w:tc>
          <w:tcPr>
            <w:tcW w:w="1066" w:type="dxa"/>
            <w:vAlign w:val="bottom"/>
          </w:tcPr>
          <w:p w:rsidR="002265C7" w:rsidRPr="001726A2" w:rsidRDefault="002265C7" w:rsidP="00A37EDF">
            <w:pPr>
              <w:pStyle w:val="TableFigText"/>
              <w:jc w:val="right"/>
            </w:pPr>
            <w:r w:rsidRPr="001726A2">
              <w:t>0.0</w:t>
            </w:r>
          </w:p>
        </w:tc>
        <w:tc>
          <w:tcPr>
            <w:tcW w:w="1059" w:type="dxa"/>
            <w:vAlign w:val="bottom"/>
          </w:tcPr>
          <w:p w:rsidR="002265C7" w:rsidRPr="001726A2" w:rsidRDefault="002265C7" w:rsidP="00A37EDF">
            <w:pPr>
              <w:pStyle w:val="TableFigText"/>
              <w:jc w:val="right"/>
            </w:pPr>
            <w:r w:rsidRPr="001726A2">
              <w:t>1.2</w:t>
            </w:r>
          </w:p>
        </w:tc>
      </w:tr>
      <w:tr w:rsidR="002265C7" w:rsidRPr="00856F57" w:rsidTr="002265C7">
        <w:tc>
          <w:tcPr>
            <w:tcW w:w="2404" w:type="dxa"/>
          </w:tcPr>
          <w:p w:rsidR="002265C7" w:rsidRPr="00856F57" w:rsidRDefault="002265C7" w:rsidP="002265C7">
            <w:pPr>
              <w:pStyle w:val="TableFigText"/>
              <w:keepNext/>
              <w:rPr>
                <w:rFonts w:asciiTheme="minorHAnsi" w:hAnsiTheme="minorHAnsi" w:cstheme="minorHAnsi"/>
                <w:szCs w:val="22"/>
              </w:rPr>
            </w:pPr>
            <w:r w:rsidRPr="00856F57">
              <w:rPr>
                <w:rFonts w:asciiTheme="minorHAnsi" w:hAnsiTheme="minorHAnsi" w:cstheme="minorHAnsi"/>
                <w:szCs w:val="22"/>
              </w:rPr>
              <w:t>Other personal care</w:t>
            </w:r>
            <w:r w:rsidRPr="00856F57">
              <w:rPr>
                <w:rFonts w:asciiTheme="minorHAnsi" w:hAnsiTheme="minorHAnsi" w:cstheme="minorHAnsi"/>
                <w:szCs w:val="22"/>
                <w:vertAlign w:val="superscript"/>
              </w:rPr>
              <w:t>(e)</w:t>
            </w:r>
          </w:p>
        </w:tc>
        <w:tc>
          <w:tcPr>
            <w:tcW w:w="1158" w:type="dxa"/>
            <w:vAlign w:val="bottom"/>
          </w:tcPr>
          <w:p w:rsidR="002265C7" w:rsidRPr="001726A2" w:rsidRDefault="002265C7" w:rsidP="00A37EDF">
            <w:pPr>
              <w:pStyle w:val="TableFigText"/>
              <w:jc w:val="right"/>
            </w:pPr>
            <w:r w:rsidRPr="001726A2">
              <w:t>102.5</w:t>
            </w:r>
          </w:p>
        </w:tc>
        <w:tc>
          <w:tcPr>
            <w:tcW w:w="1350" w:type="dxa"/>
            <w:vAlign w:val="bottom"/>
          </w:tcPr>
          <w:p w:rsidR="002265C7" w:rsidRPr="001726A2" w:rsidRDefault="002265C7" w:rsidP="00A37EDF">
            <w:pPr>
              <w:pStyle w:val="TableFigText"/>
              <w:jc w:val="right"/>
            </w:pPr>
            <w:r w:rsidRPr="001726A2">
              <w:t>7.2</w:t>
            </w:r>
          </w:p>
        </w:tc>
        <w:tc>
          <w:tcPr>
            <w:tcW w:w="1225" w:type="dxa"/>
            <w:vAlign w:val="bottom"/>
          </w:tcPr>
          <w:p w:rsidR="002265C7" w:rsidRPr="001726A2" w:rsidRDefault="002265C7" w:rsidP="00A37EDF">
            <w:pPr>
              <w:pStyle w:val="TableFigText"/>
              <w:jc w:val="right"/>
            </w:pPr>
            <w:r w:rsidRPr="001726A2">
              <w:t>17.9</w:t>
            </w:r>
          </w:p>
        </w:tc>
        <w:tc>
          <w:tcPr>
            <w:tcW w:w="1024" w:type="dxa"/>
            <w:vAlign w:val="bottom"/>
          </w:tcPr>
          <w:p w:rsidR="002265C7" w:rsidRPr="001726A2" w:rsidRDefault="002265C7" w:rsidP="00A37EDF">
            <w:pPr>
              <w:pStyle w:val="TableFigText"/>
              <w:jc w:val="right"/>
            </w:pPr>
            <w:r w:rsidRPr="001726A2">
              <w:t>3.8</w:t>
            </w:r>
          </w:p>
        </w:tc>
        <w:tc>
          <w:tcPr>
            <w:tcW w:w="1066" w:type="dxa"/>
            <w:vAlign w:val="bottom"/>
          </w:tcPr>
          <w:p w:rsidR="002265C7" w:rsidRPr="001726A2" w:rsidRDefault="002265C7" w:rsidP="00A37EDF">
            <w:pPr>
              <w:pStyle w:val="TableFigText"/>
              <w:jc w:val="right"/>
            </w:pPr>
            <w:r w:rsidRPr="001726A2">
              <w:t>0.2</w:t>
            </w:r>
          </w:p>
        </w:tc>
        <w:tc>
          <w:tcPr>
            <w:tcW w:w="1059" w:type="dxa"/>
            <w:vAlign w:val="bottom"/>
          </w:tcPr>
          <w:p w:rsidR="002265C7" w:rsidRPr="001726A2" w:rsidRDefault="002265C7" w:rsidP="00A37EDF">
            <w:pPr>
              <w:pStyle w:val="TableFigText"/>
              <w:jc w:val="right"/>
            </w:pPr>
            <w:r w:rsidRPr="001726A2">
              <w:t>131.6</w:t>
            </w:r>
          </w:p>
        </w:tc>
      </w:tr>
      <w:tr w:rsidR="002265C7" w:rsidRPr="00856F57" w:rsidTr="002265C7">
        <w:tc>
          <w:tcPr>
            <w:tcW w:w="2404" w:type="dxa"/>
          </w:tcPr>
          <w:p w:rsidR="002265C7" w:rsidRPr="00856F57" w:rsidRDefault="002265C7" w:rsidP="002265C7">
            <w:pPr>
              <w:pStyle w:val="TableFigText"/>
              <w:keepNext/>
              <w:rPr>
                <w:rFonts w:asciiTheme="minorHAnsi" w:hAnsiTheme="minorHAnsi" w:cstheme="minorHAnsi"/>
                <w:szCs w:val="22"/>
              </w:rPr>
            </w:pPr>
            <w:r w:rsidRPr="00856F57">
              <w:rPr>
                <w:rFonts w:asciiTheme="minorHAnsi" w:hAnsiTheme="minorHAnsi" w:cstheme="minorHAnsi"/>
                <w:szCs w:val="22"/>
              </w:rPr>
              <w:t>Other staffing categories</w:t>
            </w:r>
            <w:r w:rsidRPr="00856F57">
              <w:rPr>
                <w:rFonts w:asciiTheme="minorHAnsi" w:hAnsiTheme="minorHAnsi" w:cstheme="minorHAnsi"/>
                <w:szCs w:val="22"/>
                <w:vertAlign w:val="superscript"/>
              </w:rPr>
              <w:t>(f)</w:t>
            </w:r>
          </w:p>
        </w:tc>
        <w:tc>
          <w:tcPr>
            <w:tcW w:w="1158" w:type="dxa"/>
            <w:vAlign w:val="bottom"/>
          </w:tcPr>
          <w:p w:rsidR="002265C7" w:rsidRPr="001726A2" w:rsidRDefault="002265C7" w:rsidP="00A37EDF">
            <w:pPr>
              <w:pStyle w:val="TableFigText"/>
              <w:jc w:val="right"/>
            </w:pPr>
            <w:r w:rsidRPr="001726A2">
              <w:t>580.2</w:t>
            </w:r>
          </w:p>
        </w:tc>
        <w:tc>
          <w:tcPr>
            <w:tcW w:w="1350" w:type="dxa"/>
            <w:vAlign w:val="bottom"/>
          </w:tcPr>
          <w:p w:rsidR="002265C7" w:rsidRPr="001726A2" w:rsidRDefault="002265C7" w:rsidP="00A37EDF">
            <w:pPr>
              <w:pStyle w:val="TableFigText"/>
              <w:jc w:val="right"/>
            </w:pPr>
            <w:r w:rsidRPr="001726A2">
              <w:t>27.8</w:t>
            </w:r>
          </w:p>
        </w:tc>
        <w:tc>
          <w:tcPr>
            <w:tcW w:w="1225" w:type="dxa"/>
            <w:vAlign w:val="bottom"/>
          </w:tcPr>
          <w:p w:rsidR="002265C7" w:rsidRPr="001726A2" w:rsidRDefault="002265C7" w:rsidP="00A37EDF">
            <w:pPr>
              <w:pStyle w:val="TableFigText"/>
              <w:jc w:val="right"/>
            </w:pPr>
            <w:r w:rsidRPr="001726A2">
              <w:t>42.2</w:t>
            </w:r>
          </w:p>
        </w:tc>
        <w:tc>
          <w:tcPr>
            <w:tcW w:w="1024" w:type="dxa"/>
            <w:vAlign w:val="bottom"/>
          </w:tcPr>
          <w:p w:rsidR="002265C7" w:rsidRPr="001726A2" w:rsidRDefault="002265C7" w:rsidP="00A37EDF">
            <w:pPr>
              <w:pStyle w:val="TableFigText"/>
              <w:jc w:val="right"/>
            </w:pPr>
            <w:r w:rsidRPr="001726A2">
              <w:t>17.8</w:t>
            </w:r>
          </w:p>
        </w:tc>
        <w:tc>
          <w:tcPr>
            <w:tcW w:w="1066" w:type="dxa"/>
            <w:vAlign w:val="bottom"/>
          </w:tcPr>
          <w:p w:rsidR="002265C7" w:rsidRPr="001726A2" w:rsidRDefault="002265C7" w:rsidP="00A37EDF">
            <w:pPr>
              <w:pStyle w:val="TableFigText"/>
              <w:jc w:val="right"/>
            </w:pPr>
            <w:r w:rsidRPr="001726A2">
              <w:t>2.6</w:t>
            </w:r>
          </w:p>
        </w:tc>
        <w:tc>
          <w:tcPr>
            <w:tcW w:w="1059" w:type="dxa"/>
            <w:vAlign w:val="bottom"/>
          </w:tcPr>
          <w:p w:rsidR="002265C7" w:rsidRPr="001726A2" w:rsidRDefault="002265C7" w:rsidP="00A37EDF">
            <w:pPr>
              <w:pStyle w:val="TableFigText"/>
              <w:jc w:val="right"/>
            </w:pPr>
            <w:r w:rsidRPr="001726A2">
              <w:t>670.6</w:t>
            </w:r>
          </w:p>
        </w:tc>
      </w:tr>
      <w:tr w:rsidR="002265C7" w:rsidRPr="00856F57" w:rsidTr="002265C7">
        <w:tc>
          <w:tcPr>
            <w:tcW w:w="2404" w:type="dxa"/>
          </w:tcPr>
          <w:p w:rsidR="002265C7" w:rsidRPr="00E86D05" w:rsidRDefault="002265C7" w:rsidP="002265C7">
            <w:pPr>
              <w:pStyle w:val="TableFigText"/>
              <w:keepNext/>
              <w:rPr>
                <w:rFonts w:asciiTheme="minorHAnsi" w:hAnsiTheme="minorHAnsi" w:cstheme="minorHAnsi"/>
                <w:b/>
                <w:szCs w:val="22"/>
                <w:vertAlign w:val="superscript"/>
              </w:rPr>
            </w:pPr>
            <w:r w:rsidRPr="00856F57">
              <w:rPr>
                <w:rFonts w:asciiTheme="minorHAnsi" w:hAnsiTheme="minorHAnsi" w:cstheme="minorHAnsi"/>
                <w:b/>
                <w:szCs w:val="22"/>
              </w:rPr>
              <w:t>Total</w:t>
            </w:r>
            <w:r w:rsidRPr="00E86D05">
              <w:rPr>
                <w:rFonts w:asciiTheme="minorHAnsi" w:hAnsiTheme="minorHAnsi" w:cstheme="minorHAnsi"/>
                <w:b/>
                <w:szCs w:val="22"/>
                <w:vertAlign w:val="superscript"/>
              </w:rPr>
              <w:t>(a)</w:t>
            </w:r>
          </w:p>
        </w:tc>
        <w:tc>
          <w:tcPr>
            <w:tcW w:w="1158" w:type="dxa"/>
            <w:vAlign w:val="bottom"/>
          </w:tcPr>
          <w:p w:rsidR="002265C7" w:rsidRPr="00A37EDF" w:rsidRDefault="002265C7" w:rsidP="00A37EDF">
            <w:pPr>
              <w:pStyle w:val="TableFigText"/>
              <w:jc w:val="right"/>
              <w:rPr>
                <w:b/>
              </w:rPr>
            </w:pPr>
            <w:r w:rsidRPr="00A37EDF">
              <w:rPr>
                <w:b/>
              </w:rPr>
              <w:t>2,845.4</w:t>
            </w:r>
          </w:p>
        </w:tc>
        <w:tc>
          <w:tcPr>
            <w:tcW w:w="1350" w:type="dxa"/>
            <w:vAlign w:val="bottom"/>
          </w:tcPr>
          <w:p w:rsidR="002265C7" w:rsidRPr="00A37EDF" w:rsidRDefault="002265C7" w:rsidP="00A37EDF">
            <w:pPr>
              <w:pStyle w:val="TableFigText"/>
              <w:jc w:val="right"/>
              <w:rPr>
                <w:b/>
              </w:rPr>
            </w:pPr>
            <w:r w:rsidRPr="00A37EDF">
              <w:rPr>
                <w:b/>
              </w:rPr>
              <w:t>154.7</w:t>
            </w:r>
          </w:p>
        </w:tc>
        <w:tc>
          <w:tcPr>
            <w:tcW w:w="1225" w:type="dxa"/>
            <w:vAlign w:val="bottom"/>
          </w:tcPr>
          <w:p w:rsidR="002265C7" w:rsidRPr="00A37EDF" w:rsidRDefault="002265C7" w:rsidP="00A37EDF">
            <w:pPr>
              <w:pStyle w:val="TableFigText"/>
              <w:jc w:val="right"/>
              <w:rPr>
                <w:b/>
              </w:rPr>
            </w:pPr>
            <w:r w:rsidRPr="00A37EDF">
              <w:rPr>
                <w:b/>
              </w:rPr>
              <w:t>156.2</w:t>
            </w:r>
          </w:p>
        </w:tc>
        <w:tc>
          <w:tcPr>
            <w:tcW w:w="1024" w:type="dxa"/>
            <w:vAlign w:val="bottom"/>
          </w:tcPr>
          <w:p w:rsidR="002265C7" w:rsidRPr="00A37EDF" w:rsidRDefault="002265C7" w:rsidP="00A37EDF">
            <w:pPr>
              <w:pStyle w:val="TableFigText"/>
              <w:jc w:val="right"/>
              <w:rPr>
                <w:b/>
              </w:rPr>
            </w:pPr>
            <w:r w:rsidRPr="00A37EDF">
              <w:rPr>
                <w:b/>
              </w:rPr>
              <w:t>46.2</w:t>
            </w:r>
          </w:p>
        </w:tc>
        <w:tc>
          <w:tcPr>
            <w:tcW w:w="1066" w:type="dxa"/>
            <w:vAlign w:val="bottom"/>
          </w:tcPr>
          <w:p w:rsidR="002265C7" w:rsidRPr="00A37EDF" w:rsidRDefault="002265C7" w:rsidP="00A37EDF">
            <w:pPr>
              <w:pStyle w:val="TableFigText"/>
              <w:jc w:val="right"/>
              <w:rPr>
                <w:b/>
              </w:rPr>
            </w:pPr>
            <w:r w:rsidRPr="00A37EDF">
              <w:rPr>
                <w:b/>
              </w:rPr>
              <w:t>5.9</w:t>
            </w:r>
          </w:p>
        </w:tc>
        <w:tc>
          <w:tcPr>
            <w:tcW w:w="1059" w:type="dxa"/>
            <w:vAlign w:val="bottom"/>
          </w:tcPr>
          <w:p w:rsidR="002265C7" w:rsidRPr="00A37EDF" w:rsidRDefault="002265C7" w:rsidP="00A37EDF">
            <w:pPr>
              <w:pStyle w:val="TableFigText"/>
              <w:jc w:val="right"/>
              <w:rPr>
                <w:b/>
              </w:rPr>
            </w:pPr>
            <w:r w:rsidRPr="00A37EDF">
              <w:rPr>
                <w:b/>
              </w:rPr>
              <w:t>3,208.3</w:t>
            </w:r>
          </w:p>
        </w:tc>
      </w:tr>
    </w:tbl>
    <w:p w:rsidR="002265C7" w:rsidRPr="0044293E" w:rsidRDefault="002265C7" w:rsidP="00540186">
      <w:pPr>
        <w:pStyle w:val="TableFigNotesnumbered"/>
        <w:numPr>
          <w:ilvl w:val="0"/>
          <w:numId w:val="81"/>
        </w:numPr>
        <w:rPr>
          <w:rStyle w:val="table-note"/>
        </w:rPr>
      </w:pPr>
      <w:r w:rsidRPr="0044293E">
        <w:rPr>
          <w:rStyle w:val="table-note"/>
        </w:rPr>
        <w:t>Totals may not add due to rounding.</w:t>
      </w:r>
    </w:p>
    <w:p w:rsidR="002265C7" w:rsidRPr="0044293E" w:rsidRDefault="002265C7" w:rsidP="00540186">
      <w:pPr>
        <w:pStyle w:val="TableFigNotesnumbered"/>
        <w:numPr>
          <w:ilvl w:val="0"/>
          <w:numId w:val="81"/>
        </w:numPr>
        <w:rPr>
          <w:rStyle w:val="table-note"/>
        </w:rPr>
      </w:pPr>
      <w:r w:rsidRPr="0044293E">
        <w:rPr>
          <w:rStyle w:val="table-note"/>
        </w:rPr>
        <w:t>Diagnostic and health professionals includes qualified staff (other than qualified medical or nursing staff) engaged in duties of a diagnostic, professional or technical nature and covers all allied health professionals and laboratory technicians (but excludes civil engineers and computing staff) (</w:t>
      </w:r>
      <w:proofErr w:type="spellStart"/>
      <w:r w:rsidRPr="0044293E">
        <w:rPr>
          <w:rStyle w:val="table-note"/>
        </w:rPr>
        <w:t>METeOR</w:t>
      </w:r>
      <w:proofErr w:type="spellEnd"/>
      <w:r w:rsidRPr="0044293E">
        <w:rPr>
          <w:rStyle w:val="table-note"/>
        </w:rPr>
        <w:t xml:space="preserve"> identifier 287611).</w:t>
      </w:r>
    </w:p>
    <w:p w:rsidR="002265C7" w:rsidRPr="0044293E" w:rsidRDefault="002265C7" w:rsidP="00540186">
      <w:pPr>
        <w:pStyle w:val="TableFigNotesnumbered"/>
        <w:numPr>
          <w:ilvl w:val="0"/>
          <w:numId w:val="81"/>
        </w:numPr>
        <w:rPr>
          <w:rStyle w:val="table-note"/>
        </w:rPr>
      </w:pPr>
      <w:r w:rsidRPr="0044293E">
        <w:rPr>
          <w:rStyle w:val="table-note"/>
        </w:rPr>
        <w:t>Includes registered and enrolled nurses</w:t>
      </w:r>
    </w:p>
    <w:p w:rsidR="002265C7" w:rsidRPr="0044293E" w:rsidRDefault="002265C7" w:rsidP="00540186">
      <w:pPr>
        <w:pStyle w:val="TableFigNotesnumbered"/>
        <w:numPr>
          <w:ilvl w:val="0"/>
          <w:numId w:val="81"/>
        </w:numPr>
        <w:rPr>
          <w:rStyle w:val="table-note"/>
        </w:rPr>
      </w:pPr>
      <w:r w:rsidRPr="0044293E">
        <w:rPr>
          <w:rStyle w:val="table-note"/>
        </w:rPr>
        <w:t xml:space="preserve">The definition of these categories was modified from 'consultants' to 'mental health workers' for the 2010–11 collection, in order to capture a variety of contemporary roles. </w:t>
      </w:r>
    </w:p>
    <w:p w:rsidR="002265C7" w:rsidRPr="0044293E" w:rsidRDefault="002265C7" w:rsidP="00540186">
      <w:pPr>
        <w:pStyle w:val="TableFigNotesnumbered"/>
        <w:numPr>
          <w:ilvl w:val="0"/>
          <w:numId w:val="81"/>
        </w:numPr>
        <w:rPr>
          <w:rStyle w:val="table-note"/>
        </w:rPr>
      </w:pPr>
      <w:r w:rsidRPr="0044293E">
        <w:rPr>
          <w:rStyle w:val="table-note"/>
        </w:rPr>
        <w:t>Other personal care staff includes staff engaged primarily in the provision of personal care to patients or residents, not formally qualified, for example attendants, assistants of home assistance, home companions, family aides, ward helpers, warders, orderlies, ward assistants and nursing assistants (</w:t>
      </w:r>
      <w:proofErr w:type="spellStart"/>
      <w:r w:rsidRPr="0044293E">
        <w:rPr>
          <w:rStyle w:val="table-note"/>
        </w:rPr>
        <w:t>METeOR</w:t>
      </w:r>
      <w:proofErr w:type="spellEnd"/>
      <w:r w:rsidRPr="0044293E">
        <w:rPr>
          <w:rStyle w:val="table-note"/>
        </w:rPr>
        <w:t xml:space="preserve"> 270171).</w:t>
      </w:r>
    </w:p>
    <w:p w:rsidR="002265C7" w:rsidRPr="0044293E" w:rsidRDefault="002265C7" w:rsidP="00540186">
      <w:pPr>
        <w:pStyle w:val="TableFigNotesnumbered"/>
        <w:numPr>
          <w:ilvl w:val="0"/>
          <w:numId w:val="81"/>
        </w:numPr>
        <w:rPr>
          <w:rStyle w:val="table-note"/>
        </w:rPr>
      </w:pPr>
      <w:r w:rsidRPr="0044293E">
        <w:rPr>
          <w:rStyle w:val="table-note"/>
        </w:rPr>
        <w:t xml:space="preserve">Other </w:t>
      </w:r>
      <w:proofErr w:type="gramStart"/>
      <w:r w:rsidRPr="0044293E">
        <w:rPr>
          <w:rStyle w:val="table-note"/>
        </w:rPr>
        <w:t>staff</w:t>
      </w:r>
      <w:proofErr w:type="gramEnd"/>
      <w:r w:rsidRPr="0044293E">
        <w:rPr>
          <w:rStyle w:val="table-note"/>
        </w:rPr>
        <w:t xml:space="preserve"> includes administrative and clerical and domestic and other staff categories. </w:t>
      </w:r>
    </w:p>
    <w:p w:rsidR="002265C7" w:rsidRPr="00207B28" w:rsidRDefault="002265C7" w:rsidP="002265C7">
      <w:pPr>
        <w:spacing w:before="0" w:after="0" w:line="240" w:lineRule="auto"/>
        <w:rPr>
          <w:rFonts w:asciiTheme="minorHAnsi" w:hAnsiTheme="minorHAnsi" w:cstheme="minorHAnsi"/>
        </w:rPr>
      </w:pPr>
    </w:p>
    <w:p w:rsidR="002265C7" w:rsidRPr="0044293E" w:rsidRDefault="002265C7" w:rsidP="002265C7">
      <w:pPr>
        <w:spacing w:before="0" w:after="0" w:line="240" w:lineRule="auto"/>
        <w:rPr>
          <w:rStyle w:val="table-note"/>
          <w:rFonts w:ascii="Arial" w:hAnsi="Arial"/>
          <w:sz w:val="14"/>
          <w:szCs w:val="20"/>
          <w:lang w:eastAsia="en-US"/>
        </w:rPr>
      </w:pPr>
      <w:r w:rsidRPr="0044293E">
        <w:rPr>
          <w:rStyle w:val="table-note"/>
          <w:rFonts w:ascii="Arial" w:hAnsi="Arial"/>
          <w:sz w:val="14"/>
          <w:szCs w:val="20"/>
          <w:lang w:eastAsia="en-US"/>
        </w:rPr>
        <w:t>Notes:</w:t>
      </w:r>
      <w:r w:rsidRPr="0044293E">
        <w:rPr>
          <w:rStyle w:val="table-note"/>
          <w:rFonts w:ascii="Arial" w:hAnsi="Arial"/>
          <w:sz w:val="14"/>
          <w:szCs w:val="20"/>
          <w:lang w:eastAsia="en-US"/>
        </w:rPr>
        <w:tab/>
      </w:r>
    </w:p>
    <w:p w:rsidR="002265C7" w:rsidRPr="0044293E" w:rsidRDefault="002265C7" w:rsidP="006876F2">
      <w:pPr>
        <w:pStyle w:val="ListParagraph"/>
        <w:numPr>
          <w:ilvl w:val="0"/>
          <w:numId w:val="24"/>
        </w:numPr>
        <w:spacing w:after="0" w:line="240" w:lineRule="auto"/>
        <w:rPr>
          <w:rStyle w:val="table-note"/>
          <w:rFonts w:ascii="Arial" w:eastAsia="Times New Roman" w:hAnsi="Arial" w:cs="Times New Roman"/>
          <w:sz w:val="14"/>
          <w:szCs w:val="20"/>
          <w:lang w:eastAsia="en-US"/>
        </w:rPr>
      </w:pPr>
      <w:r w:rsidRPr="0044293E">
        <w:rPr>
          <w:rStyle w:val="table-note"/>
          <w:rFonts w:ascii="Arial" w:eastAsia="Times New Roman" w:hAnsi="Arial" w:cs="Times New Roman"/>
          <w:sz w:val="14"/>
          <w:szCs w:val="20"/>
          <w:lang w:eastAsia="en-US"/>
        </w:rPr>
        <w:t xml:space="preserve">Includes consumer and carer workers and staff employed at a higher organisational level. Excludes staff employed at regional or state level in mental health policy units of the associated relevant health department or equivalent. </w:t>
      </w:r>
    </w:p>
    <w:p w:rsidR="002265C7" w:rsidRPr="00E7560F" w:rsidRDefault="002265C7" w:rsidP="002265C7">
      <w:pPr>
        <w:pStyle w:val="AIHWbodytext"/>
      </w:pPr>
    </w:p>
    <w:p w:rsidR="002265C7" w:rsidRPr="0096114C" w:rsidRDefault="0096114C" w:rsidP="002265C7">
      <w:pPr>
        <w:pStyle w:val="TableCaption"/>
        <w:rPr>
          <w:rStyle w:val="table-note"/>
        </w:rPr>
      </w:pPr>
      <w:r w:rsidRPr="0096114C">
        <w:rPr>
          <w:rStyle w:val="table-note"/>
        </w:rPr>
        <w:lastRenderedPageBreak/>
        <w:t xml:space="preserve">Table 39: </w:t>
      </w:r>
      <w:r w:rsidR="002265C7" w:rsidRPr="0096114C">
        <w:rPr>
          <w:rStyle w:val="table-note"/>
        </w:rPr>
        <w:t xml:space="preserve">WA: Full-time-equivalent staff, state and territory specialised mental health care facilities, by staffing category, 2011–12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WA: Full-time-equivalent staff, state and territory specialised mental health care facilities, by staffing category, 2011–12 "/>
        <w:tblDescription w:val="Table showing, in 2011-12, the number of full-time-equivalent (FTE) staff in specialised mental health care facilities across WA region types.  Major cities have the highest number of all types of FTE staff at 3,285.6 and very remote have the least at 7.5. Nurses were the highest FTE staff type overall, across all region types, at 1,683.8."/>
      </w:tblPr>
      <w:tblGrid>
        <w:gridCol w:w="2404"/>
        <w:gridCol w:w="1158"/>
        <w:gridCol w:w="1350"/>
        <w:gridCol w:w="1225"/>
        <w:gridCol w:w="1024"/>
        <w:gridCol w:w="1066"/>
        <w:gridCol w:w="1059"/>
      </w:tblGrid>
      <w:tr w:rsidR="002265C7" w:rsidRPr="00856F57" w:rsidTr="000C3DEA">
        <w:trPr>
          <w:tblHeader/>
        </w:trPr>
        <w:tc>
          <w:tcPr>
            <w:tcW w:w="2404" w:type="dxa"/>
          </w:tcPr>
          <w:p w:rsidR="002265C7" w:rsidRPr="00856F57" w:rsidRDefault="002265C7" w:rsidP="002265C7">
            <w:pPr>
              <w:pStyle w:val="TableFigText"/>
              <w:keepNext/>
              <w:rPr>
                <w:rFonts w:asciiTheme="minorHAnsi" w:hAnsiTheme="minorHAnsi" w:cstheme="minorHAnsi"/>
                <w:szCs w:val="22"/>
              </w:rPr>
            </w:pPr>
          </w:p>
        </w:tc>
        <w:tc>
          <w:tcPr>
            <w:tcW w:w="1158" w:type="dxa"/>
          </w:tcPr>
          <w:p w:rsidR="002265C7" w:rsidRPr="00856F57" w:rsidRDefault="002265C7" w:rsidP="002265C7">
            <w:pPr>
              <w:pStyle w:val="TableFigText"/>
              <w:keepNext/>
              <w:jc w:val="right"/>
              <w:rPr>
                <w:rFonts w:asciiTheme="minorHAnsi" w:hAnsiTheme="minorHAnsi" w:cstheme="minorHAnsi"/>
                <w:b/>
                <w:szCs w:val="22"/>
              </w:rPr>
            </w:pPr>
            <w:r w:rsidRPr="00856F57">
              <w:rPr>
                <w:rFonts w:asciiTheme="minorHAnsi" w:hAnsiTheme="minorHAnsi" w:cstheme="minorHAnsi"/>
                <w:b/>
                <w:szCs w:val="22"/>
              </w:rPr>
              <w:t>Major cities</w:t>
            </w:r>
          </w:p>
        </w:tc>
        <w:tc>
          <w:tcPr>
            <w:tcW w:w="1350" w:type="dxa"/>
          </w:tcPr>
          <w:p w:rsidR="002265C7" w:rsidRPr="00856F57" w:rsidRDefault="002265C7" w:rsidP="002265C7">
            <w:pPr>
              <w:pStyle w:val="TableFigText"/>
              <w:keepNext/>
              <w:jc w:val="right"/>
              <w:rPr>
                <w:rFonts w:asciiTheme="minorHAnsi" w:hAnsiTheme="minorHAnsi" w:cstheme="minorHAnsi"/>
                <w:b/>
                <w:szCs w:val="22"/>
              </w:rPr>
            </w:pPr>
            <w:r w:rsidRPr="00856F57">
              <w:rPr>
                <w:rFonts w:asciiTheme="minorHAnsi" w:hAnsiTheme="minorHAnsi" w:cstheme="minorHAnsi"/>
                <w:b/>
                <w:szCs w:val="22"/>
              </w:rPr>
              <w:t>Inner regional</w:t>
            </w:r>
          </w:p>
        </w:tc>
        <w:tc>
          <w:tcPr>
            <w:tcW w:w="1225" w:type="dxa"/>
          </w:tcPr>
          <w:p w:rsidR="002265C7" w:rsidRPr="00856F57" w:rsidRDefault="002265C7" w:rsidP="002265C7">
            <w:pPr>
              <w:pStyle w:val="TableFigText"/>
              <w:keepNext/>
              <w:jc w:val="right"/>
              <w:rPr>
                <w:rFonts w:asciiTheme="minorHAnsi" w:hAnsiTheme="minorHAnsi" w:cstheme="minorHAnsi"/>
                <w:b/>
                <w:szCs w:val="22"/>
              </w:rPr>
            </w:pPr>
            <w:r w:rsidRPr="00856F57">
              <w:rPr>
                <w:rFonts w:asciiTheme="minorHAnsi" w:hAnsiTheme="minorHAnsi" w:cstheme="minorHAnsi"/>
                <w:b/>
                <w:szCs w:val="22"/>
              </w:rPr>
              <w:t>Outer regional</w:t>
            </w:r>
          </w:p>
        </w:tc>
        <w:tc>
          <w:tcPr>
            <w:tcW w:w="1024" w:type="dxa"/>
          </w:tcPr>
          <w:p w:rsidR="002265C7" w:rsidRPr="00856F57" w:rsidRDefault="002265C7" w:rsidP="002265C7">
            <w:pPr>
              <w:pStyle w:val="TableFigText"/>
              <w:keepNext/>
              <w:jc w:val="right"/>
              <w:rPr>
                <w:rFonts w:asciiTheme="minorHAnsi" w:hAnsiTheme="minorHAnsi" w:cstheme="minorHAnsi"/>
                <w:b/>
                <w:szCs w:val="22"/>
              </w:rPr>
            </w:pPr>
            <w:r w:rsidRPr="00856F57">
              <w:rPr>
                <w:rFonts w:asciiTheme="minorHAnsi" w:hAnsiTheme="minorHAnsi" w:cstheme="minorHAnsi"/>
                <w:b/>
                <w:szCs w:val="22"/>
              </w:rPr>
              <w:t>Remote</w:t>
            </w:r>
          </w:p>
        </w:tc>
        <w:tc>
          <w:tcPr>
            <w:tcW w:w="1066" w:type="dxa"/>
          </w:tcPr>
          <w:p w:rsidR="002265C7" w:rsidRPr="00856F57" w:rsidRDefault="002265C7" w:rsidP="002265C7">
            <w:pPr>
              <w:pStyle w:val="TableFigText"/>
              <w:keepNext/>
              <w:jc w:val="right"/>
              <w:rPr>
                <w:rFonts w:asciiTheme="minorHAnsi" w:hAnsiTheme="minorHAnsi" w:cstheme="minorHAnsi"/>
                <w:b/>
                <w:szCs w:val="22"/>
              </w:rPr>
            </w:pPr>
            <w:r w:rsidRPr="00856F57">
              <w:rPr>
                <w:rFonts w:asciiTheme="minorHAnsi" w:hAnsiTheme="minorHAnsi" w:cstheme="minorHAnsi"/>
                <w:b/>
                <w:szCs w:val="22"/>
              </w:rPr>
              <w:t>Very remote</w:t>
            </w:r>
          </w:p>
        </w:tc>
        <w:tc>
          <w:tcPr>
            <w:tcW w:w="1059" w:type="dxa"/>
          </w:tcPr>
          <w:p w:rsidR="002265C7" w:rsidRPr="00856F57" w:rsidRDefault="002265C7" w:rsidP="002265C7">
            <w:pPr>
              <w:pStyle w:val="TableFigText"/>
              <w:keepNext/>
              <w:jc w:val="right"/>
              <w:rPr>
                <w:rFonts w:asciiTheme="minorHAnsi" w:hAnsiTheme="minorHAnsi" w:cstheme="minorHAnsi"/>
                <w:b/>
                <w:szCs w:val="22"/>
              </w:rPr>
            </w:pPr>
            <w:r w:rsidRPr="00856F57">
              <w:rPr>
                <w:rFonts w:asciiTheme="minorHAnsi" w:hAnsiTheme="minorHAnsi" w:cstheme="minorHAnsi"/>
                <w:b/>
                <w:szCs w:val="22"/>
              </w:rPr>
              <w:t>Total</w:t>
            </w:r>
            <w:r w:rsidRPr="00E86D05">
              <w:rPr>
                <w:rFonts w:asciiTheme="minorHAnsi" w:hAnsiTheme="minorHAnsi" w:cstheme="minorHAnsi"/>
                <w:b/>
                <w:szCs w:val="22"/>
                <w:vertAlign w:val="superscript"/>
              </w:rPr>
              <w:t>(a)</w:t>
            </w:r>
          </w:p>
        </w:tc>
      </w:tr>
      <w:tr w:rsidR="002265C7" w:rsidRPr="00856F57" w:rsidTr="002265C7">
        <w:tc>
          <w:tcPr>
            <w:tcW w:w="2404" w:type="dxa"/>
          </w:tcPr>
          <w:p w:rsidR="002265C7" w:rsidRPr="00856F57" w:rsidRDefault="002265C7" w:rsidP="002265C7">
            <w:pPr>
              <w:pStyle w:val="TableFigText"/>
              <w:keepNext/>
              <w:rPr>
                <w:rFonts w:asciiTheme="minorHAnsi" w:hAnsiTheme="minorHAnsi" w:cstheme="minorHAnsi"/>
                <w:szCs w:val="22"/>
              </w:rPr>
            </w:pPr>
            <w:r w:rsidRPr="00856F57">
              <w:rPr>
                <w:rFonts w:asciiTheme="minorHAnsi" w:hAnsiTheme="minorHAnsi" w:cstheme="minorHAnsi"/>
                <w:szCs w:val="22"/>
              </w:rPr>
              <w:t>Consultant psychiatrists and psychiatrists</w:t>
            </w:r>
          </w:p>
        </w:tc>
        <w:tc>
          <w:tcPr>
            <w:tcW w:w="1158" w:type="dxa"/>
            <w:vAlign w:val="bottom"/>
          </w:tcPr>
          <w:p w:rsidR="002265C7" w:rsidRPr="001726A2" w:rsidRDefault="002265C7" w:rsidP="00A37EDF">
            <w:pPr>
              <w:pStyle w:val="TableFigText"/>
              <w:jc w:val="right"/>
            </w:pPr>
            <w:r w:rsidRPr="001726A2">
              <w:t>128.7</w:t>
            </w:r>
          </w:p>
        </w:tc>
        <w:tc>
          <w:tcPr>
            <w:tcW w:w="1350" w:type="dxa"/>
            <w:vAlign w:val="bottom"/>
          </w:tcPr>
          <w:p w:rsidR="002265C7" w:rsidRPr="001726A2" w:rsidRDefault="002265C7" w:rsidP="00A37EDF">
            <w:pPr>
              <w:pStyle w:val="TableFigText"/>
              <w:jc w:val="right"/>
            </w:pPr>
            <w:r w:rsidRPr="001726A2">
              <w:t>9.1</w:t>
            </w:r>
          </w:p>
        </w:tc>
        <w:tc>
          <w:tcPr>
            <w:tcW w:w="1225" w:type="dxa"/>
            <w:vAlign w:val="bottom"/>
          </w:tcPr>
          <w:p w:rsidR="002265C7" w:rsidRPr="001726A2" w:rsidRDefault="002265C7" w:rsidP="00A37EDF">
            <w:pPr>
              <w:pStyle w:val="TableFigText"/>
              <w:jc w:val="right"/>
            </w:pPr>
            <w:r w:rsidRPr="001726A2">
              <w:t>5.5</w:t>
            </w:r>
          </w:p>
        </w:tc>
        <w:tc>
          <w:tcPr>
            <w:tcW w:w="1024" w:type="dxa"/>
            <w:vAlign w:val="bottom"/>
          </w:tcPr>
          <w:p w:rsidR="002265C7" w:rsidRPr="001726A2" w:rsidRDefault="002265C7" w:rsidP="00A37EDF">
            <w:pPr>
              <w:pStyle w:val="TableFigText"/>
              <w:jc w:val="right"/>
            </w:pPr>
            <w:r w:rsidRPr="001726A2">
              <w:t>3.5</w:t>
            </w:r>
          </w:p>
        </w:tc>
        <w:tc>
          <w:tcPr>
            <w:tcW w:w="1066" w:type="dxa"/>
            <w:vAlign w:val="bottom"/>
          </w:tcPr>
          <w:p w:rsidR="002265C7" w:rsidRPr="001726A2" w:rsidRDefault="002265C7" w:rsidP="00A37EDF">
            <w:pPr>
              <w:pStyle w:val="TableFigText"/>
              <w:jc w:val="right"/>
            </w:pPr>
            <w:r w:rsidRPr="001726A2">
              <w:t>0.5</w:t>
            </w:r>
          </w:p>
        </w:tc>
        <w:tc>
          <w:tcPr>
            <w:tcW w:w="1059" w:type="dxa"/>
            <w:vAlign w:val="bottom"/>
          </w:tcPr>
          <w:p w:rsidR="002265C7" w:rsidRPr="001726A2" w:rsidRDefault="002265C7" w:rsidP="00A37EDF">
            <w:pPr>
              <w:pStyle w:val="TableFigText"/>
              <w:jc w:val="right"/>
            </w:pPr>
            <w:r w:rsidRPr="001726A2">
              <w:t>147.3</w:t>
            </w:r>
          </w:p>
        </w:tc>
      </w:tr>
      <w:tr w:rsidR="002265C7" w:rsidRPr="00856F57" w:rsidTr="002265C7">
        <w:tc>
          <w:tcPr>
            <w:tcW w:w="2404" w:type="dxa"/>
          </w:tcPr>
          <w:p w:rsidR="002265C7" w:rsidRPr="00856F57" w:rsidRDefault="002265C7" w:rsidP="002265C7">
            <w:pPr>
              <w:pStyle w:val="TableFigText"/>
              <w:keepNext/>
              <w:rPr>
                <w:rFonts w:asciiTheme="minorHAnsi" w:hAnsiTheme="minorHAnsi" w:cstheme="minorHAnsi"/>
                <w:szCs w:val="22"/>
              </w:rPr>
            </w:pPr>
            <w:r w:rsidRPr="00856F57">
              <w:rPr>
                <w:rFonts w:asciiTheme="minorHAnsi" w:hAnsiTheme="minorHAnsi" w:cstheme="minorHAnsi"/>
                <w:szCs w:val="22"/>
              </w:rPr>
              <w:t>Psychiatry registrars and trainees</w:t>
            </w:r>
          </w:p>
        </w:tc>
        <w:tc>
          <w:tcPr>
            <w:tcW w:w="1158" w:type="dxa"/>
            <w:vAlign w:val="bottom"/>
          </w:tcPr>
          <w:p w:rsidR="002265C7" w:rsidRPr="001726A2" w:rsidRDefault="002265C7" w:rsidP="00A37EDF">
            <w:pPr>
              <w:pStyle w:val="TableFigText"/>
              <w:jc w:val="right"/>
            </w:pPr>
            <w:r w:rsidRPr="001726A2">
              <w:t>108.0</w:t>
            </w:r>
          </w:p>
        </w:tc>
        <w:tc>
          <w:tcPr>
            <w:tcW w:w="1350" w:type="dxa"/>
            <w:vAlign w:val="bottom"/>
          </w:tcPr>
          <w:p w:rsidR="002265C7" w:rsidRPr="001726A2" w:rsidRDefault="002265C7" w:rsidP="00A37EDF">
            <w:pPr>
              <w:pStyle w:val="TableFigText"/>
              <w:jc w:val="right"/>
            </w:pPr>
            <w:r w:rsidRPr="001726A2">
              <w:t>2.7</w:t>
            </w:r>
          </w:p>
        </w:tc>
        <w:tc>
          <w:tcPr>
            <w:tcW w:w="1225" w:type="dxa"/>
            <w:vAlign w:val="bottom"/>
          </w:tcPr>
          <w:p w:rsidR="002265C7" w:rsidRPr="001726A2" w:rsidRDefault="002265C7" w:rsidP="00A37EDF">
            <w:pPr>
              <w:pStyle w:val="TableFigText"/>
              <w:jc w:val="right"/>
            </w:pPr>
            <w:r w:rsidRPr="001726A2">
              <w:t>3.3</w:t>
            </w:r>
          </w:p>
        </w:tc>
        <w:tc>
          <w:tcPr>
            <w:tcW w:w="1024" w:type="dxa"/>
            <w:vAlign w:val="bottom"/>
          </w:tcPr>
          <w:p w:rsidR="002265C7" w:rsidRPr="001726A2" w:rsidRDefault="002265C7" w:rsidP="00A37EDF">
            <w:pPr>
              <w:pStyle w:val="TableFigText"/>
              <w:jc w:val="right"/>
            </w:pPr>
            <w:r w:rsidRPr="001726A2">
              <w:t>1.0</w:t>
            </w:r>
          </w:p>
        </w:tc>
        <w:tc>
          <w:tcPr>
            <w:tcW w:w="1066" w:type="dxa"/>
            <w:vAlign w:val="bottom"/>
          </w:tcPr>
          <w:p w:rsidR="002265C7" w:rsidRPr="001726A2" w:rsidRDefault="002265C7" w:rsidP="00A37EDF">
            <w:pPr>
              <w:pStyle w:val="TableFigText"/>
              <w:jc w:val="right"/>
            </w:pPr>
            <w:r w:rsidRPr="001726A2">
              <w:t>0.2</w:t>
            </w:r>
          </w:p>
        </w:tc>
        <w:tc>
          <w:tcPr>
            <w:tcW w:w="1059" w:type="dxa"/>
            <w:vAlign w:val="bottom"/>
          </w:tcPr>
          <w:p w:rsidR="002265C7" w:rsidRPr="001726A2" w:rsidRDefault="002265C7" w:rsidP="00A37EDF">
            <w:pPr>
              <w:pStyle w:val="TableFigText"/>
              <w:jc w:val="right"/>
            </w:pPr>
            <w:r w:rsidRPr="001726A2">
              <w:t>115.2</w:t>
            </w:r>
          </w:p>
        </w:tc>
      </w:tr>
      <w:tr w:rsidR="002265C7" w:rsidRPr="00856F57" w:rsidTr="002265C7">
        <w:tc>
          <w:tcPr>
            <w:tcW w:w="2404" w:type="dxa"/>
          </w:tcPr>
          <w:p w:rsidR="002265C7" w:rsidRPr="00856F57" w:rsidRDefault="002265C7" w:rsidP="002265C7">
            <w:pPr>
              <w:pStyle w:val="TableFigText"/>
              <w:keepNext/>
              <w:rPr>
                <w:rFonts w:asciiTheme="minorHAnsi" w:hAnsiTheme="minorHAnsi" w:cstheme="minorHAnsi"/>
                <w:szCs w:val="22"/>
              </w:rPr>
            </w:pPr>
            <w:r w:rsidRPr="00856F57">
              <w:rPr>
                <w:rFonts w:asciiTheme="minorHAnsi" w:hAnsiTheme="minorHAnsi" w:cstheme="minorHAnsi"/>
                <w:szCs w:val="22"/>
              </w:rPr>
              <w:t>Other medical officers</w:t>
            </w:r>
          </w:p>
        </w:tc>
        <w:tc>
          <w:tcPr>
            <w:tcW w:w="1158" w:type="dxa"/>
            <w:vAlign w:val="bottom"/>
          </w:tcPr>
          <w:p w:rsidR="002265C7" w:rsidRPr="001726A2" w:rsidRDefault="002265C7" w:rsidP="00A37EDF">
            <w:pPr>
              <w:pStyle w:val="TableFigText"/>
              <w:jc w:val="right"/>
            </w:pPr>
            <w:r w:rsidRPr="001726A2">
              <w:t>78.4</w:t>
            </w:r>
          </w:p>
        </w:tc>
        <w:tc>
          <w:tcPr>
            <w:tcW w:w="1350" w:type="dxa"/>
            <w:vAlign w:val="bottom"/>
          </w:tcPr>
          <w:p w:rsidR="002265C7" w:rsidRPr="001726A2" w:rsidRDefault="002265C7" w:rsidP="00A37EDF">
            <w:pPr>
              <w:pStyle w:val="TableFigText"/>
              <w:jc w:val="right"/>
            </w:pPr>
            <w:r w:rsidRPr="001726A2">
              <w:t>8.2</w:t>
            </w:r>
          </w:p>
        </w:tc>
        <w:tc>
          <w:tcPr>
            <w:tcW w:w="1225" w:type="dxa"/>
            <w:vAlign w:val="bottom"/>
          </w:tcPr>
          <w:p w:rsidR="002265C7" w:rsidRPr="001726A2" w:rsidRDefault="002265C7" w:rsidP="00A37EDF">
            <w:pPr>
              <w:pStyle w:val="TableFigText"/>
              <w:jc w:val="right"/>
            </w:pPr>
            <w:r w:rsidRPr="001726A2">
              <w:t>0.2</w:t>
            </w:r>
          </w:p>
        </w:tc>
        <w:tc>
          <w:tcPr>
            <w:tcW w:w="1024" w:type="dxa"/>
            <w:vAlign w:val="bottom"/>
          </w:tcPr>
          <w:p w:rsidR="002265C7" w:rsidRPr="001726A2" w:rsidRDefault="002265C7" w:rsidP="00A37EDF">
            <w:pPr>
              <w:pStyle w:val="TableFigText"/>
              <w:jc w:val="right"/>
            </w:pPr>
            <w:r w:rsidRPr="001726A2">
              <w:t>0.0</w:t>
            </w:r>
          </w:p>
        </w:tc>
        <w:tc>
          <w:tcPr>
            <w:tcW w:w="1066" w:type="dxa"/>
            <w:vAlign w:val="bottom"/>
          </w:tcPr>
          <w:p w:rsidR="002265C7" w:rsidRPr="001726A2" w:rsidRDefault="002265C7" w:rsidP="00A37EDF">
            <w:pPr>
              <w:pStyle w:val="TableFigText"/>
              <w:jc w:val="right"/>
            </w:pPr>
            <w:r w:rsidRPr="001726A2">
              <w:t>0.0</w:t>
            </w:r>
          </w:p>
        </w:tc>
        <w:tc>
          <w:tcPr>
            <w:tcW w:w="1059" w:type="dxa"/>
            <w:vAlign w:val="bottom"/>
          </w:tcPr>
          <w:p w:rsidR="002265C7" w:rsidRPr="001726A2" w:rsidRDefault="002265C7" w:rsidP="00A37EDF">
            <w:pPr>
              <w:pStyle w:val="TableFigText"/>
              <w:jc w:val="right"/>
            </w:pPr>
            <w:r w:rsidRPr="001726A2">
              <w:t>86.9</w:t>
            </w:r>
          </w:p>
        </w:tc>
      </w:tr>
      <w:tr w:rsidR="002265C7" w:rsidRPr="00856F57" w:rsidTr="002265C7">
        <w:tc>
          <w:tcPr>
            <w:tcW w:w="2404" w:type="dxa"/>
          </w:tcPr>
          <w:p w:rsidR="002265C7" w:rsidRPr="00856F57" w:rsidRDefault="002265C7" w:rsidP="002265C7">
            <w:pPr>
              <w:pStyle w:val="TableFigText"/>
              <w:keepNext/>
              <w:rPr>
                <w:rFonts w:asciiTheme="minorHAnsi" w:hAnsiTheme="minorHAnsi" w:cstheme="minorHAnsi"/>
                <w:szCs w:val="22"/>
              </w:rPr>
            </w:pPr>
            <w:r w:rsidRPr="00856F57">
              <w:rPr>
                <w:rFonts w:asciiTheme="minorHAnsi" w:hAnsiTheme="minorHAnsi" w:cstheme="minorHAnsi"/>
                <w:szCs w:val="22"/>
              </w:rPr>
              <w:t>Psychologists</w:t>
            </w:r>
          </w:p>
        </w:tc>
        <w:tc>
          <w:tcPr>
            <w:tcW w:w="1158" w:type="dxa"/>
            <w:vAlign w:val="bottom"/>
          </w:tcPr>
          <w:p w:rsidR="002265C7" w:rsidRPr="001726A2" w:rsidRDefault="002265C7" w:rsidP="00A37EDF">
            <w:pPr>
              <w:pStyle w:val="TableFigText"/>
              <w:jc w:val="right"/>
            </w:pPr>
            <w:r w:rsidRPr="001726A2">
              <w:t>166.4</w:t>
            </w:r>
          </w:p>
        </w:tc>
        <w:tc>
          <w:tcPr>
            <w:tcW w:w="1350" w:type="dxa"/>
            <w:vAlign w:val="bottom"/>
          </w:tcPr>
          <w:p w:rsidR="002265C7" w:rsidRPr="001726A2" w:rsidRDefault="002265C7" w:rsidP="00A37EDF">
            <w:pPr>
              <w:pStyle w:val="TableFigText"/>
              <w:jc w:val="right"/>
            </w:pPr>
            <w:r w:rsidRPr="001726A2">
              <w:t>8.7</w:t>
            </w:r>
          </w:p>
        </w:tc>
        <w:tc>
          <w:tcPr>
            <w:tcW w:w="1225" w:type="dxa"/>
            <w:vAlign w:val="bottom"/>
          </w:tcPr>
          <w:p w:rsidR="002265C7" w:rsidRPr="001726A2" w:rsidRDefault="002265C7" w:rsidP="00A37EDF">
            <w:pPr>
              <w:pStyle w:val="TableFigText"/>
              <w:jc w:val="right"/>
            </w:pPr>
            <w:r w:rsidRPr="001726A2">
              <w:t>1.7</w:t>
            </w:r>
          </w:p>
        </w:tc>
        <w:tc>
          <w:tcPr>
            <w:tcW w:w="1024" w:type="dxa"/>
            <w:vAlign w:val="bottom"/>
          </w:tcPr>
          <w:p w:rsidR="002265C7" w:rsidRPr="001726A2" w:rsidRDefault="002265C7" w:rsidP="00A37EDF">
            <w:pPr>
              <w:pStyle w:val="TableFigText"/>
              <w:jc w:val="right"/>
            </w:pPr>
            <w:r w:rsidRPr="001726A2">
              <w:t>0.0</w:t>
            </w:r>
          </w:p>
        </w:tc>
        <w:tc>
          <w:tcPr>
            <w:tcW w:w="1066" w:type="dxa"/>
            <w:vAlign w:val="bottom"/>
          </w:tcPr>
          <w:p w:rsidR="002265C7" w:rsidRPr="001726A2" w:rsidRDefault="002265C7" w:rsidP="00A37EDF">
            <w:pPr>
              <w:pStyle w:val="TableFigText"/>
              <w:jc w:val="right"/>
            </w:pPr>
            <w:r w:rsidRPr="001726A2">
              <w:t>0.0</w:t>
            </w:r>
          </w:p>
        </w:tc>
        <w:tc>
          <w:tcPr>
            <w:tcW w:w="1059" w:type="dxa"/>
            <w:vAlign w:val="bottom"/>
          </w:tcPr>
          <w:p w:rsidR="002265C7" w:rsidRPr="001726A2" w:rsidRDefault="002265C7" w:rsidP="00A37EDF">
            <w:pPr>
              <w:pStyle w:val="TableFigText"/>
              <w:jc w:val="right"/>
            </w:pPr>
            <w:r w:rsidRPr="001726A2">
              <w:t>176.8</w:t>
            </w:r>
          </w:p>
        </w:tc>
      </w:tr>
      <w:tr w:rsidR="002265C7" w:rsidRPr="00856F57" w:rsidTr="002265C7">
        <w:tc>
          <w:tcPr>
            <w:tcW w:w="2404" w:type="dxa"/>
          </w:tcPr>
          <w:p w:rsidR="002265C7" w:rsidRPr="00856F57" w:rsidRDefault="002265C7" w:rsidP="002265C7">
            <w:pPr>
              <w:pStyle w:val="TableFigText"/>
              <w:keepNext/>
              <w:rPr>
                <w:rFonts w:asciiTheme="minorHAnsi" w:hAnsiTheme="minorHAnsi" w:cstheme="minorHAnsi"/>
                <w:szCs w:val="22"/>
              </w:rPr>
            </w:pPr>
            <w:r w:rsidRPr="00856F57">
              <w:rPr>
                <w:rFonts w:asciiTheme="minorHAnsi" w:hAnsiTheme="minorHAnsi" w:cstheme="minorHAnsi"/>
                <w:szCs w:val="22"/>
              </w:rPr>
              <w:t>Diagnostic and health professionals</w:t>
            </w:r>
            <w:r w:rsidRPr="00856F57">
              <w:rPr>
                <w:rFonts w:asciiTheme="minorHAnsi" w:hAnsiTheme="minorHAnsi" w:cstheme="minorHAnsi"/>
                <w:szCs w:val="22"/>
                <w:vertAlign w:val="superscript"/>
              </w:rPr>
              <w:t>(b)</w:t>
            </w:r>
          </w:p>
        </w:tc>
        <w:tc>
          <w:tcPr>
            <w:tcW w:w="1158" w:type="dxa"/>
            <w:vAlign w:val="bottom"/>
          </w:tcPr>
          <w:p w:rsidR="002265C7" w:rsidRPr="001726A2" w:rsidRDefault="002265C7" w:rsidP="00A37EDF">
            <w:pPr>
              <w:pStyle w:val="TableFigText"/>
              <w:jc w:val="right"/>
            </w:pPr>
            <w:r w:rsidRPr="001726A2">
              <w:t>431.6</w:t>
            </w:r>
          </w:p>
        </w:tc>
        <w:tc>
          <w:tcPr>
            <w:tcW w:w="1350" w:type="dxa"/>
            <w:vAlign w:val="bottom"/>
          </w:tcPr>
          <w:p w:rsidR="002265C7" w:rsidRPr="001726A2" w:rsidRDefault="002265C7" w:rsidP="00A37EDF">
            <w:pPr>
              <w:pStyle w:val="TableFigText"/>
              <w:jc w:val="right"/>
            </w:pPr>
            <w:r w:rsidRPr="001726A2">
              <w:t>40.7</w:t>
            </w:r>
          </w:p>
        </w:tc>
        <w:tc>
          <w:tcPr>
            <w:tcW w:w="1225" w:type="dxa"/>
            <w:vAlign w:val="bottom"/>
          </w:tcPr>
          <w:p w:rsidR="002265C7" w:rsidRPr="001726A2" w:rsidRDefault="002265C7" w:rsidP="00A37EDF">
            <w:pPr>
              <w:pStyle w:val="TableFigText"/>
              <w:jc w:val="right"/>
            </w:pPr>
            <w:r w:rsidRPr="001726A2">
              <w:t>36.9</w:t>
            </w:r>
          </w:p>
        </w:tc>
        <w:tc>
          <w:tcPr>
            <w:tcW w:w="1024" w:type="dxa"/>
            <w:vAlign w:val="bottom"/>
          </w:tcPr>
          <w:p w:rsidR="002265C7" w:rsidRPr="001726A2" w:rsidRDefault="002265C7" w:rsidP="00A37EDF">
            <w:pPr>
              <w:pStyle w:val="TableFigText"/>
              <w:jc w:val="right"/>
            </w:pPr>
            <w:r w:rsidRPr="001726A2">
              <w:t>18.7</w:t>
            </w:r>
          </w:p>
        </w:tc>
        <w:tc>
          <w:tcPr>
            <w:tcW w:w="1066" w:type="dxa"/>
            <w:vAlign w:val="bottom"/>
          </w:tcPr>
          <w:p w:rsidR="002265C7" w:rsidRPr="001726A2" w:rsidRDefault="002265C7" w:rsidP="00A37EDF">
            <w:pPr>
              <w:pStyle w:val="TableFigText"/>
              <w:jc w:val="right"/>
            </w:pPr>
            <w:r w:rsidRPr="001726A2">
              <w:t>2.2</w:t>
            </w:r>
          </w:p>
        </w:tc>
        <w:tc>
          <w:tcPr>
            <w:tcW w:w="1059" w:type="dxa"/>
            <w:vAlign w:val="bottom"/>
          </w:tcPr>
          <w:p w:rsidR="002265C7" w:rsidRPr="001726A2" w:rsidRDefault="002265C7" w:rsidP="00A37EDF">
            <w:pPr>
              <w:pStyle w:val="TableFigText"/>
              <w:jc w:val="right"/>
            </w:pPr>
            <w:r w:rsidRPr="001726A2">
              <w:t>530.1</w:t>
            </w:r>
          </w:p>
        </w:tc>
      </w:tr>
      <w:tr w:rsidR="002265C7" w:rsidRPr="00856F57" w:rsidTr="002265C7">
        <w:tc>
          <w:tcPr>
            <w:tcW w:w="2404" w:type="dxa"/>
          </w:tcPr>
          <w:p w:rsidR="002265C7" w:rsidRPr="00856F57" w:rsidRDefault="002265C7" w:rsidP="002265C7">
            <w:pPr>
              <w:pStyle w:val="TableFigText"/>
              <w:keepNext/>
              <w:rPr>
                <w:rFonts w:asciiTheme="minorHAnsi" w:hAnsiTheme="minorHAnsi" w:cstheme="minorHAnsi"/>
                <w:szCs w:val="22"/>
              </w:rPr>
            </w:pPr>
            <w:r w:rsidRPr="00856F57">
              <w:rPr>
                <w:rFonts w:asciiTheme="minorHAnsi" w:hAnsiTheme="minorHAnsi" w:cstheme="minorHAnsi"/>
                <w:szCs w:val="22"/>
              </w:rPr>
              <w:t>Nurses</w:t>
            </w:r>
            <w:r w:rsidRPr="00856F57">
              <w:rPr>
                <w:rFonts w:asciiTheme="minorHAnsi" w:hAnsiTheme="minorHAnsi" w:cstheme="minorHAnsi"/>
                <w:szCs w:val="22"/>
                <w:vertAlign w:val="superscript"/>
              </w:rPr>
              <w:t>(c)</w:t>
            </w:r>
          </w:p>
        </w:tc>
        <w:tc>
          <w:tcPr>
            <w:tcW w:w="1158" w:type="dxa"/>
            <w:vAlign w:val="bottom"/>
          </w:tcPr>
          <w:p w:rsidR="002265C7" w:rsidRPr="001726A2" w:rsidRDefault="002265C7" w:rsidP="00A37EDF">
            <w:pPr>
              <w:pStyle w:val="TableFigText"/>
              <w:jc w:val="right"/>
            </w:pPr>
            <w:r w:rsidRPr="001726A2">
              <w:t>1,506.1</w:t>
            </w:r>
          </w:p>
        </w:tc>
        <w:tc>
          <w:tcPr>
            <w:tcW w:w="1350" w:type="dxa"/>
            <w:vAlign w:val="bottom"/>
          </w:tcPr>
          <w:p w:rsidR="002265C7" w:rsidRPr="001726A2" w:rsidRDefault="002265C7" w:rsidP="00A37EDF">
            <w:pPr>
              <w:pStyle w:val="TableFigText"/>
              <w:jc w:val="right"/>
            </w:pPr>
            <w:r w:rsidRPr="001726A2">
              <w:t>96.8</w:t>
            </w:r>
          </w:p>
        </w:tc>
        <w:tc>
          <w:tcPr>
            <w:tcW w:w="1225" w:type="dxa"/>
            <w:vAlign w:val="bottom"/>
          </w:tcPr>
          <w:p w:rsidR="002265C7" w:rsidRPr="001726A2" w:rsidRDefault="002265C7" w:rsidP="00A37EDF">
            <w:pPr>
              <w:pStyle w:val="TableFigText"/>
              <w:jc w:val="right"/>
            </w:pPr>
            <w:r w:rsidRPr="001726A2">
              <w:t>59.0</w:t>
            </w:r>
          </w:p>
        </w:tc>
        <w:tc>
          <w:tcPr>
            <w:tcW w:w="1024" w:type="dxa"/>
            <w:vAlign w:val="bottom"/>
          </w:tcPr>
          <w:p w:rsidR="002265C7" w:rsidRPr="001726A2" w:rsidRDefault="002265C7" w:rsidP="00A37EDF">
            <w:pPr>
              <w:pStyle w:val="TableFigText"/>
              <w:jc w:val="right"/>
            </w:pPr>
            <w:r w:rsidRPr="001726A2">
              <w:t>19.2</w:t>
            </w:r>
          </w:p>
        </w:tc>
        <w:tc>
          <w:tcPr>
            <w:tcW w:w="1066" w:type="dxa"/>
            <w:vAlign w:val="bottom"/>
          </w:tcPr>
          <w:p w:rsidR="002265C7" w:rsidRPr="001726A2" w:rsidRDefault="002265C7" w:rsidP="00A37EDF">
            <w:pPr>
              <w:pStyle w:val="TableFigText"/>
              <w:jc w:val="right"/>
            </w:pPr>
            <w:r w:rsidRPr="001726A2">
              <w:t>2.7</w:t>
            </w:r>
          </w:p>
        </w:tc>
        <w:tc>
          <w:tcPr>
            <w:tcW w:w="1059" w:type="dxa"/>
            <w:vAlign w:val="bottom"/>
          </w:tcPr>
          <w:p w:rsidR="002265C7" w:rsidRPr="001726A2" w:rsidRDefault="002265C7" w:rsidP="00A37EDF">
            <w:pPr>
              <w:pStyle w:val="TableFigText"/>
              <w:jc w:val="right"/>
            </w:pPr>
            <w:r w:rsidRPr="001726A2">
              <w:t>1,683.8</w:t>
            </w:r>
          </w:p>
        </w:tc>
      </w:tr>
      <w:tr w:rsidR="002265C7" w:rsidRPr="00856F57" w:rsidTr="002265C7">
        <w:tc>
          <w:tcPr>
            <w:tcW w:w="2404" w:type="dxa"/>
          </w:tcPr>
          <w:p w:rsidR="002265C7" w:rsidRPr="00856F57" w:rsidRDefault="002265C7" w:rsidP="002265C7">
            <w:pPr>
              <w:pStyle w:val="TableFigText"/>
              <w:keepNext/>
              <w:rPr>
                <w:rFonts w:asciiTheme="minorHAnsi" w:hAnsiTheme="minorHAnsi" w:cstheme="minorHAnsi"/>
                <w:szCs w:val="22"/>
              </w:rPr>
            </w:pPr>
            <w:r w:rsidRPr="00856F57">
              <w:rPr>
                <w:rFonts w:asciiTheme="minorHAnsi" w:hAnsiTheme="minorHAnsi" w:cstheme="minorHAnsi"/>
                <w:szCs w:val="22"/>
              </w:rPr>
              <w:t>Carer workers</w:t>
            </w:r>
            <w:r w:rsidRPr="00856F57">
              <w:rPr>
                <w:rFonts w:asciiTheme="minorHAnsi" w:hAnsiTheme="minorHAnsi" w:cstheme="minorHAnsi"/>
                <w:szCs w:val="22"/>
                <w:vertAlign w:val="superscript"/>
              </w:rPr>
              <w:t>(d)</w:t>
            </w:r>
          </w:p>
        </w:tc>
        <w:tc>
          <w:tcPr>
            <w:tcW w:w="1158" w:type="dxa"/>
            <w:vAlign w:val="bottom"/>
          </w:tcPr>
          <w:p w:rsidR="002265C7" w:rsidRPr="001726A2" w:rsidRDefault="002265C7" w:rsidP="00A37EDF">
            <w:pPr>
              <w:pStyle w:val="TableFigText"/>
              <w:jc w:val="right"/>
            </w:pPr>
            <w:r w:rsidRPr="001726A2">
              <w:t>0.2</w:t>
            </w:r>
          </w:p>
        </w:tc>
        <w:tc>
          <w:tcPr>
            <w:tcW w:w="1350" w:type="dxa"/>
            <w:vAlign w:val="bottom"/>
          </w:tcPr>
          <w:p w:rsidR="002265C7" w:rsidRPr="001726A2" w:rsidRDefault="002265C7" w:rsidP="00A37EDF">
            <w:pPr>
              <w:pStyle w:val="TableFigText"/>
              <w:jc w:val="right"/>
            </w:pPr>
            <w:r w:rsidRPr="001726A2">
              <w:t>0.0</w:t>
            </w:r>
          </w:p>
        </w:tc>
        <w:tc>
          <w:tcPr>
            <w:tcW w:w="1225" w:type="dxa"/>
            <w:vAlign w:val="bottom"/>
          </w:tcPr>
          <w:p w:rsidR="002265C7" w:rsidRPr="001726A2" w:rsidRDefault="002265C7" w:rsidP="00A37EDF">
            <w:pPr>
              <w:pStyle w:val="TableFigText"/>
              <w:jc w:val="right"/>
            </w:pPr>
            <w:r w:rsidRPr="001726A2">
              <w:t>0.0</w:t>
            </w:r>
          </w:p>
        </w:tc>
        <w:tc>
          <w:tcPr>
            <w:tcW w:w="1024" w:type="dxa"/>
            <w:vAlign w:val="bottom"/>
          </w:tcPr>
          <w:p w:rsidR="002265C7" w:rsidRPr="001726A2" w:rsidRDefault="002265C7" w:rsidP="00A37EDF">
            <w:pPr>
              <w:pStyle w:val="TableFigText"/>
              <w:jc w:val="right"/>
            </w:pPr>
            <w:r w:rsidRPr="001726A2">
              <w:t>0.0</w:t>
            </w:r>
          </w:p>
        </w:tc>
        <w:tc>
          <w:tcPr>
            <w:tcW w:w="1066" w:type="dxa"/>
            <w:vAlign w:val="bottom"/>
          </w:tcPr>
          <w:p w:rsidR="002265C7" w:rsidRPr="001726A2" w:rsidRDefault="002265C7" w:rsidP="00A37EDF">
            <w:pPr>
              <w:pStyle w:val="TableFigText"/>
              <w:jc w:val="right"/>
            </w:pPr>
            <w:r w:rsidRPr="001726A2">
              <w:t>0.0</w:t>
            </w:r>
          </w:p>
        </w:tc>
        <w:tc>
          <w:tcPr>
            <w:tcW w:w="1059" w:type="dxa"/>
            <w:vAlign w:val="bottom"/>
          </w:tcPr>
          <w:p w:rsidR="002265C7" w:rsidRPr="001726A2" w:rsidRDefault="002265C7" w:rsidP="00A37EDF">
            <w:pPr>
              <w:pStyle w:val="TableFigText"/>
              <w:jc w:val="right"/>
            </w:pPr>
            <w:r w:rsidRPr="001726A2">
              <w:t>0.2</w:t>
            </w:r>
          </w:p>
        </w:tc>
      </w:tr>
      <w:tr w:rsidR="002265C7" w:rsidRPr="00856F57" w:rsidTr="002265C7">
        <w:tc>
          <w:tcPr>
            <w:tcW w:w="2404" w:type="dxa"/>
          </w:tcPr>
          <w:p w:rsidR="002265C7" w:rsidRPr="00856F57" w:rsidRDefault="002265C7" w:rsidP="002265C7">
            <w:pPr>
              <w:pStyle w:val="TableFigText"/>
              <w:keepNext/>
              <w:rPr>
                <w:rFonts w:asciiTheme="minorHAnsi" w:hAnsiTheme="minorHAnsi" w:cstheme="minorHAnsi"/>
                <w:szCs w:val="22"/>
              </w:rPr>
            </w:pPr>
            <w:r w:rsidRPr="00856F57">
              <w:rPr>
                <w:rFonts w:asciiTheme="minorHAnsi" w:hAnsiTheme="minorHAnsi" w:cstheme="minorHAnsi"/>
                <w:szCs w:val="22"/>
              </w:rPr>
              <w:t>Consumer workers</w:t>
            </w:r>
            <w:r w:rsidRPr="00856F57">
              <w:rPr>
                <w:rFonts w:asciiTheme="minorHAnsi" w:hAnsiTheme="minorHAnsi" w:cstheme="minorHAnsi"/>
                <w:szCs w:val="22"/>
                <w:vertAlign w:val="superscript"/>
              </w:rPr>
              <w:t>(d)</w:t>
            </w:r>
          </w:p>
        </w:tc>
        <w:tc>
          <w:tcPr>
            <w:tcW w:w="1158" w:type="dxa"/>
            <w:vAlign w:val="bottom"/>
          </w:tcPr>
          <w:p w:rsidR="002265C7" w:rsidRPr="001726A2" w:rsidRDefault="002265C7" w:rsidP="00A37EDF">
            <w:pPr>
              <w:pStyle w:val="TableFigText"/>
              <w:jc w:val="right"/>
            </w:pPr>
            <w:r w:rsidRPr="001726A2">
              <w:t>2.0</w:t>
            </w:r>
          </w:p>
        </w:tc>
        <w:tc>
          <w:tcPr>
            <w:tcW w:w="1350" w:type="dxa"/>
            <w:vAlign w:val="bottom"/>
          </w:tcPr>
          <w:p w:rsidR="002265C7" w:rsidRPr="001726A2" w:rsidRDefault="002265C7" w:rsidP="00A37EDF">
            <w:pPr>
              <w:pStyle w:val="TableFigText"/>
              <w:jc w:val="right"/>
            </w:pPr>
            <w:r w:rsidRPr="001726A2">
              <w:t>0.0</w:t>
            </w:r>
          </w:p>
        </w:tc>
        <w:tc>
          <w:tcPr>
            <w:tcW w:w="1225" w:type="dxa"/>
            <w:vAlign w:val="bottom"/>
          </w:tcPr>
          <w:p w:rsidR="002265C7" w:rsidRPr="001726A2" w:rsidRDefault="002265C7" w:rsidP="00A37EDF">
            <w:pPr>
              <w:pStyle w:val="TableFigText"/>
              <w:jc w:val="right"/>
            </w:pPr>
            <w:r w:rsidRPr="001726A2">
              <w:t>0.0</w:t>
            </w:r>
          </w:p>
        </w:tc>
        <w:tc>
          <w:tcPr>
            <w:tcW w:w="1024" w:type="dxa"/>
            <w:vAlign w:val="bottom"/>
          </w:tcPr>
          <w:p w:rsidR="002265C7" w:rsidRPr="001726A2" w:rsidRDefault="002265C7" w:rsidP="00A37EDF">
            <w:pPr>
              <w:pStyle w:val="TableFigText"/>
              <w:jc w:val="right"/>
            </w:pPr>
            <w:r w:rsidRPr="001726A2">
              <w:t>0.0</w:t>
            </w:r>
          </w:p>
        </w:tc>
        <w:tc>
          <w:tcPr>
            <w:tcW w:w="1066" w:type="dxa"/>
            <w:vAlign w:val="bottom"/>
          </w:tcPr>
          <w:p w:rsidR="002265C7" w:rsidRPr="001726A2" w:rsidRDefault="002265C7" w:rsidP="00A37EDF">
            <w:pPr>
              <w:pStyle w:val="TableFigText"/>
              <w:jc w:val="right"/>
            </w:pPr>
            <w:r w:rsidRPr="001726A2">
              <w:t>0.0</w:t>
            </w:r>
          </w:p>
        </w:tc>
        <w:tc>
          <w:tcPr>
            <w:tcW w:w="1059" w:type="dxa"/>
            <w:vAlign w:val="bottom"/>
          </w:tcPr>
          <w:p w:rsidR="002265C7" w:rsidRPr="001726A2" w:rsidRDefault="002265C7" w:rsidP="00A37EDF">
            <w:pPr>
              <w:pStyle w:val="TableFigText"/>
              <w:jc w:val="right"/>
            </w:pPr>
            <w:r w:rsidRPr="001726A2">
              <w:t>2.0</w:t>
            </w:r>
          </w:p>
        </w:tc>
      </w:tr>
      <w:tr w:rsidR="002265C7" w:rsidRPr="00856F57" w:rsidTr="002265C7">
        <w:tc>
          <w:tcPr>
            <w:tcW w:w="2404" w:type="dxa"/>
          </w:tcPr>
          <w:p w:rsidR="002265C7" w:rsidRPr="00856F57" w:rsidRDefault="002265C7" w:rsidP="002265C7">
            <w:pPr>
              <w:pStyle w:val="TableFigText"/>
              <w:keepNext/>
              <w:rPr>
                <w:rFonts w:asciiTheme="minorHAnsi" w:hAnsiTheme="minorHAnsi" w:cstheme="minorHAnsi"/>
                <w:szCs w:val="22"/>
              </w:rPr>
            </w:pPr>
            <w:r w:rsidRPr="00856F57">
              <w:rPr>
                <w:rFonts w:asciiTheme="minorHAnsi" w:hAnsiTheme="minorHAnsi" w:cstheme="minorHAnsi"/>
                <w:szCs w:val="22"/>
              </w:rPr>
              <w:t>Other personal care</w:t>
            </w:r>
            <w:r w:rsidRPr="00856F57">
              <w:rPr>
                <w:rFonts w:asciiTheme="minorHAnsi" w:hAnsiTheme="minorHAnsi" w:cstheme="minorHAnsi"/>
                <w:szCs w:val="22"/>
                <w:vertAlign w:val="superscript"/>
              </w:rPr>
              <w:t>(e)</w:t>
            </w:r>
          </w:p>
        </w:tc>
        <w:tc>
          <w:tcPr>
            <w:tcW w:w="1158" w:type="dxa"/>
            <w:vAlign w:val="bottom"/>
          </w:tcPr>
          <w:p w:rsidR="002265C7" w:rsidRPr="001726A2" w:rsidRDefault="002265C7" w:rsidP="00A37EDF">
            <w:pPr>
              <w:pStyle w:val="TableFigText"/>
              <w:jc w:val="right"/>
            </w:pPr>
            <w:r w:rsidRPr="001726A2">
              <w:t>228.5</w:t>
            </w:r>
          </w:p>
        </w:tc>
        <w:tc>
          <w:tcPr>
            <w:tcW w:w="1350" w:type="dxa"/>
            <w:vAlign w:val="bottom"/>
          </w:tcPr>
          <w:p w:rsidR="002265C7" w:rsidRPr="001726A2" w:rsidRDefault="002265C7" w:rsidP="00A37EDF">
            <w:pPr>
              <w:pStyle w:val="TableFigText"/>
              <w:jc w:val="right"/>
            </w:pPr>
            <w:r w:rsidRPr="001726A2">
              <w:t>16.8</w:t>
            </w:r>
          </w:p>
        </w:tc>
        <w:tc>
          <w:tcPr>
            <w:tcW w:w="1225" w:type="dxa"/>
            <w:vAlign w:val="bottom"/>
          </w:tcPr>
          <w:p w:rsidR="002265C7" w:rsidRPr="001726A2" w:rsidRDefault="002265C7" w:rsidP="00A37EDF">
            <w:pPr>
              <w:pStyle w:val="TableFigText"/>
              <w:jc w:val="right"/>
            </w:pPr>
            <w:r w:rsidRPr="001726A2">
              <w:t>28.4</w:t>
            </w:r>
          </w:p>
        </w:tc>
        <w:tc>
          <w:tcPr>
            <w:tcW w:w="1024" w:type="dxa"/>
            <w:vAlign w:val="bottom"/>
          </w:tcPr>
          <w:p w:rsidR="002265C7" w:rsidRPr="001726A2" w:rsidRDefault="002265C7" w:rsidP="00A37EDF">
            <w:pPr>
              <w:pStyle w:val="TableFigText"/>
              <w:jc w:val="right"/>
            </w:pPr>
            <w:r w:rsidRPr="001726A2">
              <w:t>1.1</w:t>
            </w:r>
          </w:p>
        </w:tc>
        <w:tc>
          <w:tcPr>
            <w:tcW w:w="1066" w:type="dxa"/>
            <w:vAlign w:val="bottom"/>
          </w:tcPr>
          <w:p w:rsidR="002265C7" w:rsidRPr="001726A2" w:rsidRDefault="002265C7" w:rsidP="00A37EDF">
            <w:pPr>
              <w:pStyle w:val="TableFigText"/>
              <w:jc w:val="right"/>
            </w:pPr>
            <w:r w:rsidRPr="001726A2">
              <w:t>0.2</w:t>
            </w:r>
          </w:p>
        </w:tc>
        <w:tc>
          <w:tcPr>
            <w:tcW w:w="1059" w:type="dxa"/>
            <w:vAlign w:val="bottom"/>
          </w:tcPr>
          <w:p w:rsidR="002265C7" w:rsidRPr="001726A2" w:rsidRDefault="002265C7" w:rsidP="00A37EDF">
            <w:pPr>
              <w:pStyle w:val="TableFigText"/>
              <w:jc w:val="right"/>
            </w:pPr>
            <w:r w:rsidRPr="001726A2">
              <w:t>275.0</w:t>
            </w:r>
          </w:p>
        </w:tc>
      </w:tr>
      <w:tr w:rsidR="002265C7" w:rsidRPr="00856F57" w:rsidTr="002265C7">
        <w:tc>
          <w:tcPr>
            <w:tcW w:w="2404" w:type="dxa"/>
          </w:tcPr>
          <w:p w:rsidR="002265C7" w:rsidRPr="00856F57" w:rsidRDefault="002265C7" w:rsidP="002265C7">
            <w:pPr>
              <w:pStyle w:val="TableFigText"/>
              <w:keepNext/>
              <w:rPr>
                <w:rFonts w:asciiTheme="minorHAnsi" w:hAnsiTheme="minorHAnsi" w:cstheme="minorHAnsi"/>
                <w:szCs w:val="22"/>
              </w:rPr>
            </w:pPr>
            <w:r w:rsidRPr="00856F57">
              <w:rPr>
                <w:rFonts w:asciiTheme="minorHAnsi" w:hAnsiTheme="minorHAnsi" w:cstheme="minorHAnsi"/>
                <w:szCs w:val="22"/>
              </w:rPr>
              <w:t>Other staffing categories</w:t>
            </w:r>
            <w:r w:rsidRPr="00856F57">
              <w:rPr>
                <w:rFonts w:asciiTheme="minorHAnsi" w:hAnsiTheme="minorHAnsi" w:cstheme="minorHAnsi"/>
                <w:szCs w:val="22"/>
                <w:vertAlign w:val="superscript"/>
              </w:rPr>
              <w:t>(f)</w:t>
            </w:r>
          </w:p>
        </w:tc>
        <w:tc>
          <w:tcPr>
            <w:tcW w:w="1158" w:type="dxa"/>
            <w:vAlign w:val="bottom"/>
          </w:tcPr>
          <w:p w:rsidR="002265C7" w:rsidRPr="001726A2" w:rsidRDefault="002265C7" w:rsidP="00A37EDF">
            <w:pPr>
              <w:pStyle w:val="TableFigText"/>
              <w:jc w:val="right"/>
            </w:pPr>
            <w:r w:rsidRPr="001726A2">
              <w:t>635.8</w:t>
            </w:r>
          </w:p>
        </w:tc>
        <w:tc>
          <w:tcPr>
            <w:tcW w:w="1350" w:type="dxa"/>
            <w:vAlign w:val="bottom"/>
          </w:tcPr>
          <w:p w:rsidR="002265C7" w:rsidRPr="001726A2" w:rsidRDefault="002265C7" w:rsidP="00A37EDF">
            <w:pPr>
              <w:pStyle w:val="TableFigText"/>
              <w:jc w:val="right"/>
            </w:pPr>
            <w:r w:rsidRPr="001726A2">
              <w:t>27.8</w:t>
            </w:r>
          </w:p>
        </w:tc>
        <w:tc>
          <w:tcPr>
            <w:tcW w:w="1225" w:type="dxa"/>
            <w:vAlign w:val="bottom"/>
          </w:tcPr>
          <w:p w:rsidR="002265C7" w:rsidRPr="001726A2" w:rsidRDefault="002265C7" w:rsidP="00A37EDF">
            <w:pPr>
              <w:pStyle w:val="TableFigText"/>
              <w:jc w:val="right"/>
            </w:pPr>
            <w:r w:rsidRPr="001726A2">
              <w:t>38.0</w:t>
            </w:r>
          </w:p>
        </w:tc>
        <w:tc>
          <w:tcPr>
            <w:tcW w:w="1024" w:type="dxa"/>
            <w:vAlign w:val="bottom"/>
          </w:tcPr>
          <w:p w:rsidR="002265C7" w:rsidRPr="001726A2" w:rsidRDefault="002265C7" w:rsidP="00A37EDF">
            <w:pPr>
              <w:pStyle w:val="TableFigText"/>
              <w:jc w:val="right"/>
            </w:pPr>
            <w:r w:rsidRPr="001726A2">
              <w:t>12.9</w:t>
            </w:r>
          </w:p>
        </w:tc>
        <w:tc>
          <w:tcPr>
            <w:tcW w:w="1066" w:type="dxa"/>
            <w:vAlign w:val="bottom"/>
          </w:tcPr>
          <w:p w:rsidR="002265C7" w:rsidRPr="001726A2" w:rsidRDefault="002265C7" w:rsidP="00A37EDF">
            <w:pPr>
              <w:pStyle w:val="TableFigText"/>
              <w:jc w:val="right"/>
            </w:pPr>
            <w:r w:rsidRPr="001726A2">
              <w:t>1.7</w:t>
            </w:r>
          </w:p>
        </w:tc>
        <w:tc>
          <w:tcPr>
            <w:tcW w:w="1059" w:type="dxa"/>
            <w:vAlign w:val="bottom"/>
          </w:tcPr>
          <w:p w:rsidR="002265C7" w:rsidRPr="001726A2" w:rsidRDefault="002265C7" w:rsidP="00A37EDF">
            <w:pPr>
              <w:pStyle w:val="TableFigText"/>
              <w:jc w:val="right"/>
            </w:pPr>
            <w:r w:rsidRPr="001726A2">
              <w:t>716.2</w:t>
            </w:r>
          </w:p>
        </w:tc>
      </w:tr>
      <w:tr w:rsidR="002265C7" w:rsidRPr="00856F57" w:rsidTr="002265C7">
        <w:tc>
          <w:tcPr>
            <w:tcW w:w="2404" w:type="dxa"/>
          </w:tcPr>
          <w:p w:rsidR="002265C7" w:rsidRPr="00856F57" w:rsidRDefault="002265C7" w:rsidP="002265C7">
            <w:pPr>
              <w:pStyle w:val="TableFigText"/>
              <w:keepNext/>
              <w:rPr>
                <w:rFonts w:asciiTheme="minorHAnsi" w:hAnsiTheme="minorHAnsi" w:cstheme="minorHAnsi"/>
                <w:b/>
                <w:szCs w:val="22"/>
              </w:rPr>
            </w:pPr>
            <w:r w:rsidRPr="00856F57">
              <w:rPr>
                <w:rFonts w:asciiTheme="minorHAnsi" w:hAnsiTheme="minorHAnsi" w:cstheme="minorHAnsi"/>
                <w:b/>
                <w:szCs w:val="22"/>
              </w:rPr>
              <w:t>Total</w:t>
            </w:r>
            <w:r w:rsidRPr="00856F57">
              <w:rPr>
                <w:rFonts w:asciiTheme="minorHAnsi" w:hAnsiTheme="minorHAnsi" w:cstheme="minorHAnsi"/>
                <w:b/>
                <w:szCs w:val="22"/>
                <w:vertAlign w:val="superscript"/>
              </w:rPr>
              <w:t>(a)</w:t>
            </w:r>
          </w:p>
        </w:tc>
        <w:tc>
          <w:tcPr>
            <w:tcW w:w="1158" w:type="dxa"/>
            <w:vAlign w:val="bottom"/>
          </w:tcPr>
          <w:p w:rsidR="002265C7" w:rsidRPr="00A37EDF" w:rsidRDefault="002265C7" w:rsidP="00A37EDF">
            <w:pPr>
              <w:pStyle w:val="TableFigText"/>
              <w:jc w:val="right"/>
              <w:rPr>
                <w:b/>
              </w:rPr>
            </w:pPr>
            <w:r w:rsidRPr="00A37EDF">
              <w:rPr>
                <w:b/>
              </w:rPr>
              <w:t>3,285.6</w:t>
            </w:r>
          </w:p>
        </w:tc>
        <w:tc>
          <w:tcPr>
            <w:tcW w:w="1350" w:type="dxa"/>
            <w:vAlign w:val="bottom"/>
          </w:tcPr>
          <w:p w:rsidR="002265C7" w:rsidRPr="00A37EDF" w:rsidRDefault="002265C7" w:rsidP="00A37EDF">
            <w:pPr>
              <w:pStyle w:val="TableFigText"/>
              <w:jc w:val="right"/>
              <w:rPr>
                <w:b/>
              </w:rPr>
            </w:pPr>
            <w:r w:rsidRPr="00A37EDF">
              <w:rPr>
                <w:b/>
              </w:rPr>
              <w:t>210.9</w:t>
            </w:r>
          </w:p>
        </w:tc>
        <w:tc>
          <w:tcPr>
            <w:tcW w:w="1225" w:type="dxa"/>
            <w:vAlign w:val="bottom"/>
          </w:tcPr>
          <w:p w:rsidR="002265C7" w:rsidRPr="00A37EDF" w:rsidRDefault="002265C7" w:rsidP="00A37EDF">
            <w:pPr>
              <w:pStyle w:val="TableFigText"/>
              <w:jc w:val="right"/>
              <w:rPr>
                <w:b/>
              </w:rPr>
            </w:pPr>
            <w:r w:rsidRPr="00A37EDF">
              <w:rPr>
                <w:b/>
              </w:rPr>
              <w:t>172.9</w:t>
            </w:r>
          </w:p>
        </w:tc>
        <w:tc>
          <w:tcPr>
            <w:tcW w:w="1024" w:type="dxa"/>
            <w:vAlign w:val="bottom"/>
          </w:tcPr>
          <w:p w:rsidR="002265C7" w:rsidRPr="00A37EDF" w:rsidRDefault="002265C7" w:rsidP="00A37EDF">
            <w:pPr>
              <w:pStyle w:val="TableFigText"/>
              <w:jc w:val="right"/>
              <w:rPr>
                <w:b/>
              </w:rPr>
            </w:pPr>
            <w:r w:rsidRPr="00A37EDF">
              <w:rPr>
                <w:b/>
              </w:rPr>
              <w:t>56.6</w:t>
            </w:r>
          </w:p>
        </w:tc>
        <w:tc>
          <w:tcPr>
            <w:tcW w:w="1066" w:type="dxa"/>
            <w:vAlign w:val="bottom"/>
          </w:tcPr>
          <w:p w:rsidR="002265C7" w:rsidRPr="00A37EDF" w:rsidRDefault="002265C7" w:rsidP="00A37EDF">
            <w:pPr>
              <w:pStyle w:val="TableFigText"/>
              <w:jc w:val="right"/>
              <w:rPr>
                <w:b/>
              </w:rPr>
            </w:pPr>
            <w:r w:rsidRPr="00A37EDF">
              <w:rPr>
                <w:b/>
              </w:rPr>
              <w:t>7.5</w:t>
            </w:r>
          </w:p>
        </w:tc>
        <w:tc>
          <w:tcPr>
            <w:tcW w:w="1059" w:type="dxa"/>
            <w:vAlign w:val="bottom"/>
          </w:tcPr>
          <w:p w:rsidR="002265C7" w:rsidRPr="00A37EDF" w:rsidRDefault="002265C7" w:rsidP="00A37EDF">
            <w:pPr>
              <w:pStyle w:val="TableFigText"/>
              <w:jc w:val="right"/>
              <w:rPr>
                <w:b/>
              </w:rPr>
            </w:pPr>
            <w:r w:rsidRPr="00A37EDF">
              <w:rPr>
                <w:b/>
              </w:rPr>
              <w:t>3,733.5</w:t>
            </w:r>
          </w:p>
        </w:tc>
      </w:tr>
    </w:tbl>
    <w:p w:rsidR="002265C7" w:rsidRPr="00255113" w:rsidRDefault="002265C7" w:rsidP="00540186">
      <w:pPr>
        <w:pStyle w:val="TableFigNotesnumbered"/>
        <w:numPr>
          <w:ilvl w:val="0"/>
          <w:numId w:val="82"/>
        </w:numPr>
        <w:rPr>
          <w:rStyle w:val="table-note"/>
        </w:rPr>
      </w:pPr>
      <w:r w:rsidRPr="00255113">
        <w:rPr>
          <w:rStyle w:val="table-note"/>
        </w:rPr>
        <w:t>Totals may not add due to rounding.</w:t>
      </w:r>
    </w:p>
    <w:p w:rsidR="002265C7" w:rsidRPr="00255113" w:rsidRDefault="002265C7" w:rsidP="00540186">
      <w:pPr>
        <w:pStyle w:val="TableFigNotesnumbered"/>
        <w:numPr>
          <w:ilvl w:val="0"/>
          <w:numId w:val="82"/>
        </w:numPr>
        <w:rPr>
          <w:rStyle w:val="table-note"/>
        </w:rPr>
      </w:pPr>
      <w:r w:rsidRPr="00255113">
        <w:rPr>
          <w:rStyle w:val="table-note"/>
        </w:rPr>
        <w:t>Diagnostic and health professionals includes qualified staff (other than qualified medical or nursing staff) engaged in duties of a diagnostic, professional or technical nature and covers all allied health professionals and laboratory technicians (but excludes civil engineers and computing staff) (</w:t>
      </w:r>
      <w:proofErr w:type="spellStart"/>
      <w:r w:rsidRPr="00255113">
        <w:rPr>
          <w:rStyle w:val="table-note"/>
        </w:rPr>
        <w:t>METeOR</w:t>
      </w:r>
      <w:proofErr w:type="spellEnd"/>
      <w:r w:rsidRPr="00255113">
        <w:rPr>
          <w:rStyle w:val="table-note"/>
        </w:rPr>
        <w:t xml:space="preserve"> identifier 287611).</w:t>
      </w:r>
    </w:p>
    <w:p w:rsidR="002265C7" w:rsidRPr="00255113" w:rsidRDefault="002265C7" w:rsidP="00540186">
      <w:pPr>
        <w:pStyle w:val="TableFigNotesnumbered"/>
        <w:numPr>
          <w:ilvl w:val="0"/>
          <w:numId w:val="82"/>
        </w:numPr>
        <w:rPr>
          <w:rStyle w:val="table-note"/>
        </w:rPr>
      </w:pPr>
      <w:r w:rsidRPr="00255113">
        <w:rPr>
          <w:rStyle w:val="table-note"/>
        </w:rPr>
        <w:t>Includes registered and enrolled nurses</w:t>
      </w:r>
    </w:p>
    <w:p w:rsidR="002265C7" w:rsidRPr="00255113" w:rsidRDefault="002265C7" w:rsidP="00540186">
      <w:pPr>
        <w:pStyle w:val="TableFigNotesnumbered"/>
        <w:numPr>
          <w:ilvl w:val="0"/>
          <w:numId w:val="82"/>
        </w:numPr>
        <w:rPr>
          <w:rStyle w:val="table-note"/>
        </w:rPr>
      </w:pPr>
      <w:r w:rsidRPr="00255113">
        <w:rPr>
          <w:rStyle w:val="table-note"/>
        </w:rPr>
        <w:t xml:space="preserve">The definition of these categories was modified from 'consultants' to 'mental health workers' for the 2010–11 collection, in order to capture a variety of contemporary roles. </w:t>
      </w:r>
    </w:p>
    <w:p w:rsidR="002265C7" w:rsidRPr="00255113" w:rsidRDefault="002265C7" w:rsidP="00540186">
      <w:pPr>
        <w:pStyle w:val="TableFigNotesnumbered"/>
        <w:numPr>
          <w:ilvl w:val="0"/>
          <w:numId w:val="82"/>
        </w:numPr>
        <w:rPr>
          <w:rStyle w:val="table-note"/>
        </w:rPr>
      </w:pPr>
      <w:r w:rsidRPr="00255113">
        <w:rPr>
          <w:rStyle w:val="table-note"/>
        </w:rPr>
        <w:t>Other personal care staff includes staff engaged primarily in the provision of personal care to patients or residents, not formally qualified, for example attendants, assistants of home assistance, home companions, family aides, ward helpers, warders, orderlies, ward assistants and nursing assistants (</w:t>
      </w:r>
      <w:proofErr w:type="spellStart"/>
      <w:r w:rsidRPr="00255113">
        <w:rPr>
          <w:rStyle w:val="table-note"/>
        </w:rPr>
        <w:t>METeOR</w:t>
      </w:r>
      <w:proofErr w:type="spellEnd"/>
      <w:r w:rsidRPr="00255113">
        <w:rPr>
          <w:rStyle w:val="table-note"/>
        </w:rPr>
        <w:t xml:space="preserve"> 270171).</w:t>
      </w:r>
    </w:p>
    <w:p w:rsidR="002265C7" w:rsidRPr="00255113" w:rsidRDefault="002265C7" w:rsidP="00540186">
      <w:pPr>
        <w:pStyle w:val="TableFigNotesnumbered"/>
        <w:numPr>
          <w:ilvl w:val="0"/>
          <w:numId w:val="82"/>
        </w:numPr>
        <w:rPr>
          <w:rStyle w:val="table-note"/>
        </w:rPr>
      </w:pPr>
      <w:r w:rsidRPr="00255113">
        <w:rPr>
          <w:rStyle w:val="table-note"/>
        </w:rPr>
        <w:t xml:space="preserve">Other </w:t>
      </w:r>
      <w:proofErr w:type="gramStart"/>
      <w:r w:rsidRPr="00255113">
        <w:rPr>
          <w:rStyle w:val="table-note"/>
        </w:rPr>
        <w:t>staff</w:t>
      </w:r>
      <w:proofErr w:type="gramEnd"/>
      <w:r w:rsidRPr="00255113">
        <w:rPr>
          <w:rStyle w:val="table-note"/>
        </w:rPr>
        <w:t xml:space="preserve"> includes administrative and clerical and domestic and other staff categories. </w:t>
      </w:r>
    </w:p>
    <w:p w:rsidR="002265C7" w:rsidRPr="00207B28" w:rsidRDefault="002265C7" w:rsidP="002265C7">
      <w:pPr>
        <w:spacing w:before="0" w:after="0" w:line="240" w:lineRule="auto"/>
        <w:rPr>
          <w:rFonts w:asciiTheme="minorHAnsi" w:hAnsiTheme="minorHAnsi" w:cstheme="minorHAnsi"/>
        </w:rPr>
      </w:pPr>
    </w:p>
    <w:p w:rsidR="002265C7" w:rsidRPr="008C2A85" w:rsidRDefault="002265C7" w:rsidP="002265C7">
      <w:pPr>
        <w:spacing w:before="0" w:after="0" w:line="240" w:lineRule="auto"/>
        <w:rPr>
          <w:rFonts w:asciiTheme="minorHAnsi" w:hAnsiTheme="minorHAnsi" w:cstheme="minorHAnsi"/>
          <w:sz w:val="14"/>
          <w:szCs w:val="20"/>
          <w:lang w:eastAsia="en-US"/>
        </w:rPr>
      </w:pPr>
      <w:r w:rsidRPr="00255113">
        <w:rPr>
          <w:rStyle w:val="table-note"/>
          <w:rFonts w:ascii="Arial" w:hAnsi="Arial"/>
          <w:sz w:val="14"/>
          <w:szCs w:val="20"/>
          <w:lang w:eastAsia="en-US"/>
        </w:rPr>
        <w:t>Notes:</w:t>
      </w:r>
      <w:r w:rsidRPr="008C2A85">
        <w:rPr>
          <w:rFonts w:asciiTheme="minorHAnsi" w:hAnsiTheme="minorHAnsi" w:cstheme="minorHAnsi"/>
          <w:sz w:val="14"/>
          <w:szCs w:val="20"/>
          <w:lang w:eastAsia="en-US"/>
        </w:rPr>
        <w:tab/>
      </w:r>
    </w:p>
    <w:p w:rsidR="002265C7" w:rsidRPr="00255113" w:rsidRDefault="002265C7" w:rsidP="006876F2">
      <w:pPr>
        <w:pStyle w:val="ListParagraph"/>
        <w:numPr>
          <w:ilvl w:val="0"/>
          <w:numId w:val="25"/>
        </w:numPr>
        <w:spacing w:after="0" w:line="240" w:lineRule="auto"/>
        <w:rPr>
          <w:rStyle w:val="table-note"/>
          <w:rFonts w:ascii="Arial" w:eastAsia="Times New Roman" w:hAnsi="Arial" w:cs="Times New Roman"/>
          <w:sz w:val="14"/>
          <w:szCs w:val="20"/>
          <w:lang w:eastAsia="en-US"/>
        </w:rPr>
      </w:pPr>
      <w:r w:rsidRPr="00255113">
        <w:rPr>
          <w:rStyle w:val="table-note"/>
          <w:rFonts w:ascii="Arial" w:eastAsia="Times New Roman" w:hAnsi="Arial" w:cs="Times New Roman"/>
          <w:sz w:val="14"/>
          <w:szCs w:val="20"/>
          <w:lang w:eastAsia="en-US"/>
        </w:rPr>
        <w:t xml:space="preserve">Includes consumer and carer workers and staff employed at a higher organisational level. Excludes staff employed at regional or state level in mental health policy units of the associated relevant health department or equivalent. </w:t>
      </w:r>
    </w:p>
    <w:p w:rsidR="002265C7" w:rsidRPr="00207B28" w:rsidRDefault="002265C7" w:rsidP="002265C7">
      <w:pPr>
        <w:pStyle w:val="AIHWbodytext"/>
        <w:rPr>
          <w:rFonts w:asciiTheme="minorHAnsi" w:hAnsiTheme="minorHAnsi"/>
        </w:rPr>
      </w:pPr>
    </w:p>
    <w:p w:rsidR="00E254F6" w:rsidRDefault="00E254F6">
      <w:pPr>
        <w:spacing w:before="0" w:after="0" w:line="240" w:lineRule="auto"/>
        <w:rPr>
          <w:rFonts w:asciiTheme="minorHAnsi" w:hAnsiTheme="minorHAnsi" w:cstheme="minorHAnsi"/>
          <w:b/>
          <w:sz w:val="20"/>
          <w:szCs w:val="20"/>
          <w:lang w:eastAsia="en-US"/>
        </w:rPr>
      </w:pPr>
      <w:r>
        <w:rPr>
          <w:rFonts w:asciiTheme="minorHAnsi" w:hAnsiTheme="minorHAnsi" w:cstheme="minorHAnsi"/>
        </w:rPr>
        <w:br w:type="page"/>
      </w:r>
    </w:p>
    <w:p w:rsidR="002265C7" w:rsidRPr="0096114C" w:rsidRDefault="0096114C" w:rsidP="002265C7">
      <w:pPr>
        <w:pStyle w:val="TableCaption"/>
        <w:rPr>
          <w:rStyle w:val="table-note"/>
        </w:rPr>
      </w:pPr>
      <w:r w:rsidRPr="0096114C">
        <w:rPr>
          <w:rStyle w:val="table-note"/>
        </w:rPr>
        <w:lastRenderedPageBreak/>
        <w:t xml:space="preserve">Table 40: </w:t>
      </w:r>
      <w:r w:rsidR="002265C7" w:rsidRPr="0096114C">
        <w:rPr>
          <w:rStyle w:val="table-note"/>
        </w:rPr>
        <w:t xml:space="preserve">WA: State and territory specialised mental health service activity, by service type, 2007–08 </w:t>
      </w:r>
    </w:p>
    <w:tbl>
      <w:tblPr>
        <w:tblStyle w:val="TableGrid"/>
        <w:tblW w:w="0" w:type="auto"/>
        <w:tblLook w:val="04A0" w:firstRow="1" w:lastRow="0" w:firstColumn="1" w:lastColumn="0" w:noHBand="0" w:noVBand="1"/>
        <w:tblCaption w:val="WA: State and territory specialised mental health service activity, by service type, 2007–08 "/>
        <w:tblDescription w:val="Table showing specialised mental health service activity in WA by remoteness in 2007–08. Total numbers for hospital days were 220,579, community mental health care contacts 567,784 and residential mental health care days 30,354. The majority of service activity across all service types occurred in Major Cities. "/>
      </w:tblPr>
      <w:tblGrid>
        <w:gridCol w:w="2214"/>
        <w:gridCol w:w="1189"/>
        <w:gridCol w:w="1335"/>
        <w:gridCol w:w="1222"/>
        <w:gridCol w:w="1081"/>
        <w:gridCol w:w="1056"/>
        <w:gridCol w:w="1189"/>
      </w:tblGrid>
      <w:tr w:rsidR="002265C7" w:rsidRPr="00856F57" w:rsidTr="000C3DEA">
        <w:trPr>
          <w:tblHeader/>
        </w:trPr>
        <w:tc>
          <w:tcPr>
            <w:tcW w:w="2311" w:type="dxa"/>
          </w:tcPr>
          <w:p w:rsidR="002265C7" w:rsidRPr="00856F57" w:rsidRDefault="002265C7" w:rsidP="002265C7">
            <w:pPr>
              <w:pStyle w:val="TableFigText"/>
              <w:keepNext/>
              <w:rPr>
                <w:rFonts w:asciiTheme="minorHAnsi" w:hAnsiTheme="minorHAnsi" w:cstheme="minorHAnsi"/>
                <w:szCs w:val="22"/>
              </w:rPr>
            </w:pPr>
          </w:p>
        </w:tc>
        <w:tc>
          <w:tcPr>
            <w:tcW w:w="1219" w:type="dxa"/>
          </w:tcPr>
          <w:p w:rsidR="002265C7" w:rsidRPr="00856F57" w:rsidRDefault="002265C7" w:rsidP="002265C7">
            <w:pPr>
              <w:pStyle w:val="TableFigText"/>
              <w:keepNext/>
              <w:jc w:val="right"/>
              <w:rPr>
                <w:rFonts w:asciiTheme="minorHAnsi" w:hAnsiTheme="minorHAnsi" w:cstheme="minorHAnsi"/>
                <w:b/>
                <w:szCs w:val="22"/>
              </w:rPr>
            </w:pPr>
            <w:r w:rsidRPr="00856F57">
              <w:rPr>
                <w:rFonts w:asciiTheme="minorHAnsi" w:hAnsiTheme="minorHAnsi" w:cstheme="minorHAnsi"/>
                <w:b/>
                <w:szCs w:val="22"/>
              </w:rPr>
              <w:t>Major cities</w:t>
            </w:r>
          </w:p>
        </w:tc>
        <w:tc>
          <w:tcPr>
            <w:tcW w:w="1379" w:type="dxa"/>
          </w:tcPr>
          <w:p w:rsidR="002265C7" w:rsidRPr="00856F57" w:rsidRDefault="002265C7" w:rsidP="002265C7">
            <w:pPr>
              <w:pStyle w:val="TableFigText"/>
              <w:keepNext/>
              <w:jc w:val="right"/>
              <w:rPr>
                <w:rFonts w:asciiTheme="minorHAnsi" w:hAnsiTheme="minorHAnsi" w:cstheme="minorHAnsi"/>
                <w:b/>
                <w:szCs w:val="22"/>
              </w:rPr>
            </w:pPr>
            <w:r w:rsidRPr="00856F57">
              <w:rPr>
                <w:rFonts w:asciiTheme="minorHAnsi" w:hAnsiTheme="minorHAnsi" w:cstheme="minorHAnsi"/>
                <w:b/>
                <w:szCs w:val="22"/>
              </w:rPr>
              <w:t>Inner regional</w:t>
            </w:r>
          </w:p>
        </w:tc>
        <w:tc>
          <w:tcPr>
            <w:tcW w:w="1258" w:type="dxa"/>
          </w:tcPr>
          <w:p w:rsidR="002265C7" w:rsidRPr="00856F57" w:rsidRDefault="002265C7" w:rsidP="002265C7">
            <w:pPr>
              <w:pStyle w:val="TableFigText"/>
              <w:keepNext/>
              <w:jc w:val="right"/>
              <w:rPr>
                <w:rFonts w:asciiTheme="minorHAnsi" w:hAnsiTheme="minorHAnsi" w:cstheme="minorHAnsi"/>
                <w:b/>
                <w:szCs w:val="22"/>
              </w:rPr>
            </w:pPr>
            <w:r w:rsidRPr="00856F57">
              <w:rPr>
                <w:rFonts w:asciiTheme="minorHAnsi" w:hAnsiTheme="minorHAnsi" w:cstheme="minorHAnsi"/>
                <w:b/>
                <w:szCs w:val="22"/>
              </w:rPr>
              <w:t>Outer regional</w:t>
            </w:r>
          </w:p>
        </w:tc>
        <w:tc>
          <w:tcPr>
            <w:tcW w:w="1107" w:type="dxa"/>
          </w:tcPr>
          <w:p w:rsidR="002265C7" w:rsidRPr="00856F57" w:rsidRDefault="002265C7" w:rsidP="002265C7">
            <w:pPr>
              <w:pStyle w:val="TableFigText"/>
              <w:keepNext/>
              <w:jc w:val="right"/>
              <w:rPr>
                <w:rFonts w:asciiTheme="minorHAnsi" w:hAnsiTheme="minorHAnsi" w:cstheme="minorHAnsi"/>
                <w:b/>
                <w:szCs w:val="22"/>
              </w:rPr>
            </w:pPr>
            <w:r w:rsidRPr="00856F57">
              <w:rPr>
                <w:rFonts w:asciiTheme="minorHAnsi" w:hAnsiTheme="minorHAnsi" w:cstheme="minorHAnsi"/>
                <w:b/>
                <w:szCs w:val="22"/>
              </w:rPr>
              <w:t>Remote</w:t>
            </w:r>
          </w:p>
        </w:tc>
        <w:tc>
          <w:tcPr>
            <w:tcW w:w="1083" w:type="dxa"/>
          </w:tcPr>
          <w:p w:rsidR="002265C7" w:rsidRPr="00856F57" w:rsidRDefault="002265C7" w:rsidP="002265C7">
            <w:pPr>
              <w:pStyle w:val="TableFigText"/>
              <w:keepNext/>
              <w:jc w:val="right"/>
              <w:rPr>
                <w:rFonts w:asciiTheme="minorHAnsi" w:hAnsiTheme="minorHAnsi" w:cstheme="minorHAnsi"/>
                <w:b/>
                <w:szCs w:val="22"/>
              </w:rPr>
            </w:pPr>
            <w:r w:rsidRPr="00856F57">
              <w:rPr>
                <w:rFonts w:asciiTheme="minorHAnsi" w:hAnsiTheme="minorHAnsi" w:cstheme="minorHAnsi"/>
                <w:b/>
                <w:szCs w:val="22"/>
              </w:rPr>
              <w:t>Very remote</w:t>
            </w:r>
          </w:p>
        </w:tc>
        <w:tc>
          <w:tcPr>
            <w:tcW w:w="1219" w:type="dxa"/>
          </w:tcPr>
          <w:p w:rsidR="002265C7" w:rsidRPr="00856F57" w:rsidRDefault="002265C7" w:rsidP="002265C7">
            <w:pPr>
              <w:pStyle w:val="TableFigText"/>
              <w:keepNext/>
              <w:jc w:val="right"/>
              <w:rPr>
                <w:rFonts w:asciiTheme="minorHAnsi" w:hAnsiTheme="minorHAnsi" w:cstheme="minorHAnsi"/>
                <w:b/>
                <w:szCs w:val="22"/>
              </w:rPr>
            </w:pPr>
            <w:r w:rsidRPr="00856F57">
              <w:rPr>
                <w:rFonts w:asciiTheme="minorHAnsi" w:hAnsiTheme="minorHAnsi" w:cstheme="minorHAnsi"/>
                <w:b/>
                <w:szCs w:val="22"/>
              </w:rPr>
              <w:t>Total</w:t>
            </w:r>
          </w:p>
        </w:tc>
      </w:tr>
      <w:tr w:rsidR="002265C7" w:rsidRPr="00856F57" w:rsidTr="002265C7">
        <w:tc>
          <w:tcPr>
            <w:tcW w:w="2311" w:type="dxa"/>
          </w:tcPr>
          <w:p w:rsidR="002265C7" w:rsidRPr="00856F57" w:rsidRDefault="002265C7" w:rsidP="002265C7">
            <w:pPr>
              <w:pStyle w:val="TableFigText"/>
              <w:keepNext/>
              <w:rPr>
                <w:rFonts w:asciiTheme="minorHAnsi" w:hAnsiTheme="minorHAnsi" w:cstheme="minorHAnsi"/>
                <w:szCs w:val="22"/>
              </w:rPr>
            </w:pPr>
            <w:r w:rsidRPr="00856F57">
              <w:rPr>
                <w:rFonts w:asciiTheme="minorHAnsi" w:hAnsiTheme="minorHAnsi" w:cstheme="minorHAnsi"/>
                <w:szCs w:val="22"/>
              </w:rPr>
              <w:t>Hospital days</w:t>
            </w:r>
            <w:r w:rsidRPr="00856F57">
              <w:rPr>
                <w:rFonts w:asciiTheme="minorHAnsi" w:hAnsiTheme="minorHAnsi" w:cstheme="minorHAnsi"/>
                <w:szCs w:val="22"/>
                <w:vertAlign w:val="superscript"/>
              </w:rPr>
              <w:t>(a)</w:t>
            </w:r>
          </w:p>
        </w:tc>
        <w:tc>
          <w:tcPr>
            <w:tcW w:w="1219" w:type="dxa"/>
            <w:vAlign w:val="center"/>
          </w:tcPr>
          <w:p w:rsidR="002265C7" w:rsidRPr="001726A2" w:rsidRDefault="002265C7" w:rsidP="007A6F8F">
            <w:pPr>
              <w:pStyle w:val="TableFigText"/>
              <w:jc w:val="right"/>
            </w:pPr>
            <w:r w:rsidRPr="001726A2">
              <w:t>210,466</w:t>
            </w:r>
          </w:p>
        </w:tc>
        <w:tc>
          <w:tcPr>
            <w:tcW w:w="1379" w:type="dxa"/>
            <w:vAlign w:val="center"/>
          </w:tcPr>
          <w:p w:rsidR="002265C7" w:rsidRPr="001726A2" w:rsidRDefault="002265C7" w:rsidP="007A6F8F">
            <w:pPr>
              <w:pStyle w:val="TableFigText"/>
              <w:jc w:val="right"/>
            </w:pPr>
            <w:r w:rsidRPr="001726A2">
              <w:t>5,101</w:t>
            </w:r>
          </w:p>
        </w:tc>
        <w:tc>
          <w:tcPr>
            <w:tcW w:w="1258" w:type="dxa"/>
            <w:vAlign w:val="center"/>
          </w:tcPr>
          <w:p w:rsidR="002265C7" w:rsidRPr="001726A2" w:rsidRDefault="002265C7" w:rsidP="007A6F8F">
            <w:pPr>
              <w:pStyle w:val="TableFigText"/>
              <w:jc w:val="right"/>
            </w:pPr>
            <w:r w:rsidRPr="001726A2">
              <w:t>5,012</w:t>
            </w:r>
          </w:p>
        </w:tc>
        <w:tc>
          <w:tcPr>
            <w:tcW w:w="1107" w:type="dxa"/>
            <w:vAlign w:val="center"/>
          </w:tcPr>
          <w:p w:rsidR="002265C7" w:rsidRPr="001726A2" w:rsidRDefault="002265C7" w:rsidP="007A6F8F">
            <w:pPr>
              <w:pStyle w:val="TableFigText"/>
              <w:jc w:val="right"/>
            </w:pPr>
            <w:r w:rsidRPr="001726A2">
              <w:t>0</w:t>
            </w:r>
          </w:p>
        </w:tc>
        <w:tc>
          <w:tcPr>
            <w:tcW w:w="1083" w:type="dxa"/>
            <w:vAlign w:val="center"/>
          </w:tcPr>
          <w:p w:rsidR="002265C7" w:rsidRPr="001726A2" w:rsidRDefault="002265C7" w:rsidP="007A6F8F">
            <w:pPr>
              <w:pStyle w:val="TableFigText"/>
              <w:jc w:val="right"/>
            </w:pPr>
            <w:r w:rsidRPr="001726A2">
              <w:t>0</w:t>
            </w:r>
          </w:p>
        </w:tc>
        <w:tc>
          <w:tcPr>
            <w:tcW w:w="1219" w:type="dxa"/>
            <w:vAlign w:val="center"/>
          </w:tcPr>
          <w:p w:rsidR="002265C7" w:rsidRPr="001726A2" w:rsidRDefault="002265C7" w:rsidP="007A6F8F">
            <w:pPr>
              <w:pStyle w:val="TableFigText"/>
              <w:jc w:val="right"/>
            </w:pPr>
            <w:r w:rsidRPr="001726A2">
              <w:t>220,579</w:t>
            </w:r>
          </w:p>
        </w:tc>
      </w:tr>
      <w:tr w:rsidR="002265C7" w:rsidRPr="00856F57" w:rsidTr="002265C7">
        <w:tc>
          <w:tcPr>
            <w:tcW w:w="2311" w:type="dxa"/>
          </w:tcPr>
          <w:p w:rsidR="002265C7" w:rsidRPr="00856F57" w:rsidRDefault="002265C7" w:rsidP="002265C7">
            <w:pPr>
              <w:pStyle w:val="TableFigText"/>
              <w:keepNext/>
              <w:rPr>
                <w:rFonts w:asciiTheme="minorHAnsi" w:hAnsiTheme="minorHAnsi" w:cstheme="minorHAnsi"/>
                <w:szCs w:val="22"/>
              </w:rPr>
            </w:pPr>
            <w:r w:rsidRPr="00856F57">
              <w:rPr>
                <w:rFonts w:asciiTheme="minorHAnsi" w:hAnsiTheme="minorHAnsi" w:cstheme="minorHAnsi"/>
                <w:szCs w:val="22"/>
              </w:rPr>
              <w:t>Community mental health care contacts</w:t>
            </w:r>
            <w:r w:rsidRPr="00856F57">
              <w:rPr>
                <w:rFonts w:asciiTheme="minorHAnsi" w:hAnsiTheme="minorHAnsi" w:cstheme="minorHAnsi"/>
                <w:szCs w:val="22"/>
                <w:vertAlign w:val="superscript"/>
              </w:rPr>
              <w:t>(b)</w:t>
            </w:r>
            <w:r w:rsidRPr="00856F57">
              <w:rPr>
                <w:rFonts w:asciiTheme="minorHAnsi" w:hAnsiTheme="minorHAnsi" w:cstheme="minorHAnsi"/>
                <w:szCs w:val="22"/>
              </w:rPr>
              <w:t xml:space="preserve"> </w:t>
            </w:r>
          </w:p>
        </w:tc>
        <w:tc>
          <w:tcPr>
            <w:tcW w:w="1219" w:type="dxa"/>
            <w:vAlign w:val="center"/>
          </w:tcPr>
          <w:p w:rsidR="002265C7" w:rsidRPr="001726A2" w:rsidRDefault="002265C7" w:rsidP="007A6F8F">
            <w:pPr>
              <w:pStyle w:val="TableFigText"/>
              <w:jc w:val="right"/>
            </w:pPr>
            <w:r w:rsidRPr="001726A2">
              <w:t>465,235</w:t>
            </w:r>
          </w:p>
        </w:tc>
        <w:tc>
          <w:tcPr>
            <w:tcW w:w="1379" w:type="dxa"/>
            <w:vAlign w:val="center"/>
          </w:tcPr>
          <w:p w:rsidR="002265C7" w:rsidRPr="001726A2" w:rsidRDefault="002265C7" w:rsidP="007A6F8F">
            <w:pPr>
              <w:pStyle w:val="TableFigText"/>
              <w:jc w:val="right"/>
            </w:pPr>
            <w:r w:rsidRPr="001726A2">
              <w:t>49,436</w:t>
            </w:r>
          </w:p>
        </w:tc>
        <w:tc>
          <w:tcPr>
            <w:tcW w:w="1258" w:type="dxa"/>
            <w:vAlign w:val="center"/>
          </w:tcPr>
          <w:p w:rsidR="002265C7" w:rsidRPr="001726A2" w:rsidRDefault="002265C7" w:rsidP="007A6F8F">
            <w:pPr>
              <w:pStyle w:val="TableFigText"/>
              <w:jc w:val="right"/>
            </w:pPr>
            <w:r w:rsidRPr="001726A2">
              <w:t>38,307</w:t>
            </w:r>
          </w:p>
        </w:tc>
        <w:tc>
          <w:tcPr>
            <w:tcW w:w="1107" w:type="dxa"/>
            <w:vAlign w:val="center"/>
          </w:tcPr>
          <w:p w:rsidR="002265C7" w:rsidRPr="001726A2" w:rsidRDefault="002265C7" w:rsidP="007A6F8F">
            <w:pPr>
              <w:pStyle w:val="TableFigText"/>
              <w:jc w:val="right"/>
            </w:pPr>
            <w:r w:rsidRPr="001726A2">
              <w:t>13,279</w:t>
            </w:r>
          </w:p>
        </w:tc>
        <w:tc>
          <w:tcPr>
            <w:tcW w:w="1083" w:type="dxa"/>
            <w:vAlign w:val="center"/>
          </w:tcPr>
          <w:p w:rsidR="002265C7" w:rsidRPr="001726A2" w:rsidRDefault="002265C7" w:rsidP="007A6F8F">
            <w:pPr>
              <w:pStyle w:val="TableFigText"/>
              <w:jc w:val="right"/>
            </w:pPr>
            <w:r w:rsidRPr="001726A2">
              <w:t>1,527</w:t>
            </w:r>
          </w:p>
        </w:tc>
        <w:tc>
          <w:tcPr>
            <w:tcW w:w="1219" w:type="dxa"/>
            <w:vAlign w:val="center"/>
          </w:tcPr>
          <w:p w:rsidR="002265C7" w:rsidRPr="001726A2" w:rsidRDefault="002265C7" w:rsidP="007A6F8F">
            <w:pPr>
              <w:pStyle w:val="TableFigText"/>
              <w:jc w:val="right"/>
            </w:pPr>
            <w:r w:rsidRPr="001726A2">
              <w:t>567,784</w:t>
            </w:r>
          </w:p>
        </w:tc>
      </w:tr>
      <w:tr w:rsidR="002265C7" w:rsidRPr="00856F57" w:rsidTr="002265C7">
        <w:tc>
          <w:tcPr>
            <w:tcW w:w="2311" w:type="dxa"/>
          </w:tcPr>
          <w:p w:rsidR="002265C7" w:rsidRPr="00856F57" w:rsidRDefault="002265C7" w:rsidP="002265C7">
            <w:pPr>
              <w:pStyle w:val="TableFigText"/>
              <w:keepNext/>
              <w:rPr>
                <w:rFonts w:asciiTheme="minorHAnsi" w:hAnsiTheme="minorHAnsi" w:cstheme="minorHAnsi"/>
                <w:szCs w:val="22"/>
              </w:rPr>
            </w:pPr>
            <w:r w:rsidRPr="00856F57">
              <w:rPr>
                <w:rFonts w:asciiTheme="minorHAnsi" w:hAnsiTheme="minorHAnsi" w:cstheme="minorHAnsi"/>
                <w:szCs w:val="22"/>
              </w:rPr>
              <w:t>Residential mental health care days</w:t>
            </w:r>
            <w:r w:rsidRPr="00856F57">
              <w:rPr>
                <w:rFonts w:asciiTheme="minorHAnsi" w:hAnsiTheme="minorHAnsi" w:cstheme="minorHAnsi"/>
                <w:szCs w:val="22"/>
                <w:vertAlign w:val="superscript"/>
              </w:rPr>
              <w:t>(c)</w:t>
            </w:r>
          </w:p>
        </w:tc>
        <w:tc>
          <w:tcPr>
            <w:tcW w:w="1219" w:type="dxa"/>
            <w:vAlign w:val="center"/>
          </w:tcPr>
          <w:p w:rsidR="002265C7" w:rsidRPr="001726A2" w:rsidRDefault="002265C7" w:rsidP="007A6F8F">
            <w:pPr>
              <w:pStyle w:val="TableFigText"/>
              <w:jc w:val="right"/>
            </w:pPr>
            <w:r w:rsidRPr="001726A2">
              <w:t>26,996</w:t>
            </w:r>
          </w:p>
        </w:tc>
        <w:tc>
          <w:tcPr>
            <w:tcW w:w="1379" w:type="dxa"/>
            <w:vAlign w:val="center"/>
          </w:tcPr>
          <w:p w:rsidR="002265C7" w:rsidRPr="001726A2" w:rsidRDefault="002265C7" w:rsidP="007A6F8F">
            <w:pPr>
              <w:pStyle w:val="TableFigText"/>
              <w:jc w:val="right"/>
            </w:pPr>
            <w:r w:rsidRPr="001726A2">
              <w:t>656</w:t>
            </w:r>
          </w:p>
        </w:tc>
        <w:tc>
          <w:tcPr>
            <w:tcW w:w="1258" w:type="dxa"/>
            <w:vAlign w:val="center"/>
          </w:tcPr>
          <w:p w:rsidR="002265C7" w:rsidRPr="001726A2" w:rsidRDefault="002265C7" w:rsidP="007A6F8F">
            <w:pPr>
              <w:pStyle w:val="TableFigText"/>
              <w:jc w:val="right"/>
            </w:pPr>
            <w:r w:rsidRPr="001726A2">
              <w:t>2,702</w:t>
            </w:r>
          </w:p>
        </w:tc>
        <w:tc>
          <w:tcPr>
            <w:tcW w:w="1107" w:type="dxa"/>
            <w:vAlign w:val="center"/>
          </w:tcPr>
          <w:p w:rsidR="002265C7" w:rsidRPr="001726A2" w:rsidRDefault="002265C7" w:rsidP="007A6F8F">
            <w:pPr>
              <w:pStyle w:val="TableFigText"/>
              <w:jc w:val="right"/>
            </w:pPr>
            <w:r w:rsidRPr="001726A2">
              <w:t>0</w:t>
            </w:r>
          </w:p>
        </w:tc>
        <w:tc>
          <w:tcPr>
            <w:tcW w:w="1083" w:type="dxa"/>
            <w:vAlign w:val="center"/>
          </w:tcPr>
          <w:p w:rsidR="002265C7" w:rsidRPr="001726A2" w:rsidRDefault="002265C7" w:rsidP="007A6F8F">
            <w:pPr>
              <w:pStyle w:val="TableFigText"/>
              <w:jc w:val="right"/>
            </w:pPr>
            <w:r w:rsidRPr="001726A2">
              <w:t>0</w:t>
            </w:r>
          </w:p>
        </w:tc>
        <w:tc>
          <w:tcPr>
            <w:tcW w:w="1219" w:type="dxa"/>
            <w:vAlign w:val="center"/>
          </w:tcPr>
          <w:p w:rsidR="002265C7" w:rsidRPr="00856F57" w:rsidRDefault="002265C7" w:rsidP="007A6F8F">
            <w:pPr>
              <w:pStyle w:val="TableFigText"/>
              <w:jc w:val="right"/>
            </w:pPr>
            <w:r w:rsidRPr="00856F57">
              <w:t>30,354</w:t>
            </w:r>
          </w:p>
        </w:tc>
      </w:tr>
    </w:tbl>
    <w:p w:rsidR="002265C7" w:rsidRPr="00FA0B63" w:rsidRDefault="002265C7" w:rsidP="00540186">
      <w:pPr>
        <w:pStyle w:val="TableFigNotesnumbered"/>
        <w:numPr>
          <w:ilvl w:val="0"/>
          <w:numId w:val="83"/>
        </w:numPr>
        <w:rPr>
          <w:rStyle w:val="table-note"/>
        </w:rPr>
      </w:pPr>
      <w:r w:rsidRPr="00FA0B63">
        <w:rPr>
          <w:rStyle w:val="table-note"/>
        </w:rPr>
        <w:t xml:space="preserve">Hospital days, also known as accrued mental health care days for public hospital services, will not equal figures reported from the National hospital morbidity database due to scope differences between the two collections.  </w:t>
      </w:r>
    </w:p>
    <w:p w:rsidR="002265C7" w:rsidRPr="00FA0B63" w:rsidRDefault="002265C7" w:rsidP="00540186">
      <w:pPr>
        <w:pStyle w:val="TableFigNotesnumbered"/>
        <w:numPr>
          <w:ilvl w:val="0"/>
          <w:numId w:val="83"/>
        </w:numPr>
        <w:rPr>
          <w:rStyle w:val="table-note"/>
        </w:rPr>
      </w:pPr>
      <w:r w:rsidRPr="00FA0B63">
        <w:rPr>
          <w:rStyle w:val="table-note"/>
        </w:rPr>
        <w:t xml:space="preserve">Community mental health care contacts will not equate to those reported from the Community mental health care database due to differing scope. </w:t>
      </w:r>
    </w:p>
    <w:p w:rsidR="002265C7" w:rsidRPr="00FA0B63" w:rsidRDefault="002265C7" w:rsidP="00540186">
      <w:pPr>
        <w:pStyle w:val="TableFigNotesnumbered"/>
        <w:numPr>
          <w:ilvl w:val="0"/>
          <w:numId w:val="83"/>
        </w:numPr>
        <w:rPr>
          <w:rStyle w:val="table-note"/>
        </w:rPr>
      </w:pPr>
      <w:proofErr w:type="gramStart"/>
      <w:r w:rsidRPr="00FA0B63">
        <w:rPr>
          <w:rStyle w:val="table-note"/>
        </w:rPr>
        <w:t>Residential mental health care days comprises</w:t>
      </w:r>
      <w:proofErr w:type="gramEnd"/>
      <w:r w:rsidRPr="00FA0B63">
        <w:rPr>
          <w:rStyle w:val="table-note"/>
        </w:rPr>
        <w:t xml:space="preserve"> the number of care days provided by all services, including government and non-government operated services, and 24-hour and non-24-hour staffed services. Figures will not equate to those reported from the Residential mental health care database due to differing collection scopes.</w:t>
      </w:r>
    </w:p>
    <w:p w:rsidR="002265C7" w:rsidRPr="00207B28" w:rsidRDefault="002265C7" w:rsidP="002265C7">
      <w:pPr>
        <w:pStyle w:val="AIHWbodytext"/>
        <w:rPr>
          <w:rFonts w:asciiTheme="minorHAnsi" w:hAnsiTheme="minorHAnsi"/>
        </w:rPr>
      </w:pPr>
    </w:p>
    <w:p w:rsidR="002265C7" w:rsidRPr="0096114C" w:rsidRDefault="0096114C" w:rsidP="002265C7">
      <w:pPr>
        <w:pStyle w:val="TableCaption"/>
        <w:rPr>
          <w:rStyle w:val="table-note"/>
        </w:rPr>
      </w:pPr>
      <w:r w:rsidRPr="0096114C">
        <w:rPr>
          <w:rStyle w:val="table-note"/>
        </w:rPr>
        <w:t xml:space="preserve">Table 41: </w:t>
      </w:r>
      <w:r w:rsidR="002265C7" w:rsidRPr="0096114C">
        <w:rPr>
          <w:rStyle w:val="table-note"/>
        </w:rPr>
        <w:t>WA: State and territory specialised mental health service activity, by service type, 2011–12</w:t>
      </w:r>
    </w:p>
    <w:tbl>
      <w:tblPr>
        <w:tblStyle w:val="TableGrid"/>
        <w:tblW w:w="0" w:type="auto"/>
        <w:tblLook w:val="04A0" w:firstRow="1" w:lastRow="0" w:firstColumn="1" w:lastColumn="0" w:noHBand="0" w:noVBand="1"/>
        <w:tblCaption w:val="WA: State and territory specialised mental health service activity, by service type, 2011–12"/>
        <w:tblDescription w:val="Table showing specialised mental health service activity in WA by service type and remoteness in 2011–12. The majority of all service activity by service type occurred in Major Cities, reporting 222,310 hospital days, 623,844community mental health care contacts and 81,583 residential mental health care days. "/>
      </w:tblPr>
      <w:tblGrid>
        <w:gridCol w:w="2382"/>
        <w:gridCol w:w="1059"/>
        <w:gridCol w:w="1379"/>
        <w:gridCol w:w="1251"/>
        <w:gridCol w:w="1047"/>
        <w:gridCol w:w="1093"/>
        <w:gridCol w:w="1075"/>
      </w:tblGrid>
      <w:tr w:rsidR="002265C7" w:rsidRPr="00EF5802" w:rsidTr="000C3DEA">
        <w:trPr>
          <w:tblHeader/>
        </w:trPr>
        <w:tc>
          <w:tcPr>
            <w:tcW w:w="2490" w:type="dxa"/>
          </w:tcPr>
          <w:p w:rsidR="002265C7" w:rsidRPr="00EF5802" w:rsidRDefault="002265C7" w:rsidP="002265C7">
            <w:pPr>
              <w:pStyle w:val="TableFigText"/>
              <w:rPr>
                <w:rFonts w:asciiTheme="minorHAnsi" w:hAnsiTheme="minorHAnsi" w:cstheme="minorHAnsi"/>
                <w:szCs w:val="22"/>
              </w:rPr>
            </w:pPr>
          </w:p>
        </w:tc>
        <w:tc>
          <w:tcPr>
            <w:tcW w:w="1079" w:type="dxa"/>
          </w:tcPr>
          <w:p w:rsidR="002265C7" w:rsidRPr="00EF5802" w:rsidRDefault="002265C7" w:rsidP="002265C7">
            <w:pPr>
              <w:pStyle w:val="TableFigText"/>
              <w:jc w:val="right"/>
              <w:rPr>
                <w:rFonts w:asciiTheme="minorHAnsi" w:hAnsiTheme="minorHAnsi" w:cstheme="minorHAnsi"/>
                <w:b/>
                <w:szCs w:val="22"/>
              </w:rPr>
            </w:pPr>
            <w:r w:rsidRPr="00EF5802">
              <w:rPr>
                <w:rFonts w:asciiTheme="minorHAnsi" w:hAnsiTheme="minorHAnsi" w:cstheme="minorHAnsi"/>
                <w:b/>
                <w:szCs w:val="22"/>
              </w:rPr>
              <w:t>Major cities</w:t>
            </w:r>
          </w:p>
        </w:tc>
        <w:tc>
          <w:tcPr>
            <w:tcW w:w="1427" w:type="dxa"/>
          </w:tcPr>
          <w:p w:rsidR="002265C7" w:rsidRPr="00EF5802" w:rsidRDefault="002265C7" w:rsidP="002265C7">
            <w:pPr>
              <w:pStyle w:val="TableFigText"/>
              <w:jc w:val="right"/>
              <w:rPr>
                <w:rFonts w:asciiTheme="minorHAnsi" w:hAnsiTheme="minorHAnsi" w:cstheme="minorHAnsi"/>
                <w:b/>
                <w:szCs w:val="22"/>
              </w:rPr>
            </w:pPr>
            <w:r w:rsidRPr="00EF5802">
              <w:rPr>
                <w:rFonts w:asciiTheme="minorHAnsi" w:hAnsiTheme="minorHAnsi" w:cstheme="minorHAnsi"/>
                <w:b/>
                <w:szCs w:val="22"/>
              </w:rPr>
              <w:t>Inner regional</w:t>
            </w:r>
          </w:p>
        </w:tc>
        <w:tc>
          <w:tcPr>
            <w:tcW w:w="1289" w:type="dxa"/>
          </w:tcPr>
          <w:p w:rsidR="002265C7" w:rsidRPr="00EF5802" w:rsidRDefault="002265C7" w:rsidP="002265C7">
            <w:pPr>
              <w:pStyle w:val="TableFigText"/>
              <w:jc w:val="right"/>
              <w:rPr>
                <w:rFonts w:asciiTheme="minorHAnsi" w:hAnsiTheme="minorHAnsi" w:cstheme="minorHAnsi"/>
                <w:b/>
                <w:szCs w:val="22"/>
              </w:rPr>
            </w:pPr>
            <w:r w:rsidRPr="00EF5802">
              <w:rPr>
                <w:rFonts w:asciiTheme="minorHAnsi" w:hAnsiTheme="minorHAnsi" w:cstheme="minorHAnsi"/>
                <w:b/>
                <w:szCs w:val="22"/>
              </w:rPr>
              <w:t>Outer regional</w:t>
            </w:r>
          </w:p>
        </w:tc>
        <w:tc>
          <w:tcPr>
            <w:tcW w:w="1071" w:type="dxa"/>
          </w:tcPr>
          <w:p w:rsidR="002265C7" w:rsidRPr="00EF5802" w:rsidRDefault="002265C7" w:rsidP="002265C7">
            <w:pPr>
              <w:pStyle w:val="TableFigText"/>
              <w:jc w:val="right"/>
              <w:rPr>
                <w:rFonts w:asciiTheme="minorHAnsi" w:hAnsiTheme="minorHAnsi" w:cstheme="minorHAnsi"/>
                <w:b/>
                <w:szCs w:val="22"/>
              </w:rPr>
            </w:pPr>
            <w:r w:rsidRPr="00EF5802">
              <w:rPr>
                <w:rFonts w:asciiTheme="minorHAnsi" w:hAnsiTheme="minorHAnsi" w:cstheme="minorHAnsi"/>
                <w:b/>
                <w:szCs w:val="22"/>
              </w:rPr>
              <w:t>Remote</w:t>
            </w:r>
          </w:p>
        </w:tc>
        <w:tc>
          <w:tcPr>
            <w:tcW w:w="1123" w:type="dxa"/>
          </w:tcPr>
          <w:p w:rsidR="002265C7" w:rsidRPr="00EF5802" w:rsidRDefault="002265C7" w:rsidP="002265C7">
            <w:pPr>
              <w:pStyle w:val="TableFigText"/>
              <w:jc w:val="right"/>
              <w:rPr>
                <w:rFonts w:asciiTheme="minorHAnsi" w:hAnsiTheme="minorHAnsi" w:cstheme="minorHAnsi"/>
                <w:b/>
                <w:szCs w:val="22"/>
              </w:rPr>
            </w:pPr>
            <w:r w:rsidRPr="00EF5802">
              <w:rPr>
                <w:rFonts w:asciiTheme="minorHAnsi" w:hAnsiTheme="minorHAnsi" w:cstheme="minorHAnsi"/>
                <w:b/>
                <w:szCs w:val="22"/>
              </w:rPr>
              <w:t>Very remote</w:t>
            </w:r>
          </w:p>
        </w:tc>
        <w:tc>
          <w:tcPr>
            <w:tcW w:w="1097" w:type="dxa"/>
          </w:tcPr>
          <w:p w:rsidR="002265C7" w:rsidRPr="00EF5802" w:rsidRDefault="002265C7" w:rsidP="002265C7">
            <w:pPr>
              <w:pStyle w:val="TableFigText"/>
              <w:jc w:val="right"/>
              <w:rPr>
                <w:rFonts w:asciiTheme="minorHAnsi" w:hAnsiTheme="minorHAnsi" w:cstheme="minorHAnsi"/>
                <w:b/>
                <w:szCs w:val="22"/>
              </w:rPr>
            </w:pPr>
            <w:r w:rsidRPr="00EF5802">
              <w:rPr>
                <w:rFonts w:asciiTheme="minorHAnsi" w:hAnsiTheme="minorHAnsi" w:cstheme="minorHAnsi"/>
                <w:b/>
                <w:szCs w:val="22"/>
              </w:rPr>
              <w:t>Total</w:t>
            </w:r>
          </w:p>
        </w:tc>
      </w:tr>
      <w:tr w:rsidR="002265C7" w:rsidRPr="00EF5802" w:rsidTr="002265C7">
        <w:tc>
          <w:tcPr>
            <w:tcW w:w="2490" w:type="dxa"/>
          </w:tcPr>
          <w:p w:rsidR="002265C7" w:rsidRPr="00EF5802" w:rsidRDefault="002265C7" w:rsidP="002265C7">
            <w:pPr>
              <w:pStyle w:val="TableFigText"/>
              <w:rPr>
                <w:rFonts w:asciiTheme="minorHAnsi" w:hAnsiTheme="minorHAnsi" w:cstheme="minorHAnsi"/>
                <w:szCs w:val="22"/>
              </w:rPr>
            </w:pPr>
            <w:r w:rsidRPr="00EF5802">
              <w:rPr>
                <w:rFonts w:asciiTheme="minorHAnsi" w:hAnsiTheme="minorHAnsi" w:cstheme="minorHAnsi"/>
                <w:szCs w:val="22"/>
              </w:rPr>
              <w:t>Hospital days</w:t>
            </w:r>
            <w:r w:rsidRPr="00EF5802">
              <w:rPr>
                <w:rFonts w:asciiTheme="minorHAnsi" w:hAnsiTheme="minorHAnsi" w:cstheme="minorHAnsi"/>
                <w:szCs w:val="22"/>
                <w:vertAlign w:val="superscript"/>
              </w:rPr>
              <w:t>(a)</w:t>
            </w:r>
          </w:p>
        </w:tc>
        <w:tc>
          <w:tcPr>
            <w:tcW w:w="1079" w:type="dxa"/>
            <w:vAlign w:val="center"/>
          </w:tcPr>
          <w:p w:rsidR="002265C7" w:rsidRPr="001726A2" w:rsidRDefault="002265C7" w:rsidP="007A6F8F">
            <w:pPr>
              <w:pStyle w:val="TableFigText"/>
              <w:jc w:val="right"/>
            </w:pPr>
            <w:r w:rsidRPr="001726A2">
              <w:t>222,310</w:t>
            </w:r>
          </w:p>
        </w:tc>
        <w:tc>
          <w:tcPr>
            <w:tcW w:w="1427" w:type="dxa"/>
            <w:vAlign w:val="center"/>
          </w:tcPr>
          <w:p w:rsidR="002265C7" w:rsidRPr="001726A2" w:rsidRDefault="002265C7" w:rsidP="007A6F8F">
            <w:pPr>
              <w:pStyle w:val="TableFigText"/>
              <w:jc w:val="right"/>
            </w:pPr>
            <w:r w:rsidRPr="001726A2">
              <w:t>8,460</w:t>
            </w:r>
          </w:p>
        </w:tc>
        <w:tc>
          <w:tcPr>
            <w:tcW w:w="1289" w:type="dxa"/>
            <w:shd w:val="clear" w:color="auto" w:fill="auto"/>
            <w:vAlign w:val="center"/>
          </w:tcPr>
          <w:p w:rsidR="002265C7" w:rsidRPr="001726A2" w:rsidRDefault="002265C7" w:rsidP="007A6F8F">
            <w:pPr>
              <w:pStyle w:val="TableFigText"/>
              <w:jc w:val="right"/>
            </w:pPr>
            <w:r w:rsidRPr="001726A2">
              <w:t>4,</w:t>
            </w:r>
            <w:r>
              <w:t>887</w:t>
            </w:r>
            <w:r w:rsidRPr="00681F6F">
              <w:rPr>
                <w:vertAlign w:val="superscript"/>
              </w:rPr>
              <w:t>(b)</w:t>
            </w:r>
          </w:p>
        </w:tc>
        <w:tc>
          <w:tcPr>
            <w:tcW w:w="1071" w:type="dxa"/>
            <w:shd w:val="clear" w:color="auto" w:fill="auto"/>
            <w:vAlign w:val="center"/>
          </w:tcPr>
          <w:p w:rsidR="002265C7" w:rsidRPr="001726A2" w:rsidRDefault="002265C7" w:rsidP="007A6F8F">
            <w:pPr>
              <w:pStyle w:val="TableFigText"/>
              <w:jc w:val="right"/>
            </w:pPr>
            <w:r>
              <w:t>n/a</w:t>
            </w:r>
            <w:r w:rsidRPr="001726A2" w:rsidDel="00681F6F">
              <w:t xml:space="preserve"> </w:t>
            </w:r>
          </w:p>
        </w:tc>
        <w:tc>
          <w:tcPr>
            <w:tcW w:w="1123" w:type="dxa"/>
            <w:shd w:val="clear" w:color="auto" w:fill="auto"/>
            <w:vAlign w:val="center"/>
          </w:tcPr>
          <w:p w:rsidR="002265C7" w:rsidRPr="001726A2" w:rsidRDefault="002265C7" w:rsidP="007A6F8F">
            <w:pPr>
              <w:pStyle w:val="TableFigText"/>
              <w:jc w:val="right"/>
            </w:pPr>
            <w:r>
              <w:t>n/a</w:t>
            </w:r>
          </w:p>
        </w:tc>
        <w:tc>
          <w:tcPr>
            <w:tcW w:w="1097" w:type="dxa"/>
            <w:shd w:val="clear" w:color="auto" w:fill="auto"/>
            <w:vAlign w:val="center"/>
          </w:tcPr>
          <w:p w:rsidR="002265C7" w:rsidRPr="001726A2" w:rsidRDefault="002265C7" w:rsidP="007A6F8F">
            <w:pPr>
              <w:pStyle w:val="TableFigText"/>
              <w:jc w:val="right"/>
            </w:pPr>
            <w:r w:rsidRPr="001726A2">
              <w:t>235,657</w:t>
            </w:r>
          </w:p>
        </w:tc>
      </w:tr>
      <w:tr w:rsidR="002265C7" w:rsidRPr="00EF5802" w:rsidTr="002265C7">
        <w:tc>
          <w:tcPr>
            <w:tcW w:w="2490" w:type="dxa"/>
          </w:tcPr>
          <w:p w:rsidR="002265C7" w:rsidRPr="00EF5802" w:rsidRDefault="002265C7" w:rsidP="002265C7">
            <w:pPr>
              <w:pStyle w:val="TableFigText"/>
              <w:rPr>
                <w:rFonts w:asciiTheme="minorHAnsi" w:hAnsiTheme="minorHAnsi" w:cstheme="minorHAnsi"/>
                <w:szCs w:val="22"/>
              </w:rPr>
            </w:pPr>
            <w:r w:rsidRPr="00EF5802">
              <w:rPr>
                <w:rFonts w:asciiTheme="minorHAnsi" w:hAnsiTheme="minorHAnsi" w:cstheme="minorHAnsi"/>
                <w:szCs w:val="22"/>
              </w:rPr>
              <w:t>Community mental health care contacts</w:t>
            </w:r>
            <w:r w:rsidRPr="00EF5802">
              <w:rPr>
                <w:rFonts w:asciiTheme="minorHAnsi" w:hAnsiTheme="minorHAnsi" w:cstheme="minorHAnsi"/>
                <w:szCs w:val="22"/>
                <w:vertAlign w:val="superscript"/>
              </w:rPr>
              <w:t>(</w:t>
            </w:r>
            <w:r>
              <w:rPr>
                <w:rFonts w:asciiTheme="minorHAnsi" w:hAnsiTheme="minorHAnsi" w:cstheme="minorHAnsi"/>
                <w:szCs w:val="22"/>
                <w:vertAlign w:val="superscript"/>
              </w:rPr>
              <w:t>c</w:t>
            </w:r>
            <w:r w:rsidRPr="00EF5802">
              <w:rPr>
                <w:rFonts w:asciiTheme="minorHAnsi" w:hAnsiTheme="minorHAnsi" w:cstheme="minorHAnsi"/>
                <w:szCs w:val="22"/>
                <w:vertAlign w:val="superscript"/>
              </w:rPr>
              <w:t>)</w:t>
            </w:r>
            <w:r w:rsidRPr="00EF5802">
              <w:rPr>
                <w:rFonts w:asciiTheme="minorHAnsi" w:hAnsiTheme="minorHAnsi" w:cstheme="minorHAnsi"/>
                <w:szCs w:val="22"/>
              </w:rPr>
              <w:t xml:space="preserve"> </w:t>
            </w:r>
          </w:p>
        </w:tc>
        <w:tc>
          <w:tcPr>
            <w:tcW w:w="1079" w:type="dxa"/>
            <w:vAlign w:val="center"/>
          </w:tcPr>
          <w:p w:rsidR="002265C7" w:rsidRPr="001726A2" w:rsidRDefault="002265C7" w:rsidP="007A6F8F">
            <w:pPr>
              <w:pStyle w:val="TableFigText"/>
              <w:jc w:val="right"/>
            </w:pPr>
            <w:r w:rsidRPr="001726A2">
              <w:t>623,844</w:t>
            </w:r>
          </w:p>
        </w:tc>
        <w:tc>
          <w:tcPr>
            <w:tcW w:w="1427" w:type="dxa"/>
            <w:vAlign w:val="center"/>
          </w:tcPr>
          <w:p w:rsidR="002265C7" w:rsidRPr="001726A2" w:rsidRDefault="002265C7" w:rsidP="007A6F8F">
            <w:pPr>
              <w:pStyle w:val="TableFigText"/>
              <w:jc w:val="right"/>
            </w:pPr>
            <w:r w:rsidRPr="001726A2">
              <w:t>52,187</w:t>
            </w:r>
          </w:p>
        </w:tc>
        <w:tc>
          <w:tcPr>
            <w:tcW w:w="1289" w:type="dxa"/>
            <w:shd w:val="clear" w:color="auto" w:fill="auto"/>
            <w:vAlign w:val="center"/>
          </w:tcPr>
          <w:p w:rsidR="002265C7" w:rsidRPr="001726A2" w:rsidRDefault="002265C7" w:rsidP="007A6F8F">
            <w:pPr>
              <w:pStyle w:val="TableFigText"/>
              <w:jc w:val="right"/>
            </w:pPr>
            <w:r w:rsidRPr="001726A2">
              <w:t>49,709</w:t>
            </w:r>
          </w:p>
        </w:tc>
        <w:tc>
          <w:tcPr>
            <w:tcW w:w="1071" w:type="dxa"/>
            <w:shd w:val="clear" w:color="auto" w:fill="auto"/>
            <w:vAlign w:val="center"/>
          </w:tcPr>
          <w:p w:rsidR="002265C7" w:rsidRPr="001726A2" w:rsidRDefault="002265C7" w:rsidP="007A6F8F">
            <w:pPr>
              <w:pStyle w:val="TableFigText"/>
              <w:jc w:val="right"/>
            </w:pPr>
            <w:r w:rsidRPr="001726A2">
              <w:t>23,576</w:t>
            </w:r>
          </w:p>
        </w:tc>
        <w:tc>
          <w:tcPr>
            <w:tcW w:w="1123" w:type="dxa"/>
            <w:shd w:val="clear" w:color="auto" w:fill="auto"/>
            <w:vAlign w:val="center"/>
          </w:tcPr>
          <w:p w:rsidR="002265C7" w:rsidRPr="001726A2" w:rsidRDefault="002265C7" w:rsidP="007A6F8F">
            <w:pPr>
              <w:pStyle w:val="TableFigText"/>
              <w:jc w:val="right"/>
            </w:pPr>
            <w:r w:rsidRPr="001726A2">
              <w:t>3,103</w:t>
            </w:r>
          </w:p>
        </w:tc>
        <w:tc>
          <w:tcPr>
            <w:tcW w:w="1097" w:type="dxa"/>
            <w:shd w:val="clear" w:color="auto" w:fill="auto"/>
            <w:vAlign w:val="center"/>
          </w:tcPr>
          <w:p w:rsidR="002265C7" w:rsidRPr="001726A2" w:rsidRDefault="002265C7" w:rsidP="007A6F8F">
            <w:pPr>
              <w:pStyle w:val="TableFigText"/>
              <w:jc w:val="right"/>
            </w:pPr>
            <w:r w:rsidRPr="001726A2">
              <w:t>752,419</w:t>
            </w:r>
          </w:p>
        </w:tc>
      </w:tr>
      <w:tr w:rsidR="002265C7" w:rsidRPr="00EF5802" w:rsidTr="002265C7">
        <w:tc>
          <w:tcPr>
            <w:tcW w:w="2490" w:type="dxa"/>
          </w:tcPr>
          <w:p w:rsidR="002265C7" w:rsidRPr="00EF5802" w:rsidRDefault="002265C7" w:rsidP="002265C7">
            <w:pPr>
              <w:pStyle w:val="TableFigText"/>
              <w:rPr>
                <w:rFonts w:asciiTheme="minorHAnsi" w:hAnsiTheme="minorHAnsi" w:cstheme="minorHAnsi"/>
                <w:szCs w:val="22"/>
              </w:rPr>
            </w:pPr>
            <w:r w:rsidRPr="00EF5802">
              <w:rPr>
                <w:rFonts w:asciiTheme="minorHAnsi" w:hAnsiTheme="minorHAnsi" w:cstheme="minorHAnsi"/>
                <w:szCs w:val="22"/>
              </w:rPr>
              <w:t>Residential mental health care days</w:t>
            </w:r>
            <w:r w:rsidRPr="00EF5802">
              <w:rPr>
                <w:rFonts w:asciiTheme="minorHAnsi" w:hAnsiTheme="minorHAnsi" w:cstheme="minorHAnsi"/>
                <w:szCs w:val="22"/>
                <w:vertAlign w:val="superscript"/>
              </w:rPr>
              <w:t>(</w:t>
            </w:r>
            <w:r>
              <w:rPr>
                <w:rFonts w:asciiTheme="minorHAnsi" w:hAnsiTheme="minorHAnsi" w:cstheme="minorHAnsi"/>
                <w:szCs w:val="22"/>
                <w:vertAlign w:val="superscript"/>
              </w:rPr>
              <w:t>d</w:t>
            </w:r>
            <w:r w:rsidRPr="00EF5802">
              <w:rPr>
                <w:rFonts w:asciiTheme="minorHAnsi" w:hAnsiTheme="minorHAnsi" w:cstheme="minorHAnsi"/>
                <w:szCs w:val="22"/>
                <w:vertAlign w:val="superscript"/>
              </w:rPr>
              <w:t>)</w:t>
            </w:r>
          </w:p>
        </w:tc>
        <w:tc>
          <w:tcPr>
            <w:tcW w:w="1079" w:type="dxa"/>
            <w:vAlign w:val="center"/>
          </w:tcPr>
          <w:p w:rsidR="002265C7" w:rsidRPr="001726A2" w:rsidRDefault="002265C7" w:rsidP="007A6F8F">
            <w:pPr>
              <w:pStyle w:val="TableFigText"/>
              <w:jc w:val="right"/>
            </w:pPr>
            <w:r w:rsidRPr="001726A2">
              <w:t>81,583</w:t>
            </w:r>
          </w:p>
        </w:tc>
        <w:tc>
          <w:tcPr>
            <w:tcW w:w="1427" w:type="dxa"/>
            <w:vAlign w:val="center"/>
          </w:tcPr>
          <w:p w:rsidR="002265C7" w:rsidRPr="001726A2" w:rsidRDefault="002265C7" w:rsidP="007A6F8F">
            <w:pPr>
              <w:pStyle w:val="TableFigText"/>
              <w:jc w:val="right"/>
            </w:pPr>
            <w:r w:rsidRPr="001726A2">
              <w:t>10,176</w:t>
            </w:r>
          </w:p>
        </w:tc>
        <w:tc>
          <w:tcPr>
            <w:tcW w:w="1289" w:type="dxa"/>
            <w:shd w:val="clear" w:color="auto" w:fill="auto"/>
            <w:vAlign w:val="center"/>
          </w:tcPr>
          <w:p w:rsidR="002265C7" w:rsidRPr="001726A2" w:rsidRDefault="002265C7" w:rsidP="007A6F8F">
            <w:pPr>
              <w:pStyle w:val="TableFigText"/>
              <w:jc w:val="right"/>
            </w:pPr>
            <w:r w:rsidRPr="001726A2">
              <w:t>9,387</w:t>
            </w:r>
          </w:p>
        </w:tc>
        <w:tc>
          <w:tcPr>
            <w:tcW w:w="1071" w:type="dxa"/>
            <w:shd w:val="clear" w:color="auto" w:fill="auto"/>
            <w:vAlign w:val="center"/>
          </w:tcPr>
          <w:p w:rsidR="002265C7" w:rsidRPr="001726A2" w:rsidRDefault="002265C7" w:rsidP="007A6F8F">
            <w:pPr>
              <w:pStyle w:val="TableFigText"/>
              <w:jc w:val="right"/>
            </w:pPr>
            <w:r w:rsidRPr="001726A2">
              <w:t>6</w:t>
            </w:r>
          </w:p>
        </w:tc>
        <w:tc>
          <w:tcPr>
            <w:tcW w:w="1123" w:type="dxa"/>
            <w:shd w:val="clear" w:color="auto" w:fill="auto"/>
            <w:vAlign w:val="center"/>
          </w:tcPr>
          <w:p w:rsidR="002265C7" w:rsidRPr="001726A2" w:rsidRDefault="002265C7" w:rsidP="007A6F8F">
            <w:pPr>
              <w:pStyle w:val="TableFigText"/>
              <w:jc w:val="right"/>
            </w:pPr>
            <w:r w:rsidRPr="001726A2">
              <w:t>0</w:t>
            </w:r>
          </w:p>
        </w:tc>
        <w:tc>
          <w:tcPr>
            <w:tcW w:w="1097" w:type="dxa"/>
            <w:shd w:val="clear" w:color="auto" w:fill="auto"/>
            <w:vAlign w:val="center"/>
          </w:tcPr>
          <w:p w:rsidR="002265C7" w:rsidRPr="00EF5802" w:rsidRDefault="002265C7" w:rsidP="007A6F8F">
            <w:pPr>
              <w:pStyle w:val="TableFigText"/>
              <w:jc w:val="right"/>
            </w:pPr>
            <w:r w:rsidRPr="001726A2">
              <w:t>101,152</w:t>
            </w:r>
          </w:p>
        </w:tc>
      </w:tr>
    </w:tbl>
    <w:p w:rsidR="002265C7" w:rsidRPr="00FA0B63" w:rsidRDefault="002265C7" w:rsidP="006B2ED0">
      <w:pPr>
        <w:pStyle w:val="TableFigNotesnumbered"/>
        <w:ind w:left="294" w:hanging="294"/>
        <w:rPr>
          <w:rStyle w:val="table-note"/>
        </w:rPr>
      </w:pPr>
      <w:proofErr w:type="gramStart"/>
      <w:r w:rsidRPr="00FA0B63">
        <w:rPr>
          <w:rStyle w:val="table-note"/>
        </w:rPr>
        <w:t>n/a</w:t>
      </w:r>
      <w:proofErr w:type="gramEnd"/>
      <w:r w:rsidRPr="00FA0B63">
        <w:rPr>
          <w:rStyle w:val="table-note"/>
        </w:rPr>
        <w:tab/>
        <w:t>Not Applicable</w:t>
      </w:r>
    </w:p>
    <w:p w:rsidR="002265C7" w:rsidRPr="00FA0B63" w:rsidRDefault="002265C7" w:rsidP="00540186">
      <w:pPr>
        <w:pStyle w:val="TableFigNotesnumbered"/>
        <w:numPr>
          <w:ilvl w:val="0"/>
          <w:numId w:val="84"/>
        </w:numPr>
        <w:rPr>
          <w:rStyle w:val="table-note"/>
        </w:rPr>
      </w:pPr>
      <w:r w:rsidRPr="00FA0B63">
        <w:rPr>
          <w:rStyle w:val="table-note"/>
        </w:rPr>
        <w:t xml:space="preserve">Hospital days, also known as accrued mental health care days for public hospital services, will not equal figures reported from the National hospital morbidity database due to scope differences between the two collections.  </w:t>
      </w:r>
    </w:p>
    <w:p w:rsidR="002265C7" w:rsidRPr="00FA0B63" w:rsidRDefault="002265C7" w:rsidP="00540186">
      <w:pPr>
        <w:pStyle w:val="TableFigNotesnumbered"/>
        <w:numPr>
          <w:ilvl w:val="0"/>
          <w:numId w:val="84"/>
        </w:numPr>
        <w:rPr>
          <w:rStyle w:val="table-note"/>
        </w:rPr>
      </w:pPr>
      <w:r w:rsidRPr="00FA0B63">
        <w:rPr>
          <w:rStyle w:val="table-note"/>
        </w:rPr>
        <w:t>Includes activity occurring in remote and very remote areas</w:t>
      </w:r>
    </w:p>
    <w:p w:rsidR="002265C7" w:rsidRPr="00FA0B63" w:rsidRDefault="002265C7" w:rsidP="00540186">
      <w:pPr>
        <w:pStyle w:val="TableFigNotesnumbered"/>
        <w:numPr>
          <w:ilvl w:val="0"/>
          <w:numId w:val="84"/>
        </w:numPr>
        <w:rPr>
          <w:rStyle w:val="table-note"/>
        </w:rPr>
      </w:pPr>
      <w:r w:rsidRPr="00FA0B63">
        <w:rPr>
          <w:rStyle w:val="table-note"/>
        </w:rPr>
        <w:t xml:space="preserve">Community mental health care contacts will not equate to those reported from the Community mental health care database due to differing scope. </w:t>
      </w:r>
    </w:p>
    <w:p w:rsidR="002265C7" w:rsidRPr="00FA0B63" w:rsidRDefault="002265C7" w:rsidP="00540186">
      <w:pPr>
        <w:pStyle w:val="TableFigNotesnumbered"/>
        <w:numPr>
          <w:ilvl w:val="0"/>
          <w:numId w:val="84"/>
        </w:numPr>
        <w:rPr>
          <w:rStyle w:val="table-note"/>
        </w:rPr>
      </w:pPr>
      <w:proofErr w:type="gramStart"/>
      <w:r w:rsidRPr="00FA0B63">
        <w:rPr>
          <w:rStyle w:val="table-note"/>
        </w:rPr>
        <w:t>Residential mental health care days comprises</w:t>
      </w:r>
      <w:proofErr w:type="gramEnd"/>
      <w:r w:rsidRPr="00FA0B63">
        <w:rPr>
          <w:rStyle w:val="table-note"/>
        </w:rPr>
        <w:t xml:space="preserve"> the number of care days provided by all services, including government and non-government operated services, and 24-hour and non-24-hour staffed services. Figures will not equate to those reported from the Residential mental health care database due to differing collection scopes.</w:t>
      </w:r>
    </w:p>
    <w:p w:rsidR="002265C7" w:rsidRPr="00207B28" w:rsidRDefault="002265C7" w:rsidP="002265C7">
      <w:pPr>
        <w:pStyle w:val="AIHWbodytext"/>
        <w:rPr>
          <w:rFonts w:asciiTheme="minorHAnsi" w:hAnsiTheme="minorHAnsi"/>
        </w:rPr>
      </w:pPr>
    </w:p>
    <w:p w:rsidR="00DD759E" w:rsidRDefault="00DD759E">
      <w:pPr>
        <w:spacing w:before="0" w:after="0" w:line="240" w:lineRule="auto"/>
      </w:pPr>
      <w:r>
        <w:br w:type="page"/>
      </w:r>
    </w:p>
    <w:p w:rsidR="00DD759E" w:rsidRPr="008B7E34" w:rsidRDefault="00DD759E" w:rsidP="00DD759E">
      <w:pPr>
        <w:pStyle w:val="Heading3"/>
      </w:pPr>
      <w:bookmarkStart w:id="15" w:name="_Toc403057866"/>
      <w:r>
        <w:lastRenderedPageBreak/>
        <w:t>South Australia</w:t>
      </w:r>
      <w:bookmarkEnd w:id="15"/>
    </w:p>
    <w:p w:rsidR="00DD759E" w:rsidRDefault="00DD759E" w:rsidP="007A6F8F">
      <w:pPr>
        <w:pStyle w:val="Bullet1"/>
      </w:pPr>
      <w:r w:rsidRPr="009C6581">
        <w:t xml:space="preserve">Specialised </w:t>
      </w:r>
      <w:r>
        <w:t xml:space="preserve">mental health </w:t>
      </w:r>
      <w:r w:rsidRPr="009C6581">
        <w:t xml:space="preserve">hospital services in South Australia are located in </w:t>
      </w:r>
      <w:r w:rsidRPr="009C6581">
        <w:rPr>
          <w:i/>
        </w:rPr>
        <w:t>Major cities</w:t>
      </w:r>
      <w:r w:rsidRPr="009C6581">
        <w:t xml:space="preserve"> only, however,</w:t>
      </w:r>
      <w:r>
        <w:t xml:space="preserve"> for acute service access the </w:t>
      </w:r>
      <w:r w:rsidRPr="009C6581">
        <w:t>Rural and Remote Distance Consultation and Emergency Triage and Liaison Service is available 24 hours a day, seven days a week. This service is staffed by mental health clinici</w:t>
      </w:r>
      <w:r>
        <w:t>ans who triage admissions to an</w:t>
      </w:r>
      <w:r w:rsidRPr="009C6581">
        <w:t xml:space="preserve"> inpatient service and provide a comprehensive range of advice and support including access to psychiatrists. The Rural and Remote Service also incorporates a </w:t>
      </w:r>
      <w:proofErr w:type="spellStart"/>
      <w:r w:rsidRPr="009C6581">
        <w:t>telepsychiatry</w:t>
      </w:r>
      <w:proofErr w:type="spellEnd"/>
      <w:r w:rsidRPr="009C6581">
        <w:t xml:space="preserve"> service which uses video conferencing to enable a person to remain in or close to their own community while receiving psychiatric consultations for initial assessment, discharge planning and ongoing treatment.</w:t>
      </w:r>
      <w:r>
        <w:t xml:space="preserve"> See </w:t>
      </w:r>
      <w:hyperlink r:id="rId22" w:history="1">
        <w:r w:rsidRPr="00356AB8">
          <w:rPr>
            <w:rStyle w:val="Hyperlink"/>
          </w:rPr>
          <w:t>S</w:t>
        </w:r>
        <w:r>
          <w:rPr>
            <w:rStyle w:val="Hyperlink"/>
          </w:rPr>
          <w:t xml:space="preserve">outh </w:t>
        </w:r>
        <w:r w:rsidRPr="00356AB8">
          <w:rPr>
            <w:rStyle w:val="Hyperlink"/>
          </w:rPr>
          <w:t>A</w:t>
        </w:r>
        <w:r>
          <w:rPr>
            <w:rStyle w:val="Hyperlink"/>
          </w:rPr>
          <w:t>ustralian</w:t>
        </w:r>
        <w:r w:rsidRPr="00356AB8">
          <w:rPr>
            <w:rStyle w:val="Hyperlink"/>
          </w:rPr>
          <w:t xml:space="preserve"> Health, </w:t>
        </w:r>
        <w:r>
          <w:rPr>
            <w:rStyle w:val="Hyperlink"/>
          </w:rPr>
          <w:t xml:space="preserve">Acute </w:t>
        </w:r>
        <w:r w:rsidRPr="00356AB8">
          <w:rPr>
            <w:rStyle w:val="Hyperlink"/>
          </w:rPr>
          <w:t>Mental Health Services</w:t>
        </w:r>
      </w:hyperlink>
      <w:r>
        <w:t xml:space="preserve"> for more information.</w:t>
      </w:r>
    </w:p>
    <w:p w:rsidR="00DD759E" w:rsidRDefault="00DD759E" w:rsidP="007A6F8F">
      <w:pPr>
        <w:pStyle w:val="Bullet1"/>
      </w:pPr>
      <w:r w:rsidRPr="001E6FF3">
        <w:t>Locations of SA country-based Child and Adolescent services, historically split into “Northern” and “Southern”, have been reported under their respective administrative central office locations both of which are in metropolitan Adelaide.</w:t>
      </w:r>
      <w:r>
        <w:t xml:space="preserve"> </w:t>
      </w:r>
    </w:p>
    <w:p w:rsidR="00DD759E" w:rsidRPr="009C6581" w:rsidRDefault="00DD759E" w:rsidP="007A6F8F">
      <w:pPr>
        <w:pStyle w:val="Bullet1"/>
      </w:pPr>
      <w:r w:rsidRPr="009C6581">
        <w:t xml:space="preserve">Data for community mental health care services in the very remote category reported in 2007–08 were no longer considered in-scope for the MHE NMDS collection in 2011–12 due to a change in the model of care of the service. </w:t>
      </w:r>
    </w:p>
    <w:p w:rsidR="00DD759E" w:rsidRDefault="00DD759E" w:rsidP="00DD759E">
      <w:pPr>
        <w:spacing w:before="0" w:after="0" w:line="240" w:lineRule="auto"/>
        <w:rPr>
          <w:rFonts w:asciiTheme="minorHAnsi" w:hAnsiTheme="minorHAnsi" w:cstheme="minorHAnsi"/>
          <w:b/>
          <w:sz w:val="20"/>
          <w:szCs w:val="20"/>
          <w:lang w:eastAsia="en-US"/>
        </w:rPr>
      </w:pPr>
      <w:r>
        <w:rPr>
          <w:rFonts w:asciiTheme="minorHAnsi" w:hAnsiTheme="minorHAnsi" w:cstheme="minorHAnsi"/>
        </w:rPr>
        <w:br w:type="page"/>
      </w:r>
    </w:p>
    <w:p w:rsidR="00DD759E" w:rsidRPr="0096114C" w:rsidRDefault="0096114C" w:rsidP="00DD759E">
      <w:pPr>
        <w:pStyle w:val="TableCaption"/>
        <w:rPr>
          <w:rStyle w:val="table-note"/>
        </w:rPr>
      </w:pPr>
      <w:r w:rsidRPr="0096114C">
        <w:rPr>
          <w:rStyle w:val="table-note"/>
        </w:rPr>
        <w:lastRenderedPageBreak/>
        <w:t xml:space="preserve">Table 42: </w:t>
      </w:r>
      <w:r w:rsidR="00DD759E" w:rsidRPr="0096114C">
        <w:rPr>
          <w:rStyle w:val="table-note"/>
        </w:rPr>
        <w:t xml:space="preserve">SA: Recurrent </w:t>
      </w:r>
      <w:proofErr w:type="gramStart"/>
      <w:r w:rsidR="00DD759E" w:rsidRPr="0096114C">
        <w:rPr>
          <w:rStyle w:val="table-note"/>
        </w:rPr>
        <w:t>expenditure</w:t>
      </w:r>
      <w:r w:rsidR="00DD759E" w:rsidRPr="0096114C">
        <w:rPr>
          <w:rStyle w:val="table-note"/>
          <w:vertAlign w:val="superscript"/>
        </w:rPr>
        <w:t>(</w:t>
      </w:r>
      <w:proofErr w:type="gramEnd"/>
      <w:r w:rsidR="00DD759E" w:rsidRPr="0096114C">
        <w:rPr>
          <w:rStyle w:val="table-note"/>
          <w:vertAlign w:val="superscript"/>
        </w:rPr>
        <w:t>a)(b)</w:t>
      </w:r>
      <w:r w:rsidR="00DD759E" w:rsidRPr="0096114C">
        <w:rPr>
          <w:rStyle w:val="table-note"/>
        </w:rPr>
        <w:t xml:space="preserve"> ($’000) on state and territory specialised mental health services, by service type, 2007–08 (constant prices)</w:t>
      </w:r>
      <w:r w:rsidR="00DD759E" w:rsidRPr="0096114C">
        <w:rPr>
          <w:rStyle w:val="table-note"/>
          <w:vertAlign w:val="superscript"/>
        </w:rPr>
        <w:t>(c)</w:t>
      </w:r>
    </w:p>
    <w:tbl>
      <w:tblPr>
        <w:tblStyle w:val="TableGrid"/>
        <w:tblW w:w="0" w:type="auto"/>
        <w:tblLook w:val="04A0" w:firstRow="1" w:lastRow="0" w:firstColumn="1" w:lastColumn="0" w:noHBand="0" w:noVBand="1"/>
        <w:tblCaption w:val="SA: Recurrent expenditure(a)(b) ($’000) on state and territory specialised mental health services, by service type, 2007–08 (constant prices)(c)"/>
        <w:tblDescription w:val="Table showing that, in 2007-2008, major cities in SA have the highest recurrent expenditure for all specialised mental health services including hospital services at $267,225,000. Public hospital services have the highest expenditure at a total of $157,416,000 across all remoteness areas followed by community mental health services, $114,707,000 and residential mental health services $7,365,000. "/>
      </w:tblPr>
      <w:tblGrid>
        <w:gridCol w:w="2382"/>
        <w:gridCol w:w="1054"/>
        <w:gridCol w:w="1373"/>
        <w:gridCol w:w="1245"/>
        <w:gridCol w:w="1044"/>
        <w:gridCol w:w="1088"/>
        <w:gridCol w:w="1100"/>
      </w:tblGrid>
      <w:tr w:rsidR="00DD759E" w:rsidRPr="00B476FB" w:rsidTr="000C3DEA">
        <w:trPr>
          <w:tblHeader/>
        </w:trPr>
        <w:tc>
          <w:tcPr>
            <w:tcW w:w="2490" w:type="dxa"/>
          </w:tcPr>
          <w:p w:rsidR="00DD759E" w:rsidRPr="00B476FB" w:rsidRDefault="00DD759E" w:rsidP="00987128">
            <w:pPr>
              <w:pStyle w:val="TableFigText"/>
              <w:rPr>
                <w:rFonts w:asciiTheme="minorHAnsi" w:hAnsiTheme="minorHAnsi" w:cstheme="minorHAnsi"/>
                <w:szCs w:val="22"/>
              </w:rPr>
            </w:pPr>
          </w:p>
        </w:tc>
        <w:tc>
          <w:tcPr>
            <w:tcW w:w="1074" w:type="dxa"/>
          </w:tcPr>
          <w:p w:rsidR="00DD759E" w:rsidRPr="00B476FB" w:rsidRDefault="00DD759E" w:rsidP="00987128">
            <w:pPr>
              <w:pStyle w:val="TableFigText"/>
              <w:jc w:val="right"/>
              <w:rPr>
                <w:rFonts w:asciiTheme="minorHAnsi" w:hAnsiTheme="minorHAnsi" w:cstheme="minorHAnsi"/>
                <w:b/>
                <w:szCs w:val="22"/>
              </w:rPr>
            </w:pPr>
            <w:r w:rsidRPr="00B476FB">
              <w:rPr>
                <w:rFonts w:asciiTheme="minorHAnsi" w:hAnsiTheme="minorHAnsi" w:cstheme="minorHAnsi"/>
                <w:b/>
                <w:szCs w:val="22"/>
              </w:rPr>
              <w:t>Major cities</w:t>
            </w:r>
          </w:p>
        </w:tc>
        <w:tc>
          <w:tcPr>
            <w:tcW w:w="1420" w:type="dxa"/>
          </w:tcPr>
          <w:p w:rsidR="00DD759E" w:rsidRPr="00B476FB" w:rsidRDefault="00DD759E" w:rsidP="00987128">
            <w:pPr>
              <w:pStyle w:val="TableFigText"/>
              <w:jc w:val="right"/>
              <w:rPr>
                <w:rFonts w:asciiTheme="minorHAnsi" w:hAnsiTheme="minorHAnsi" w:cstheme="minorHAnsi"/>
                <w:b/>
                <w:szCs w:val="22"/>
              </w:rPr>
            </w:pPr>
            <w:r w:rsidRPr="00B476FB">
              <w:rPr>
                <w:rFonts w:asciiTheme="minorHAnsi" w:hAnsiTheme="minorHAnsi" w:cstheme="minorHAnsi"/>
                <w:b/>
                <w:szCs w:val="22"/>
              </w:rPr>
              <w:t>Inner regional</w:t>
            </w:r>
          </w:p>
        </w:tc>
        <w:tc>
          <w:tcPr>
            <w:tcW w:w="1283" w:type="dxa"/>
          </w:tcPr>
          <w:p w:rsidR="00DD759E" w:rsidRPr="00B476FB" w:rsidRDefault="00DD759E" w:rsidP="00987128">
            <w:pPr>
              <w:pStyle w:val="TableFigText"/>
              <w:jc w:val="right"/>
              <w:rPr>
                <w:rFonts w:asciiTheme="minorHAnsi" w:hAnsiTheme="minorHAnsi" w:cstheme="minorHAnsi"/>
                <w:b/>
                <w:szCs w:val="22"/>
              </w:rPr>
            </w:pPr>
            <w:r w:rsidRPr="00B476FB">
              <w:rPr>
                <w:rFonts w:asciiTheme="minorHAnsi" w:hAnsiTheme="minorHAnsi" w:cstheme="minorHAnsi"/>
                <w:b/>
                <w:szCs w:val="22"/>
              </w:rPr>
              <w:t>Outer regional</w:t>
            </w:r>
          </w:p>
        </w:tc>
        <w:tc>
          <w:tcPr>
            <w:tcW w:w="1067" w:type="dxa"/>
          </w:tcPr>
          <w:p w:rsidR="00DD759E" w:rsidRPr="00B476FB" w:rsidRDefault="00DD759E" w:rsidP="00987128">
            <w:pPr>
              <w:pStyle w:val="TableFigText"/>
              <w:jc w:val="right"/>
              <w:rPr>
                <w:rFonts w:asciiTheme="minorHAnsi" w:hAnsiTheme="minorHAnsi" w:cstheme="minorHAnsi"/>
                <w:b/>
                <w:szCs w:val="22"/>
              </w:rPr>
            </w:pPr>
            <w:r w:rsidRPr="00B476FB">
              <w:rPr>
                <w:rFonts w:asciiTheme="minorHAnsi" w:hAnsiTheme="minorHAnsi" w:cstheme="minorHAnsi"/>
                <w:b/>
                <w:szCs w:val="22"/>
              </w:rPr>
              <w:t>Remote</w:t>
            </w:r>
          </w:p>
        </w:tc>
        <w:tc>
          <w:tcPr>
            <w:tcW w:w="1118" w:type="dxa"/>
          </w:tcPr>
          <w:p w:rsidR="00DD759E" w:rsidRPr="00B476FB" w:rsidRDefault="00DD759E" w:rsidP="00987128">
            <w:pPr>
              <w:pStyle w:val="TableFigText"/>
              <w:jc w:val="right"/>
              <w:rPr>
                <w:rFonts w:asciiTheme="minorHAnsi" w:hAnsiTheme="minorHAnsi" w:cstheme="minorHAnsi"/>
                <w:b/>
                <w:szCs w:val="22"/>
              </w:rPr>
            </w:pPr>
            <w:r w:rsidRPr="00B476FB">
              <w:rPr>
                <w:rFonts w:asciiTheme="minorHAnsi" w:hAnsiTheme="minorHAnsi" w:cstheme="minorHAnsi"/>
                <w:b/>
                <w:szCs w:val="22"/>
              </w:rPr>
              <w:t>Very remote</w:t>
            </w:r>
          </w:p>
        </w:tc>
        <w:tc>
          <w:tcPr>
            <w:tcW w:w="1124" w:type="dxa"/>
          </w:tcPr>
          <w:p w:rsidR="00DD759E" w:rsidRPr="00B476FB" w:rsidRDefault="00DD759E" w:rsidP="00987128">
            <w:pPr>
              <w:pStyle w:val="TableFigText"/>
              <w:jc w:val="right"/>
              <w:rPr>
                <w:rFonts w:asciiTheme="minorHAnsi" w:hAnsiTheme="minorHAnsi" w:cstheme="minorHAnsi"/>
                <w:b/>
                <w:szCs w:val="22"/>
              </w:rPr>
            </w:pPr>
            <w:r w:rsidRPr="00B476FB">
              <w:rPr>
                <w:rFonts w:asciiTheme="minorHAnsi" w:hAnsiTheme="minorHAnsi" w:cstheme="minorHAnsi"/>
                <w:b/>
                <w:szCs w:val="22"/>
              </w:rPr>
              <w:t>Total</w:t>
            </w:r>
            <w:r w:rsidRPr="00B476FB">
              <w:rPr>
                <w:rFonts w:asciiTheme="minorHAnsi" w:hAnsiTheme="minorHAnsi" w:cstheme="minorHAnsi"/>
                <w:szCs w:val="22"/>
                <w:vertAlign w:val="superscript"/>
              </w:rPr>
              <w:t>(</w:t>
            </w:r>
            <w:r>
              <w:rPr>
                <w:rFonts w:asciiTheme="minorHAnsi" w:hAnsiTheme="minorHAnsi" w:cstheme="minorHAnsi"/>
                <w:szCs w:val="22"/>
                <w:vertAlign w:val="superscript"/>
              </w:rPr>
              <w:t>d</w:t>
            </w:r>
            <w:r w:rsidRPr="00B476FB">
              <w:rPr>
                <w:rFonts w:asciiTheme="minorHAnsi" w:hAnsiTheme="minorHAnsi" w:cstheme="minorHAnsi"/>
                <w:szCs w:val="22"/>
                <w:vertAlign w:val="superscript"/>
              </w:rPr>
              <w:t>)</w:t>
            </w:r>
          </w:p>
        </w:tc>
      </w:tr>
      <w:tr w:rsidR="00DD759E" w:rsidRPr="00B476FB" w:rsidTr="00987128">
        <w:tc>
          <w:tcPr>
            <w:tcW w:w="2490" w:type="dxa"/>
          </w:tcPr>
          <w:p w:rsidR="00DD759E" w:rsidRPr="00B476FB" w:rsidRDefault="00DD759E" w:rsidP="00987128">
            <w:pPr>
              <w:pStyle w:val="TableFigText"/>
              <w:rPr>
                <w:rFonts w:asciiTheme="minorHAnsi" w:hAnsiTheme="minorHAnsi" w:cstheme="minorHAnsi"/>
                <w:szCs w:val="22"/>
              </w:rPr>
            </w:pPr>
            <w:r w:rsidRPr="00B476FB">
              <w:rPr>
                <w:rFonts w:asciiTheme="minorHAnsi" w:hAnsiTheme="minorHAnsi" w:cstheme="minorHAnsi"/>
                <w:szCs w:val="22"/>
              </w:rPr>
              <w:t>Public hospital services</w:t>
            </w:r>
            <w:r w:rsidRPr="00B476FB">
              <w:rPr>
                <w:rFonts w:asciiTheme="minorHAnsi" w:hAnsiTheme="minorHAnsi" w:cstheme="minorHAnsi"/>
                <w:szCs w:val="22"/>
                <w:vertAlign w:val="superscript"/>
              </w:rPr>
              <w:t>(</w:t>
            </w:r>
            <w:r>
              <w:rPr>
                <w:rFonts w:asciiTheme="minorHAnsi" w:hAnsiTheme="minorHAnsi" w:cstheme="minorHAnsi"/>
                <w:szCs w:val="22"/>
                <w:vertAlign w:val="superscript"/>
              </w:rPr>
              <w:t>e</w:t>
            </w:r>
            <w:r w:rsidRPr="00B476FB">
              <w:rPr>
                <w:rFonts w:asciiTheme="minorHAnsi" w:hAnsiTheme="minorHAnsi" w:cstheme="minorHAnsi"/>
                <w:szCs w:val="22"/>
                <w:vertAlign w:val="superscript"/>
              </w:rPr>
              <w:t>)(</w:t>
            </w:r>
            <w:r>
              <w:rPr>
                <w:rFonts w:asciiTheme="minorHAnsi" w:hAnsiTheme="minorHAnsi" w:cstheme="minorHAnsi"/>
                <w:szCs w:val="22"/>
                <w:vertAlign w:val="superscript"/>
              </w:rPr>
              <w:t>f</w:t>
            </w:r>
            <w:r w:rsidRPr="00B476FB">
              <w:rPr>
                <w:rFonts w:asciiTheme="minorHAnsi" w:hAnsiTheme="minorHAnsi" w:cstheme="minorHAnsi"/>
                <w:szCs w:val="22"/>
                <w:vertAlign w:val="superscript"/>
              </w:rPr>
              <w:t>)</w:t>
            </w:r>
          </w:p>
        </w:tc>
        <w:tc>
          <w:tcPr>
            <w:tcW w:w="1074" w:type="dxa"/>
          </w:tcPr>
          <w:p w:rsidR="00DD759E" w:rsidRPr="00C17582" w:rsidRDefault="00DD759E" w:rsidP="007A6F8F">
            <w:pPr>
              <w:pStyle w:val="TableFigText"/>
              <w:jc w:val="right"/>
            </w:pPr>
            <w:r w:rsidRPr="00C17582">
              <w:t>157,416</w:t>
            </w:r>
          </w:p>
        </w:tc>
        <w:tc>
          <w:tcPr>
            <w:tcW w:w="1420" w:type="dxa"/>
          </w:tcPr>
          <w:p w:rsidR="00DD759E" w:rsidRPr="00C17582" w:rsidRDefault="00DD759E" w:rsidP="007A6F8F">
            <w:pPr>
              <w:pStyle w:val="TableFigText"/>
              <w:jc w:val="right"/>
            </w:pPr>
            <w:r w:rsidRPr="00C17582">
              <w:t>0</w:t>
            </w:r>
          </w:p>
        </w:tc>
        <w:tc>
          <w:tcPr>
            <w:tcW w:w="1283" w:type="dxa"/>
          </w:tcPr>
          <w:p w:rsidR="00DD759E" w:rsidRPr="00C17582" w:rsidRDefault="00DD759E" w:rsidP="007A6F8F">
            <w:pPr>
              <w:pStyle w:val="TableFigText"/>
              <w:jc w:val="right"/>
            </w:pPr>
            <w:r w:rsidRPr="00C17582">
              <w:t>0</w:t>
            </w:r>
          </w:p>
        </w:tc>
        <w:tc>
          <w:tcPr>
            <w:tcW w:w="1067" w:type="dxa"/>
          </w:tcPr>
          <w:p w:rsidR="00DD759E" w:rsidRPr="00C17582" w:rsidRDefault="00DD759E" w:rsidP="007A6F8F">
            <w:pPr>
              <w:pStyle w:val="TableFigText"/>
              <w:jc w:val="right"/>
            </w:pPr>
            <w:r w:rsidRPr="00C17582">
              <w:t>0</w:t>
            </w:r>
          </w:p>
        </w:tc>
        <w:tc>
          <w:tcPr>
            <w:tcW w:w="1118" w:type="dxa"/>
          </w:tcPr>
          <w:p w:rsidR="00DD759E" w:rsidRPr="00C17582" w:rsidRDefault="00DD759E" w:rsidP="007A6F8F">
            <w:pPr>
              <w:pStyle w:val="TableFigText"/>
              <w:jc w:val="right"/>
            </w:pPr>
            <w:r w:rsidRPr="00C17582">
              <w:t>0</w:t>
            </w:r>
          </w:p>
        </w:tc>
        <w:tc>
          <w:tcPr>
            <w:tcW w:w="1124" w:type="dxa"/>
          </w:tcPr>
          <w:p w:rsidR="00DD759E" w:rsidRPr="00C17582" w:rsidRDefault="00DD759E" w:rsidP="007A6F8F">
            <w:pPr>
              <w:pStyle w:val="TableFigText"/>
              <w:jc w:val="right"/>
            </w:pPr>
            <w:r w:rsidRPr="00C17582">
              <w:t>157,416</w:t>
            </w:r>
          </w:p>
        </w:tc>
      </w:tr>
      <w:tr w:rsidR="00DD759E" w:rsidRPr="00B476FB" w:rsidTr="00987128">
        <w:tc>
          <w:tcPr>
            <w:tcW w:w="2490" w:type="dxa"/>
          </w:tcPr>
          <w:p w:rsidR="00DD759E" w:rsidRPr="00B476FB" w:rsidRDefault="00DD759E" w:rsidP="00987128">
            <w:pPr>
              <w:pStyle w:val="TableFigText"/>
              <w:rPr>
                <w:rFonts w:asciiTheme="minorHAnsi" w:hAnsiTheme="minorHAnsi" w:cstheme="minorHAnsi"/>
                <w:szCs w:val="22"/>
              </w:rPr>
            </w:pPr>
            <w:r w:rsidRPr="00B476FB">
              <w:rPr>
                <w:rFonts w:asciiTheme="minorHAnsi" w:hAnsiTheme="minorHAnsi" w:cstheme="minorHAnsi"/>
                <w:szCs w:val="22"/>
              </w:rPr>
              <w:t>Community mental health services</w:t>
            </w:r>
          </w:p>
        </w:tc>
        <w:tc>
          <w:tcPr>
            <w:tcW w:w="1074" w:type="dxa"/>
          </w:tcPr>
          <w:p w:rsidR="00DD759E" w:rsidRPr="00C17582" w:rsidRDefault="00DD759E" w:rsidP="007A6F8F">
            <w:pPr>
              <w:pStyle w:val="TableFigText"/>
              <w:jc w:val="right"/>
            </w:pPr>
            <w:r w:rsidRPr="00C17582">
              <w:t>102,445</w:t>
            </w:r>
          </w:p>
        </w:tc>
        <w:tc>
          <w:tcPr>
            <w:tcW w:w="1420" w:type="dxa"/>
          </w:tcPr>
          <w:p w:rsidR="00DD759E" w:rsidRPr="00C17582" w:rsidRDefault="00DD759E" w:rsidP="007A6F8F">
            <w:pPr>
              <w:pStyle w:val="TableFigText"/>
              <w:jc w:val="right"/>
            </w:pPr>
            <w:r w:rsidRPr="00C17582">
              <w:t>3,392</w:t>
            </w:r>
          </w:p>
        </w:tc>
        <w:tc>
          <w:tcPr>
            <w:tcW w:w="1283" w:type="dxa"/>
          </w:tcPr>
          <w:p w:rsidR="00DD759E" w:rsidRPr="00C17582" w:rsidRDefault="00DD759E" w:rsidP="007A6F8F">
            <w:pPr>
              <w:pStyle w:val="TableFigText"/>
              <w:jc w:val="right"/>
            </w:pPr>
            <w:r w:rsidRPr="00C17582">
              <w:t>6,997</w:t>
            </w:r>
          </w:p>
        </w:tc>
        <w:tc>
          <w:tcPr>
            <w:tcW w:w="1067" w:type="dxa"/>
          </w:tcPr>
          <w:p w:rsidR="00DD759E" w:rsidRPr="00C17582" w:rsidRDefault="00DD759E" w:rsidP="007A6F8F">
            <w:pPr>
              <w:pStyle w:val="TableFigText"/>
              <w:jc w:val="right"/>
            </w:pPr>
            <w:r w:rsidRPr="00C17582">
              <w:t>1,781</w:t>
            </w:r>
          </w:p>
        </w:tc>
        <w:tc>
          <w:tcPr>
            <w:tcW w:w="1118" w:type="dxa"/>
          </w:tcPr>
          <w:p w:rsidR="00DD759E" w:rsidRPr="00C17582" w:rsidRDefault="00DD759E" w:rsidP="007A6F8F">
            <w:pPr>
              <w:pStyle w:val="TableFigText"/>
              <w:jc w:val="right"/>
            </w:pPr>
            <w:r w:rsidRPr="00C17582">
              <w:t>93</w:t>
            </w:r>
          </w:p>
        </w:tc>
        <w:tc>
          <w:tcPr>
            <w:tcW w:w="1124" w:type="dxa"/>
          </w:tcPr>
          <w:p w:rsidR="00DD759E" w:rsidRPr="00C17582" w:rsidRDefault="00DD759E" w:rsidP="007A6F8F">
            <w:pPr>
              <w:pStyle w:val="TableFigText"/>
              <w:jc w:val="right"/>
            </w:pPr>
            <w:r w:rsidRPr="00C17582">
              <w:t>114,707</w:t>
            </w:r>
          </w:p>
        </w:tc>
      </w:tr>
      <w:tr w:rsidR="00DD759E" w:rsidRPr="00B476FB" w:rsidTr="00987128">
        <w:tc>
          <w:tcPr>
            <w:tcW w:w="2490" w:type="dxa"/>
          </w:tcPr>
          <w:p w:rsidR="00DD759E" w:rsidRPr="00B476FB" w:rsidRDefault="00DD759E" w:rsidP="00987128">
            <w:pPr>
              <w:pStyle w:val="TableFigText"/>
              <w:rPr>
                <w:rFonts w:asciiTheme="minorHAnsi" w:hAnsiTheme="minorHAnsi" w:cstheme="minorHAnsi"/>
                <w:szCs w:val="22"/>
              </w:rPr>
            </w:pPr>
            <w:r w:rsidRPr="00B476FB">
              <w:rPr>
                <w:rFonts w:asciiTheme="minorHAnsi" w:hAnsiTheme="minorHAnsi" w:cstheme="minorHAnsi"/>
                <w:szCs w:val="22"/>
              </w:rPr>
              <w:t>Residential mental health services</w:t>
            </w:r>
            <w:r w:rsidRPr="00B476FB">
              <w:rPr>
                <w:rFonts w:asciiTheme="minorHAnsi" w:hAnsiTheme="minorHAnsi" w:cstheme="minorHAnsi"/>
                <w:szCs w:val="22"/>
                <w:vertAlign w:val="superscript"/>
              </w:rPr>
              <w:t>(</w:t>
            </w:r>
            <w:r>
              <w:rPr>
                <w:rFonts w:asciiTheme="minorHAnsi" w:hAnsiTheme="minorHAnsi" w:cstheme="minorHAnsi"/>
                <w:szCs w:val="22"/>
                <w:vertAlign w:val="superscript"/>
              </w:rPr>
              <w:t>g</w:t>
            </w:r>
            <w:r w:rsidRPr="00B476FB">
              <w:rPr>
                <w:rFonts w:asciiTheme="minorHAnsi" w:hAnsiTheme="minorHAnsi" w:cstheme="minorHAnsi"/>
                <w:szCs w:val="22"/>
                <w:vertAlign w:val="superscript"/>
              </w:rPr>
              <w:t>)</w:t>
            </w:r>
          </w:p>
        </w:tc>
        <w:tc>
          <w:tcPr>
            <w:tcW w:w="1074" w:type="dxa"/>
          </w:tcPr>
          <w:p w:rsidR="00DD759E" w:rsidRPr="00C17582" w:rsidRDefault="00DD759E" w:rsidP="007A6F8F">
            <w:pPr>
              <w:pStyle w:val="TableFigText"/>
              <w:jc w:val="right"/>
            </w:pPr>
            <w:r w:rsidRPr="00C17582">
              <w:t>7,365</w:t>
            </w:r>
          </w:p>
        </w:tc>
        <w:tc>
          <w:tcPr>
            <w:tcW w:w="1420" w:type="dxa"/>
          </w:tcPr>
          <w:p w:rsidR="00DD759E" w:rsidRPr="00C17582" w:rsidRDefault="00DD759E" w:rsidP="007A6F8F">
            <w:pPr>
              <w:pStyle w:val="TableFigText"/>
              <w:jc w:val="right"/>
            </w:pPr>
            <w:r w:rsidRPr="00C17582">
              <w:t>0</w:t>
            </w:r>
          </w:p>
        </w:tc>
        <w:tc>
          <w:tcPr>
            <w:tcW w:w="1283" w:type="dxa"/>
          </w:tcPr>
          <w:p w:rsidR="00DD759E" w:rsidRPr="00C17582" w:rsidRDefault="00DD759E" w:rsidP="007A6F8F">
            <w:pPr>
              <w:pStyle w:val="TableFigText"/>
              <w:jc w:val="right"/>
            </w:pPr>
            <w:r w:rsidRPr="00C17582">
              <w:t>0</w:t>
            </w:r>
          </w:p>
        </w:tc>
        <w:tc>
          <w:tcPr>
            <w:tcW w:w="1067" w:type="dxa"/>
          </w:tcPr>
          <w:p w:rsidR="00DD759E" w:rsidRPr="00C17582" w:rsidRDefault="00DD759E" w:rsidP="007A6F8F">
            <w:pPr>
              <w:pStyle w:val="TableFigText"/>
              <w:jc w:val="right"/>
            </w:pPr>
            <w:r w:rsidRPr="00C17582">
              <w:t>0</w:t>
            </w:r>
          </w:p>
        </w:tc>
        <w:tc>
          <w:tcPr>
            <w:tcW w:w="1118" w:type="dxa"/>
          </w:tcPr>
          <w:p w:rsidR="00DD759E" w:rsidRPr="00C17582" w:rsidRDefault="00DD759E" w:rsidP="007A6F8F">
            <w:pPr>
              <w:pStyle w:val="TableFigText"/>
              <w:jc w:val="right"/>
            </w:pPr>
            <w:r w:rsidRPr="00C17582">
              <w:t>0</w:t>
            </w:r>
          </w:p>
        </w:tc>
        <w:tc>
          <w:tcPr>
            <w:tcW w:w="1124" w:type="dxa"/>
          </w:tcPr>
          <w:p w:rsidR="00DD759E" w:rsidRPr="00C17582" w:rsidRDefault="00DD759E" w:rsidP="007A6F8F">
            <w:pPr>
              <w:pStyle w:val="TableFigText"/>
              <w:jc w:val="right"/>
            </w:pPr>
            <w:r w:rsidRPr="00C17582">
              <w:t>7,365</w:t>
            </w:r>
          </w:p>
        </w:tc>
      </w:tr>
      <w:tr w:rsidR="00DD759E" w:rsidRPr="00B476FB" w:rsidTr="00987128">
        <w:tc>
          <w:tcPr>
            <w:tcW w:w="2490" w:type="dxa"/>
          </w:tcPr>
          <w:p w:rsidR="00DD759E" w:rsidRPr="007A6F8F" w:rsidRDefault="00DD759E" w:rsidP="00987128">
            <w:pPr>
              <w:pStyle w:val="TableFigText"/>
              <w:rPr>
                <w:rFonts w:asciiTheme="minorHAnsi" w:hAnsiTheme="minorHAnsi" w:cstheme="minorHAnsi"/>
                <w:b/>
                <w:szCs w:val="22"/>
              </w:rPr>
            </w:pPr>
            <w:r w:rsidRPr="007A6F8F">
              <w:rPr>
                <w:rFonts w:asciiTheme="minorHAnsi" w:hAnsiTheme="minorHAnsi" w:cstheme="minorHAnsi"/>
                <w:b/>
                <w:szCs w:val="22"/>
              </w:rPr>
              <w:t>All mental health service types</w:t>
            </w:r>
            <w:r w:rsidRPr="007A6F8F">
              <w:rPr>
                <w:rFonts w:asciiTheme="minorHAnsi" w:hAnsiTheme="minorHAnsi" w:cstheme="minorHAnsi"/>
                <w:b/>
                <w:szCs w:val="22"/>
                <w:vertAlign w:val="superscript"/>
              </w:rPr>
              <w:t>(d)</w:t>
            </w:r>
          </w:p>
        </w:tc>
        <w:tc>
          <w:tcPr>
            <w:tcW w:w="1074" w:type="dxa"/>
          </w:tcPr>
          <w:p w:rsidR="00DD759E" w:rsidRPr="007A6F8F" w:rsidRDefault="00DD759E" w:rsidP="007A6F8F">
            <w:pPr>
              <w:pStyle w:val="TableFigText"/>
              <w:jc w:val="right"/>
              <w:rPr>
                <w:b/>
              </w:rPr>
            </w:pPr>
            <w:r w:rsidRPr="007A6F8F">
              <w:rPr>
                <w:b/>
              </w:rPr>
              <w:t>267,225</w:t>
            </w:r>
          </w:p>
        </w:tc>
        <w:tc>
          <w:tcPr>
            <w:tcW w:w="1420" w:type="dxa"/>
          </w:tcPr>
          <w:p w:rsidR="00DD759E" w:rsidRPr="007A6F8F" w:rsidRDefault="00DD759E" w:rsidP="007A6F8F">
            <w:pPr>
              <w:pStyle w:val="TableFigText"/>
              <w:jc w:val="right"/>
              <w:rPr>
                <w:b/>
              </w:rPr>
            </w:pPr>
            <w:r w:rsidRPr="007A6F8F">
              <w:rPr>
                <w:b/>
              </w:rPr>
              <w:t>3,392</w:t>
            </w:r>
          </w:p>
        </w:tc>
        <w:tc>
          <w:tcPr>
            <w:tcW w:w="1283" w:type="dxa"/>
          </w:tcPr>
          <w:p w:rsidR="00DD759E" w:rsidRPr="007A6F8F" w:rsidRDefault="00DD759E" w:rsidP="007A6F8F">
            <w:pPr>
              <w:pStyle w:val="TableFigText"/>
              <w:jc w:val="right"/>
              <w:rPr>
                <w:b/>
              </w:rPr>
            </w:pPr>
            <w:r w:rsidRPr="007A6F8F">
              <w:rPr>
                <w:b/>
              </w:rPr>
              <w:t>6,997</w:t>
            </w:r>
          </w:p>
        </w:tc>
        <w:tc>
          <w:tcPr>
            <w:tcW w:w="1067" w:type="dxa"/>
          </w:tcPr>
          <w:p w:rsidR="00DD759E" w:rsidRPr="007A6F8F" w:rsidRDefault="00DD759E" w:rsidP="007A6F8F">
            <w:pPr>
              <w:pStyle w:val="TableFigText"/>
              <w:jc w:val="right"/>
              <w:rPr>
                <w:b/>
              </w:rPr>
            </w:pPr>
            <w:r w:rsidRPr="007A6F8F">
              <w:rPr>
                <w:b/>
              </w:rPr>
              <w:t>1,781</w:t>
            </w:r>
          </w:p>
        </w:tc>
        <w:tc>
          <w:tcPr>
            <w:tcW w:w="1118" w:type="dxa"/>
          </w:tcPr>
          <w:p w:rsidR="00DD759E" w:rsidRPr="007A6F8F" w:rsidRDefault="00DD759E" w:rsidP="007A6F8F">
            <w:pPr>
              <w:pStyle w:val="TableFigText"/>
              <w:jc w:val="right"/>
              <w:rPr>
                <w:b/>
              </w:rPr>
            </w:pPr>
            <w:r w:rsidRPr="007A6F8F">
              <w:rPr>
                <w:b/>
              </w:rPr>
              <w:t>93</w:t>
            </w:r>
          </w:p>
        </w:tc>
        <w:tc>
          <w:tcPr>
            <w:tcW w:w="1124" w:type="dxa"/>
          </w:tcPr>
          <w:p w:rsidR="00DD759E" w:rsidRPr="007A6F8F" w:rsidRDefault="00DD759E" w:rsidP="007A6F8F">
            <w:pPr>
              <w:pStyle w:val="TableFigText"/>
              <w:jc w:val="right"/>
              <w:rPr>
                <w:b/>
              </w:rPr>
            </w:pPr>
            <w:r w:rsidRPr="007A6F8F">
              <w:rPr>
                <w:b/>
              </w:rPr>
              <w:t>279,488</w:t>
            </w:r>
          </w:p>
        </w:tc>
      </w:tr>
    </w:tbl>
    <w:p w:rsidR="00DD759E" w:rsidRPr="00FA0B63" w:rsidRDefault="00DD759E" w:rsidP="00540186">
      <w:pPr>
        <w:pStyle w:val="TableFigNotesnumbered"/>
        <w:numPr>
          <w:ilvl w:val="0"/>
          <w:numId w:val="85"/>
        </w:numPr>
        <w:rPr>
          <w:rStyle w:val="table-note"/>
        </w:rPr>
      </w:pPr>
      <w:r w:rsidRPr="00FA0B63">
        <w:rPr>
          <w:rStyle w:val="table-note"/>
        </w:rPr>
        <w:t>Expenditure excludes depreciation.</w:t>
      </w:r>
    </w:p>
    <w:p w:rsidR="00DD759E" w:rsidRPr="00FA0B63" w:rsidRDefault="00DD759E" w:rsidP="00540186">
      <w:pPr>
        <w:pStyle w:val="TableFigNotesnumbered"/>
        <w:numPr>
          <w:ilvl w:val="0"/>
          <w:numId w:val="85"/>
        </w:numPr>
        <w:rPr>
          <w:rStyle w:val="table-note"/>
        </w:rPr>
      </w:pPr>
      <w:r w:rsidRPr="00FA0B63">
        <w:rPr>
          <w:rStyle w:val="table-note"/>
        </w:rPr>
        <w:t xml:space="preserve">Expenditure excludes grants to non-government organisations and indirect expenditure at the state/territory, region and organisation levels not apportioned to service units. </w:t>
      </w:r>
    </w:p>
    <w:p w:rsidR="00DD759E" w:rsidRPr="00FA0B63" w:rsidRDefault="00DD759E" w:rsidP="00540186">
      <w:pPr>
        <w:pStyle w:val="TableFigNotesnumbered"/>
        <w:numPr>
          <w:ilvl w:val="0"/>
          <w:numId w:val="85"/>
        </w:numPr>
        <w:rPr>
          <w:rStyle w:val="table-note"/>
        </w:rPr>
      </w:pPr>
      <w:r w:rsidRPr="00FA0B63">
        <w:rPr>
          <w:rStyle w:val="table-note"/>
        </w:rPr>
        <w:t>Constant prices are referenced to 2011–12 and are adjusted for inflation.</w:t>
      </w:r>
    </w:p>
    <w:p w:rsidR="00DD759E" w:rsidRPr="00FA0B63" w:rsidRDefault="00DD759E" w:rsidP="00540186">
      <w:pPr>
        <w:pStyle w:val="TableFigNotesnumbered"/>
        <w:numPr>
          <w:ilvl w:val="0"/>
          <w:numId w:val="85"/>
        </w:numPr>
        <w:rPr>
          <w:rStyle w:val="table-note"/>
        </w:rPr>
      </w:pPr>
      <w:r w:rsidRPr="00FA0B63">
        <w:rPr>
          <w:rStyle w:val="table-note"/>
        </w:rPr>
        <w:t>Totals may not add due to rounding to the nearest $'000.</w:t>
      </w:r>
    </w:p>
    <w:p w:rsidR="00DD759E" w:rsidRPr="00FA0B63" w:rsidRDefault="00DD759E" w:rsidP="00540186">
      <w:pPr>
        <w:pStyle w:val="TableFigNotesnumbered"/>
        <w:numPr>
          <w:ilvl w:val="0"/>
          <w:numId w:val="85"/>
        </w:numPr>
        <w:rPr>
          <w:rStyle w:val="table-note"/>
        </w:rPr>
      </w:pPr>
      <w:r w:rsidRPr="00FA0B63">
        <w:rPr>
          <w:rStyle w:val="table-note"/>
        </w:rPr>
        <w:t>Includes public hospital services managed and operated by private and non-government entities.</w:t>
      </w:r>
    </w:p>
    <w:p w:rsidR="00DD759E" w:rsidRPr="00FA0B63" w:rsidRDefault="00DD759E" w:rsidP="00540186">
      <w:pPr>
        <w:pStyle w:val="TableFigNotesnumbered"/>
        <w:numPr>
          <w:ilvl w:val="0"/>
          <w:numId w:val="85"/>
        </w:numPr>
        <w:rPr>
          <w:rStyle w:val="table-note"/>
        </w:rPr>
      </w:pPr>
      <w:r w:rsidRPr="00FA0B63">
        <w:rPr>
          <w:rStyle w:val="table-note"/>
        </w:rPr>
        <w:t>Public psychiatric hospitals and specialised psychiatric units or wards in public acute hospitals include expenditure on admitted patient services only. Public hospitals outpatient departments are included in community mental health care services.</w:t>
      </w:r>
      <w:r w:rsidRPr="00FA0B63">
        <w:rPr>
          <w:rStyle w:val="table-note"/>
        </w:rPr>
        <w:tab/>
      </w:r>
      <w:r w:rsidRPr="00FA0B63">
        <w:rPr>
          <w:rStyle w:val="table-note"/>
        </w:rPr>
        <w:tab/>
      </w:r>
    </w:p>
    <w:p w:rsidR="00DD759E" w:rsidRPr="00207B28" w:rsidRDefault="00DD759E" w:rsidP="00540186">
      <w:pPr>
        <w:pStyle w:val="TableFigNotesnumbered"/>
        <w:numPr>
          <w:ilvl w:val="0"/>
          <w:numId w:val="85"/>
        </w:numPr>
        <w:rPr>
          <w:rFonts w:asciiTheme="minorHAnsi" w:hAnsiTheme="minorHAnsi" w:cstheme="minorHAnsi"/>
        </w:rPr>
      </w:pPr>
      <w:r w:rsidRPr="00FA0B63">
        <w:rPr>
          <w:rStyle w:val="table-note"/>
        </w:rPr>
        <w:t>Residential mental health services include the total operating costs for partially or wholly government funded non-government-operated residential mental health services.</w:t>
      </w:r>
      <w:r w:rsidRPr="00207B28">
        <w:rPr>
          <w:rFonts w:asciiTheme="minorHAnsi" w:hAnsiTheme="minorHAnsi" w:cstheme="minorHAnsi"/>
        </w:rPr>
        <w:tab/>
      </w:r>
      <w:r w:rsidRPr="00207B28">
        <w:rPr>
          <w:rFonts w:asciiTheme="minorHAnsi" w:hAnsiTheme="minorHAnsi" w:cstheme="minorHAnsi"/>
        </w:rPr>
        <w:tab/>
      </w:r>
    </w:p>
    <w:p w:rsidR="00DD759E" w:rsidRPr="0096114C" w:rsidRDefault="0096114C" w:rsidP="00DD759E">
      <w:pPr>
        <w:pStyle w:val="TableCaption"/>
        <w:spacing w:line="240" w:lineRule="auto"/>
        <w:rPr>
          <w:rStyle w:val="table-note"/>
        </w:rPr>
      </w:pPr>
      <w:r w:rsidRPr="0096114C">
        <w:rPr>
          <w:rStyle w:val="table-note"/>
        </w:rPr>
        <w:t xml:space="preserve">Table 43: </w:t>
      </w:r>
      <w:r w:rsidR="00DD759E" w:rsidRPr="0096114C">
        <w:rPr>
          <w:rStyle w:val="table-note"/>
        </w:rPr>
        <w:t xml:space="preserve">SA: Recurrent </w:t>
      </w:r>
      <w:proofErr w:type="gramStart"/>
      <w:r w:rsidR="00DD759E" w:rsidRPr="0096114C">
        <w:rPr>
          <w:rStyle w:val="table-note"/>
        </w:rPr>
        <w:t>expenditure</w:t>
      </w:r>
      <w:r w:rsidR="00DD759E" w:rsidRPr="0096114C">
        <w:rPr>
          <w:rStyle w:val="table-note"/>
          <w:vertAlign w:val="superscript"/>
        </w:rPr>
        <w:t>(</w:t>
      </w:r>
      <w:proofErr w:type="gramEnd"/>
      <w:r w:rsidR="00DD759E" w:rsidRPr="0096114C">
        <w:rPr>
          <w:rStyle w:val="table-note"/>
          <w:vertAlign w:val="superscript"/>
        </w:rPr>
        <w:t>a)(b)</w:t>
      </w:r>
      <w:r w:rsidR="00DD759E" w:rsidRPr="0096114C">
        <w:rPr>
          <w:rStyle w:val="table-note"/>
        </w:rPr>
        <w:t xml:space="preserve"> ($) per capita</w:t>
      </w:r>
      <w:r w:rsidR="00DD759E" w:rsidRPr="0096114C">
        <w:rPr>
          <w:rStyle w:val="table-note"/>
          <w:vertAlign w:val="superscript"/>
        </w:rPr>
        <w:t>(c)</w:t>
      </w:r>
      <w:r w:rsidR="00DD759E" w:rsidRPr="0096114C">
        <w:rPr>
          <w:rStyle w:val="table-note"/>
        </w:rPr>
        <w:t xml:space="preserve"> on state and territory specialised mental health services, by service type, 2007–08 (constant prices)</w:t>
      </w:r>
      <w:r w:rsidR="00DD759E" w:rsidRPr="0096114C">
        <w:rPr>
          <w:rStyle w:val="table-note"/>
          <w:vertAlign w:val="superscript"/>
        </w:rPr>
        <w:t>(d)</w:t>
      </w:r>
    </w:p>
    <w:tbl>
      <w:tblPr>
        <w:tblStyle w:val="TableGrid"/>
        <w:tblW w:w="0" w:type="auto"/>
        <w:tblLook w:val="04A0" w:firstRow="1" w:lastRow="0" w:firstColumn="1" w:lastColumn="0" w:noHBand="0" w:noVBand="1"/>
        <w:tblCaption w:val="SA: Recurrent expenditure(a)(b) ($) per capita(c) on state and territory specialised mental health services, by service type, 2007–08 (constant prices)(d)"/>
        <w:tblDescription w:val="Table showing that, in 2007-2008, major cities in SA had the highest recurrent expenditure per capita for all mental health services at $233.45. Highest spend per capita was for public hospital services at $100.23, followed by community mental health services at $73.03 and residential mental health services at $4.69."/>
      </w:tblPr>
      <w:tblGrid>
        <w:gridCol w:w="2388"/>
        <w:gridCol w:w="1044"/>
        <w:gridCol w:w="1376"/>
        <w:gridCol w:w="1248"/>
        <w:gridCol w:w="1045"/>
        <w:gridCol w:w="1091"/>
        <w:gridCol w:w="1094"/>
      </w:tblGrid>
      <w:tr w:rsidR="00DD759E" w:rsidRPr="008B7E34" w:rsidTr="000C3DEA">
        <w:trPr>
          <w:tblHeader/>
        </w:trPr>
        <w:tc>
          <w:tcPr>
            <w:tcW w:w="2388" w:type="dxa"/>
          </w:tcPr>
          <w:p w:rsidR="00DD759E" w:rsidRPr="008B7E34" w:rsidRDefault="00DD759E" w:rsidP="00987128">
            <w:pPr>
              <w:pStyle w:val="TableFigText"/>
              <w:rPr>
                <w:rFonts w:asciiTheme="minorHAnsi" w:hAnsiTheme="minorHAnsi" w:cstheme="minorHAnsi"/>
                <w:szCs w:val="22"/>
              </w:rPr>
            </w:pPr>
          </w:p>
        </w:tc>
        <w:tc>
          <w:tcPr>
            <w:tcW w:w="1044" w:type="dxa"/>
          </w:tcPr>
          <w:p w:rsidR="00DD759E" w:rsidRPr="008B7E34" w:rsidRDefault="00DD759E" w:rsidP="00987128">
            <w:pPr>
              <w:pStyle w:val="TableFigText"/>
              <w:jc w:val="right"/>
              <w:rPr>
                <w:rFonts w:asciiTheme="minorHAnsi" w:hAnsiTheme="minorHAnsi" w:cstheme="minorHAnsi"/>
                <w:b/>
                <w:szCs w:val="22"/>
              </w:rPr>
            </w:pPr>
            <w:r w:rsidRPr="008B7E34">
              <w:rPr>
                <w:rFonts w:asciiTheme="minorHAnsi" w:hAnsiTheme="minorHAnsi" w:cstheme="minorHAnsi"/>
                <w:b/>
                <w:szCs w:val="22"/>
              </w:rPr>
              <w:t>Major cities</w:t>
            </w:r>
          </w:p>
        </w:tc>
        <w:tc>
          <w:tcPr>
            <w:tcW w:w="1376" w:type="dxa"/>
          </w:tcPr>
          <w:p w:rsidR="00DD759E" w:rsidRPr="008B7E34" w:rsidRDefault="00DD759E" w:rsidP="00987128">
            <w:pPr>
              <w:pStyle w:val="TableFigText"/>
              <w:jc w:val="right"/>
              <w:rPr>
                <w:rFonts w:asciiTheme="minorHAnsi" w:hAnsiTheme="minorHAnsi" w:cstheme="minorHAnsi"/>
                <w:b/>
                <w:szCs w:val="22"/>
              </w:rPr>
            </w:pPr>
            <w:r w:rsidRPr="008B7E34">
              <w:rPr>
                <w:rFonts w:asciiTheme="minorHAnsi" w:hAnsiTheme="minorHAnsi" w:cstheme="minorHAnsi"/>
                <w:b/>
                <w:szCs w:val="22"/>
              </w:rPr>
              <w:t>Inner regional</w:t>
            </w:r>
          </w:p>
        </w:tc>
        <w:tc>
          <w:tcPr>
            <w:tcW w:w="1248" w:type="dxa"/>
          </w:tcPr>
          <w:p w:rsidR="00DD759E" w:rsidRPr="008B7E34" w:rsidRDefault="00DD759E" w:rsidP="00987128">
            <w:pPr>
              <w:pStyle w:val="TableFigText"/>
              <w:jc w:val="right"/>
              <w:rPr>
                <w:rFonts w:asciiTheme="minorHAnsi" w:hAnsiTheme="minorHAnsi" w:cstheme="minorHAnsi"/>
                <w:b/>
                <w:szCs w:val="22"/>
              </w:rPr>
            </w:pPr>
            <w:r w:rsidRPr="008B7E34">
              <w:rPr>
                <w:rFonts w:asciiTheme="minorHAnsi" w:hAnsiTheme="minorHAnsi" w:cstheme="minorHAnsi"/>
                <w:b/>
                <w:szCs w:val="22"/>
              </w:rPr>
              <w:t>Outer regional</w:t>
            </w:r>
          </w:p>
        </w:tc>
        <w:tc>
          <w:tcPr>
            <w:tcW w:w="1045" w:type="dxa"/>
          </w:tcPr>
          <w:p w:rsidR="00DD759E" w:rsidRPr="008B7E34" w:rsidRDefault="00DD759E" w:rsidP="00987128">
            <w:pPr>
              <w:pStyle w:val="TableFigText"/>
              <w:jc w:val="right"/>
              <w:rPr>
                <w:rFonts w:asciiTheme="minorHAnsi" w:hAnsiTheme="minorHAnsi" w:cstheme="minorHAnsi"/>
                <w:b/>
                <w:szCs w:val="22"/>
              </w:rPr>
            </w:pPr>
            <w:r w:rsidRPr="008B7E34">
              <w:rPr>
                <w:rFonts w:asciiTheme="minorHAnsi" w:hAnsiTheme="minorHAnsi" w:cstheme="minorHAnsi"/>
                <w:b/>
                <w:szCs w:val="22"/>
              </w:rPr>
              <w:t>Remote</w:t>
            </w:r>
          </w:p>
        </w:tc>
        <w:tc>
          <w:tcPr>
            <w:tcW w:w="1091" w:type="dxa"/>
          </w:tcPr>
          <w:p w:rsidR="00DD759E" w:rsidRPr="008B7E34" w:rsidRDefault="00DD759E" w:rsidP="00987128">
            <w:pPr>
              <w:pStyle w:val="TableFigText"/>
              <w:jc w:val="right"/>
              <w:rPr>
                <w:rFonts w:asciiTheme="minorHAnsi" w:hAnsiTheme="minorHAnsi" w:cstheme="minorHAnsi"/>
                <w:b/>
                <w:szCs w:val="22"/>
              </w:rPr>
            </w:pPr>
            <w:r w:rsidRPr="008B7E34">
              <w:rPr>
                <w:rFonts w:asciiTheme="minorHAnsi" w:hAnsiTheme="minorHAnsi" w:cstheme="minorHAnsi"/>
                <w:b/>
                <w:szCs w:val="22"/>
              </w:rPr>
              <w:t>Very remote</w:t>
            </w:r>
          </w:p>
        </w:tc>
        <w:tc>
          <w:tcPr>
            <w:tcW w:w="1094" w:type="dxa"/>
          </w:tcPr>
          <w:p w:rsidR="00DD759E" w:rsidRPr="008B7E34" w:rsidRDefault="00DD759E" w:rsidP="00987128">
            <w:pPr>
              <w:pStyle w:val="TableFigText"/>
              <w:jc w:val="right"/>
              <w:rPr>
                <w:rFonts w:asciiTheme="minorHAnsi" w:hAnsiTheme="minorHAnsi" w:cstheme="minorHAnsi"/>
                <w:b/>
                <w:szCs w:val="22"/>
              </w:rPr>
            </w:pPr>
            <w:r w:rsidRPr="008B7E34">
              <w:rPr>
                <w:rFonts w:asciiTheme="minorHAnsi" w:hAnsiTheme="minorHAnsi" w:cstheme="minorHAnsi"/>
                <w:b/>
                <w:szCs w:val="22"/>
              </w:rPr>
              <w:t>Total</w:t>
            </w:r>
          </w:p>
        </w:tc>
      </w:tr>
      <w:tr w:rsidR="00DD759E" w:rsidRPr="008B7E34" w:rsidTr="00987128">
        <w:tc>
          <w:tcPr>
            <w:tcW w:w="2388" w:type="dxa"/>
          </w:tcPr>
          <w:p w:rsidR="00DD759E" w:rsidRPr="008B7E34" w:rsidRDefault="00DD759E" w:rsidP="00987128">
            <w:pPr>
              <w:pStyle w:val="TableFigText"/>
              <w:rPr>
                <w:rFonts w:asciiTheme="minorHAnsi" w:hAnsiTheme="minorHAnsi" w:cstheme="minorHAnsi"/>
                <w:szCs w:val="22"/>
              </w:rPr>
            </w:pPr>
            <w:r w:rsidRPr="008B7E34">
              <w:rPr>
                <w:rFonts w:asciiTheme="minorHAnsi" w:hAnsiTheme="minorHAnsi" w:cstheme="minorHAnsi"/>
                <w:szCs w:val="22"/>
              </w:rPr>
              <w:t>Public hospital services</w:t>
            </w:r>
            <w:r w:rsidRPr="008B7E34">
              <w:rPr>
                <w:rFonts w:asciiTheme="minorHAnsi" w:hAnsiTheme="minorHAnsi" w:cstheme="minorHAnsi"/>
                <w:szCs w:val="22"/>
                <w:vertAlign w:val="superscript"/>
              </w:rPr>
              <w:t>(</w:t>
            </w:r>
            <w:r>
              <w:rPr>
                <w:rFonts w:asciiTheme="minorHAnsi" w:hAnsiTheme="minorHAnsi" w:cstheme="minorHAnsi"/>
                <w:szCs w:val="22"/>
                <w:vertAlign w:val="superscript"/>
              </w:rPr>
              <w:t>e</w:t>
            </w:r>
            <w:r w:rsidRPr="008B7E34">
              <w:rPr>
                <w:rFonts w:asciiTheme="minorHAnsi" w:hAnsiTheme="minorHAnsi" w:cstheme="minorHAnsi"/>
                <w:szCs w:val="22"/>
                <w:vertAlign w:val="superscript"/>
              </w:rPr>
              <w:t>)(</w:t>
            </w:r>
            <w:r>
              <w:rPr>
                <w:rFonts w:asciiTheme="minorHAnsi" w:hAnsiTheme="minorHAnsi" w:cstheme="minorHAnsi"/>
                <w:szCs w:val="22"/>
                <w:vertAlign w:val="superscript"/>
              </w:rPr>
              <w:t>f</w:t>
            </w:r>
            <w:r w:rsidRPr="008B7E34">
              <w:rPr>
                <w:rFonts w:asciiTheme="minorHAnsi" w:hAnsiTheme="minorHAnsi" w:cstheme="minorHAnsi"/>
                <w:szCs w:val="22"/>
                <w:vertAlign w:val="superscript"/>
              </w:rPr>
              <w:t>)</w:t>
            </w:r>
          </w:p>
        </w:tc>
        <w:tc>
          <w:tcPr>
            <w:tcW w:w="1044" w:type="dxa"/>
            <w:vAlign w:val="bottom"/>
          </w:tcPr>
          <w:p w:rsidR="00DD759E" w:rsidRDefault="00DD759E" w:rsidP="007A6F8F">
            <w:pPr>
              <w:pStyle w:val="TableFigText"/>
              <w:jc w:val="right"/>
            </w:pPr>
            <w:r>
              <w:t>137.52</w:t>
            </w:r>
          </w:p>
        </w:tc>
        <w:tc>
          <w:tcPr>
            <w:tcW w:w="1376" w:type="dxa"/>
            <w:vAlign w:val="bottom"/>
          </w:tcPr>
          <w:p w:rsidR="00DD759E" w:rsidRDefault="00DD759E" w:rsidP="007A6F8F">
            <w:pPr>
              <w:pStyle w:val="TableFigText"/>
              <w:jc w:val="right"/>
            </w:pPr>
            <w:r>
              <w:t>0</w:t>
            </w:r>
          </w:p>
        </w:tc>
        <w:tc>
          <w:tcPr>
            <w:tcW w:w="1248" w:type="dxa"/>
            <w:vAlign w:val="bottom"/>
          </w:tcPr>
          <w:p w:rsidR="00DD759E" w:rsidRDefault="00DD759E" w:rsidP="007A6F8F">
            <w:pPr>
              <w:pStyle w:val="TableFigText"/>
              <w:jc w:val="right"/>
            </w:pPr>
            <w:r>
              <w:t>0</w:t>
            </w:r>
          </w:p>
        </w:tc>
        <w:tc>
          <w:tcPr>
            <w:tcW w:w="1045" w:type="dxa"/>
            <w:vAlign w:val="bottom"/>
          </w:tcPr>
          <w:p w:rsidR="00DD759E" w:rsidRDefault="00DD759E" w:rsidP="007A6F8F">
            <w:pPr>
              <w:pStyle w:val="TableFigText"/>
              <w:jc w:val="right"/>
            </w:pPr>
            <w:r>
              <w:t>0</w:t>
            </w:r>
          </w:p>
        </w:tc>
        <w:tc>
          <w:tcPr>
            <w:tcW w:w="1091" w:type="dxa"/>
            <w:vAlign w:val="bottom"/>
          </w:tcPr>
          <w:p w:rsidR="00DD759E" w:rsidRDefault="00DD759E" w:rsidP="007A6F8F">
            <w:pPr>
              <w:pStyle w:val="TableFigText"/>
              <w:jc w:val="right"/>
            </w:pPr>
            <w:r>
              <w:t>0</w:t>
            </w:r>
          </w:p>
        </w:tc>
        <w:tc>
          <w:tcPr>
            <w:tcW w:w="1094" w:type="dxa"/>
            <w:vAlign w:val="bottom"/>
          </w:tcPr>
          <w:p w:rsidR="00DD759E" w:rsidRDefault="00DD759E" w:rsidP="007A6F8F">
            <w:pPr>
              <w:pStyle w:val="TableFigText"/>
              <w:jc w:val="right"/>
            </w:pPr>
            <w:r>
              <w:t>100.23</w:t>
            </w:r>
          </w:p>
        </w:tc>
      </w:tr>
      <w:tr w:rsidR="00DD759E" w:rsidRPr="008B7E34" w:rsidTr="00987128">
        <w:tc>
          <w:tcPr>
            <w:tcW w:w="2388" w:type="dxa"/>
          </w:tcPr>
          <w:p w:rsidR="00DD759E" w:rsidRPr="008B7E34" w:rsidRDefault="00DD759E" w:rsidP="00987128">
            <w:pPr>
              <w:pStyle w:val="TableFigText"/>
              <w:rPr>
                <w:rFonts w:asciiTheme="minorHAnsi" w:hAnsiTheme="minorHAnsi" w:cstheme="minorHAnsi"/>
                <w:szCs w:val="22"/>
              </w:rPr>
            </w:pPr>
            <w:r w:rsidRPr="008B7E34">
              <w:rPr>
                <w:rFonts w:asciiTheme="minorHAnsi" w:hAnsiTheme="minorHAnsi" w:cstheme="minorHAnsi"/>
                <w:szCs w:val="22"/>
              </w:rPr>
              <w:t>Community mental health services</w:t>
            </w:r>
          </w:p>
        </w:tc>
        <w:tc>
          <w:tcPr>
            <w:tcW w:w="1044" w:type="dxa"/>
            <w:vAlign w:val="bottom"/>
          </w:tcPr>
          <w:p w:rsidR="00DD759E" w:rsidRDefault="00DD759E" w:rsidP="007A6F8F">
            <w:pPr>
              <w:pStyle w:val="TableFigText"/>
              <w:jc w:val="right"/>
            </w:pPr>
            <w:r>
              <w:t>89.50</w:t>
            </w:r>
          </w:p>
        </w:tc>
        <w:tc>
          <w:tcPr>
            <w:tcW w:w="1376" w:type="dxa"/>
            <w:vAlign w:val="bottom"/>
          </w:tcPr>
          <w:p w:rsidR="00DD759E" w:rsidRDefault="00DD759E" w:rsidP="007A6F8F">
            <w:pPr>
              <w:pStyle w:val="TableFigText"/>
              <w:jc w:val="right"/>
            </w:pPr>
            <w:r>
              <w:t>20.48</w:t>
            </w:r>
          </w:p>
        </w:tc>
        <w:tc>
          <w:tcPr>
            <w:tcW w:w="1248" w:type="dxa"/>
            <w:vAlign w:val="bottom"/>
          </w:tcPr>
          <w:p w:rsidR="00DD759E" w:rsidRDefault="00DD759E" w:rsidP="007A6F8F">
            <w:pPr>
              <w:pStyle w:val="TableFigText"/>
              <w:jc w:val="right"/>
            </w:pPr>
            <w:r>
              <w:t>34.72</w:t>
            </w:r>
          </w:p>
        </w:tc>
        <w:tc>
          <w:tcPr>
            <w:tcW w:w="1045" w:type="dxa"/>
            <w:vAlign w:val="bottom"/>
          </w:tcPr>
          <w:p w:rsidR="00DD759E" w:rsidRDefault="00DD759E" w:rsidP="007A6F8F">
            <w:pPr>
              <w:pStyle w:val="TableFigText"/>
              <w:jc w:val="right"/>
            </w:pPr>
            <w:r>
              <w:t>40.10</w:t>
            </w:r>
          </w:p>
        </w:tc>
        <w:tc>
          <w:tcPr>
            <w:tcW w:w="1091" w:type="dxa"/>
            <w:vAlign w:val="bottom"/>
          </w:tcPr>
          <w:p w:rsidR="00DD759E" w:rsidRDefault="00DD759E" w:rsidP="007A6F8F">
            <w:pPr>
              <w:pStyle w:val="TableFigText"/>
              <w:jc w:val="right"/>
            </w:pPr>
            <w:r>
              <w:t>6.48</w:t>
            </w:r>
          </w:p>
        </w:tc>
        <w:tc>
          <w:tcPr>
            <w:tcW w:w="1094" w:type="dxa"/>
            <w:vAlign w:val="bottom"/>
          </w:tcPr>
          <w:p w:rsidR="00DD759E" w:rsidRDefault="00DD759E" w:rsidP="007A6F8F">
            <w:pPr>
              <w:pStyle w:val="TableFigText"/>
              <w:jc w:val="right"/>
            </w:pPr>
            <w:r>
              <w:t>73.03</w:t>
            </w:r>
          </w:p>
        </w:tc>
      </w:tr>
      <w:tr w:rsidR="00DD759E" w:rsidRPr="008B7E34" w:rsidTr="00987128">
        <w:tc>
          <w:tcPr>
            <w:tcW w:w="2388" w:type="dxa"/>
          </w:tcPr>
          <w:p w:rsidR="00DD759E" w:rsidRPr="008B7E34" w:rsidRDefault="00DD759E" w:rsidP="00987128">
            <w:pPr>
              <w:pStyle w:val="TableFigText"/>
              <w:rPr>
                <w:rFonts w:asciiTheme="minorHAnsi" w:hAnsiTheme="minorHAnsi" w:cstheme="minorHAnsi"/>
                <w:szCs w:val="22"/>
              </w:rPr>
            </w:pPr>
            <w:r w:rsidRPr="008B7E34">
              <w:rPr>
                <w:rFonts w:asciiTheme="minorHAnsi" w:hAnsiTheme="minorHAnsi" w:cstheme="minorHAnsi"/>
                <w:szCs w:val="22"/>
              </w:rPr>
              <w:t>Residential mental health services</w:t>
            </w:r>
            <w:r w:rsidRPr="008B7E34">
              <w:rPr>
                <w:rFonts w:asciiTheme="minorHAnsi" w:hAnsiTheme="minorHAnsi" w:cstheme="minorHAnsi"/>
                <w:szCs w:val="22"/>
                <w:vertAlign w:val="superscript"/>
              </w:rPr>
              <w:t>(</w:t>
            </w:r>
            <w:r>
              <w:rPr>
                <w:rFonts w:asciiTheme="minorHAnsi" w:hAnsiTheme="minorHAnsi" w:cstheme="minorHAnsi"/>
                <w:szCs w:val="22"/>
                <w:vertAlign w:val="superscript"/>
              </w:rPr>
              <w:t>g</w:t>
            </w:r>
            <w:r w:rsidRPr="008B7E34">
              <w:rPr>
                <w:rFonts w:asciiTheme="minorHAnsi" w:hAnsiTheme="minorHAnsi" w:cstheme="minorHAnsi"/>
                <w:szCs w:val="22"/>
                <w:vertAlign w:val="superscript"/>
              </w:rPr>
              <w:t>)</w:t>
            </w:r>
          </w:p>
        </w:tc>
        <w:tc>
          <w:tcPr>
            <w:tcW w:w="1044" w:type="dxa"/>
            <w:vAlign w:val="bottom"/>
          </w:tcPr>
          <w:p w:rsidR="00DD759E" w:rsidRDefault="00DD759E" w:rsidP="007A6F8F">
            <w:pPr>
              <w:pStyle w:val="TableFigText"/>
              <w:jc w:val="right"/>
            </w:pPr>
            <w:r>
              <w:t>6.43</w:t>
            </w:r>
          </w:p>
        </w:tc>
        <w:tc>
          <w:tcPr>
            <w:tcW w:w="1376" w:type="dxa"/>
            <w:vAlign w:val="bottom"/>
          </w:tcPr>
          <w:p w:rsidR="00DD759E" w:rsidRDefault="00DD759E" w:rsidP="007A6F8F">
            <w:pPr>
              <w:pStyle w:val="TableFigText"/>
              <w:jc w:val="right"/>
            </w:pPr>
            <w:r>
              <w:t>0</w:t>
            </w:r>
          </w:p>
        </w:tc>
        <w:tc>
          <w:tcPr>
            <w:tcW w:w="1248" w:type="dxa"/>
            <w:vAlign w:val="bottom"/>
          </w:tcPr>
          <w:p w:rsidR="00DD759E" w:rsidRDefault="00DD759E" w:rsidP="007A6F8F">
            <w:pPr>
              <w:pStyle w:val="TableFigText"/>
              <w:jc w:val="right"/>
            </w:pPr>
            <w:r>
              <w:t>0</w:t>
            </w:r>
          </w:p>
        </w:tc>
        <w:tc>
          <w:tcPr>
            <w:tcW w:w="1045" w:type="dxa"/>
            <w:vAlign w:val="bottom"/>
          </w:tcPr>
          <w:p w:rsidR="00DD759E" w:rsidRDefault="00DD759E" w:rsidP="007A6F8F">
            <w:pPr>
              <w:pStyle w:val="TableFigText"/>
              <w:jc w:val="right"/>
            </w:pPr>
            <w:r>
              <w:t>0</w:t>
            </w:r>
          </w:p>
        </w:tc>
        <w:tc>
          <w:tcPr>
            <w:tcW w:w="1091" w:type="dxa"/>
            <w:vAlign w:val="bottom"/>
          </w:tcPr>
          <w:p w:rsidR="00DD759E" w:rsidRDefault="00DD759E" w:rsidP="007A6F8F">
            <w:pPr>
              <w:pStyle w:val="TableFigText"/>
              <w:jc w:val="right"/>
            </w:pPr>
            <w:r>
              <w:t>0</w:t>
            </w:r>
          </w:p>
        </w:tc>
        <w:tc>
          <w:tcPr>
            <w:tcW w:w="1094" w:type="dxa"/>
            <w:vAlign w:val="bottom"/>
          </w:tcPr>
          <w:p w:rsidR="00DD759E" w:rsidRDefault="00DD759E" w:rsidP="007A6F8F">
            <w:pPr>
              <w:pStyle w:val="TableFigText"/>
              <w:jc w:val="right"/>
            </w:pPr>
            <w:r>
              <w:t>4.69</w:t>
            </w:r>
          </w:p>
        </w:tc>
      </w:tr>
      <w:tr w:rsidR="00DD759E" w:rsidRPr="008B7E34" w:rsidTr="00987128">
        <w:tc>
          <w:tcPr>
            <w:tcW w:w="2388" w:type="dxa"/>
          </w:tcPr>
          <w:p w:rsidR="00DD759E" w:rsidRPr="007A6F8F" w:rsidRDefault="00DD759E" w:rsidP="00987128">
            <w:pPr>
              <w:pStyle w:val="TableFigText"/>
              <w:rPr>
                <w:rFonts w:asciiTheme="minorHAnsi" w:hAnsiTheme="minorHAnsi" w:cstheme="minorHAnsi"/>
                <w:b/>
                <w:szCs w:val="22"/>
              </w:rPr>
            </w:pPr>
            <w:r w:rsidRPr="007A6F8F">
              <w:rPr>
                <w:rFonts w:asciiTheme="minorHAnsi" w:hAnsiTheme="minorHAnsi" w:cstheme="minorHAnsi"/>
                <w:b/>
                <w:szCs w:val="22"/>
              </w:rPr>
              <w:t>All mental health service types</w:t>
            </w:r>
            <w:r w:rsidRPr="007A6F8F">
              <w:rPr>
                <w:rFonts w:asciiTheme="minorHAnsi" w:hAnsiTheme="minorHAnsi" w:cstheme="minorHAnsi"/>
                <w:b/>
                <w:szCs w:val="22"/>
                <w:vertAlign w:val="superscript"/>
              </w:rPr>
              <w:t>(h)</w:t>
            </w:r>
          </w:p>
        </w:tc>
        <w:tc>
          <w:tcPr>
            <w:tcW w:w="1044" w:type="dxa"/>
            <w:vAlign w:val="bottom"/>
          </w:tcPr>
          <w:p w:rsidR="00DD759E" w:rsidRPr="007A6F8F" w:rsidRDefault="00DD759E" w:rsidP="007A6F8F">
            <w:pPr>
              <w:pStyle w:val="TableFigText"/>
              <w:jc w:val="right"/>
              <w:rPr>
                <w:b/>
              </w:rPr>
            </w:pPr>
            <w:r w:rsidRPr="007A6F8F">
              <w:rPr>
                <w:b/>
              </w:rPr>
              <w:t>233.45</w:t>
            </w:r>
          </w:p>
        </w:tc>
        <w:tc>
          <w:tcPr>
            <w:tcW w:w="1376" w:type="dxa"/>
            <w:vAlign w:val="bottom"/>
          </w:tcPr>
          <w:p w:rsidR="00DD759E" w:rsidRPr="007A6F8F" w:rsidRDefault="00DD759E" w:rsidP="007A6F8F">
            <w:pPr>
              <w:pStyle w:val="TableFigText"/>
              <w:jc w:val="right"/>
              <w:rPr>
                <w:b/>
              </w:rPr>
            </w:pPr>
            <w:r w:rsidRPr="007A6F8F">
              <w:rPr>
                <w:b/>
              </w:rPr>
              <w:t>20.48</w:t>
            </w:r>
          </w:p>
        </w:tc>
        <w:tc>
          <w:tcPr>
            <w:tcW w:w="1248" w:type="dxa"/>
            <w:vAlign w:val="bottom"/>
          </w:tcPr>
          <w:p w:rsidR="00DD759E" w:rsidRPr="007A6F8F" w:rsidRDefault="00DD759E" w:rsidP="007A6F8F">
            <w:pPr>
              <w:pStyle w:val="TableFigText"/>
              <w:jc w:val="right"/>
              <w:rPr>
                <w:b/>
              </w:rPr>
            </w:pPr>
            <w:r w:rsidRPr="007A6F8F">
              <w:rPr>
                <w:b/>
              </w:rPr>
              <w:t>34.72</w:t>
            </w:r>
          </w:p>
        </w:tc>
        <w:tc>
          <w:tcPr>
            <w:tcW w:w="1045" w:type="dxa"/>
            <w:vAlign w:val="bottom"/>
          </w:tcPr>
          <w:p w:rsidR="00DD759E" w:rsidRPr="007A6F8F" w:rsidRDefault="00DD759E" w:rsidP="007A6F8F">
            <w:pPr>
              <w:pStyle w:val="TableFigText"/>
              <w:jc w:val="right"/>
              <w:rPr>
                <w:b/>
              </w:rPr>
            </w:pPr>
            <w:r w:rsidRPr="007A6F8F">
              <w:rPr>
                <w:b/>
              </w:rPr>
              <w:t>40.10</w:t>
            </w:r>
          </w:p>
        </w:tc>
        <w:tc>
          <w:tcPr>
            <w:tcW w:w="1091" w:type="dxa"/>
            <w:vAlign w:val="bottom"/>
          </w:tcPr>
          <w:p w:rsidR="00DD759E" w:rsidRPr="007A6F8F" w:rsidRDefault="00DD759E" w:rsidP="007A6F8F">
            <w:pPr>
              <w:pStyle w:val="TableFigText"/>
              <w:jc w:val="right"/>
              <w:rPr>
                <w:b/>
              </w:rPr>
            </w:pPr>
            <w:r w:rsidRPr="007A6F8F">
              <w:rPr>
                <w:b/>
              </w:rPr>
              <w:t>6.48</w:t>
            </w:r>
          </w:p>
        </w:tc>
        <w:tc>
          <w:tcPr>
            <w:tcW w:w="1094" w:type="dxa"/>
            <w:vAlign w:val="bottom"/>
          </w:tcPr>
          <w:p w:rsidR="00DD759E" w:rsidRPr="007A6F8F" w:rsidRDefault="00DD759E" w:rsidP="007A6F8F">
            <w:pPr>
              <w:pStyle w:val="TableFigText"/>
              <w:jc w:val="right"/>
              <w:rPr>
                <w:b/>
              </w:rPr>
            </w:pPr>
            <w:r w:rsidRPr="007A6F8F">
              <w:rPr>
                <w:b/>
              </w:rPr>
              <w:t>177.95</w:t>
            </w:r>
          </w:p>
        </w:tc>
      </w:tr>
    </w:tbl>
    <w:p w:rsidR="00DD759E" w:rsidRPr="00FA0B63" w:rsidRDefault="00DD759E" w:rsidP="00540186">
      <w:pPr>
        <w:pStyle w:val="TableFigNotesnumbered"/>
        <w:numPr>
          <w:ilvl w:val="0"/>
          <w:numId w:val="43"/>
        </w:numPr>
        <w:rPr>
          <w:rStyle w:val="table-note"/>
        </w:rPr>
      </w:pPr>
      <w:r w:rsidRPr="00FA0B63">
        <w:rPr>
          <w:rStyle w:val="table-note"/>
        </w:rPr>
        <w:t>Expenditure excludes depreciation.</w:t>
      </w:r>
    </w:p>
    <w:p w:rsidR="00DD759E" w:rsidRPr="00FA0B63" w:rsidRDefault="00DD759E" w:rsidP="00540186">
      <w:pPr>
        <w:pStyle w:val="TableFigNotesnumbered"/>
        <w:numPr>
          <w:ilvl w:val="0"/>
          <w:numId w:val="43"/>
        </w:numPr>
        <w:rPr>
          <w:rStyle w:val="table-note"/>
        </w:rPr>
      </w:pPr>
      <w:r w:rsidRPr="00FA0B63">
        <w:rPr>
          <w:rStyle w:val="table-note"/>
        </w:rPr>
        <w:t xml:space="preserve">Expenditure excludes grants to non-government organisations and indirect expenditure at the state/territory, region and organisation levels not apportioned to service units. </w:t>
      </w:r>
    </w:p>
    <w:p w:rsidR="00DD759E" w:rsidRPr="00FA0B63" w:rsidRDefault="00DD759E" w:rsidP="00540186">
      <w:pPr>
        <w:pStyle w:val="TableFigNotesnumbered"/>
        <w:numPr>
          <w:ilvl w:val="0"/>
          <w:numId w:val="43"/>
        </w:numPr>
        <w:rPr>
          <w:rStyle w:val="table-note"/>
        </w:rPr>
      </w:pPr>
      <w:r w:rsidRPr="00FA0B63">
        <w:rPr>
          <w:rStyle w:val="table-note"/>
        </w:rPr>
        <w:t>Crude rate is based on the state and territory estimated resident population by remoteness area as at 30 June 2007.</w:t>
      </w:r>
    </w:p>
    <w:p w:rsidR="00DD759E" w:rsidRPr="00FA0B63" w:rsidRDefault="00DD759E" w:rsidP="00540186">
      <w:pPr>
        <w:pStyle w:val="TableFigNotesnumbered"/>
        <w:numPr>
          <w:ilvl w:val="0"/>
          <w:numId w:val="43"/>
        </w:numPr>
        <w:rPr>
          <w:rStyle w:val="table-note"/>
        </w:rPr>
      </w:pPr>
      <w:r w:rsidRPr="00FA0B63">
        <w:rPr>
          <w:rStyle w:val="table-note"/>
        </w:rPr>
        <w:t>Constant prices are referenced to 2011–12 and are adjusted for inflation.</w:t>
      </w:r>
    </w:p>
    <w:p w:rsidR="00DD759E" w:rsidRPr="00FA0B63" w:rsidRDefault="00DD759E" w:rsidP="00540186">
      <w:pPr>
        <w:pStyle w:val="TableFigNotesnumbered"/>
        <w:numPr>
          <w:ilvl w:val="0"/>
          <w:numId w:val="43"/>
        </w:numPr>
        <w:rPr>
          <w:rStyle w:val="table-note"/>
        </w:rPr>
      </w:pPr>
      <w:r w:rsidRPr="00FA0B63">
        <w:rPr>
          <w:rStyle w:val="table-note"/>
        </w:rPr>
        <w:t>Includes public hospital services managed and operated by private and non-government entities.</w:t>
      </w:r>
    </w:p>
    <w:p w:rsidR="00DD759E" w:rsidRPr="00FA0B63" w:rsidRDefault="00DD759E" w:rsidP="00540186">
      <w:pPr>
        <w:pStyle w:val="TableFigNotesnumbered"/>
        <w:numPr>
          <w:ilvl w:val="0"/>
          <w:numId w:val="43"/>
        </w:numPr>
        <w:rPr>
          <w:rStyle w:val="table-note"/>
        </w:rPr>
      </w:pPr>
      <w:r w:rsidRPr="00FA0B63">
        <w:rPr>
          <w:rStyle w:val="table-note"/>
        </w:rPr>
        <w:t>Public psychiatric hospitals and specialised psychiatric units or wards in public acute hospitals include expenditure on admitted patient services only. Public hospitals outpatient departments are included in community mental health care services.</w:t>
      </w:r>
      <w:r w:rsidRPr="00FA0B63">
        <w:rPr>
          <w:rStyle w:val="table-note"/>
        </w:rPr>
        <w:tab/>
      </w:r>
      <w:r w:rsidRPr="00FA0B63">
        <w:rPr>
          <w:rStyle w:val="table-note"/>
        </w:rPr>
        <w:tab/>
      </w:r>
    </w:p>
    <w:p w:rsidR="00DD759E" w:rsidRPr="00FA0B63" w:rsidRDefault="00DD759E" w:rsidP="00540186">
      <w:pPr>
        <w:pStyle w:val="TableFigNotesnumbered"/>
        <w:numPr>
          <w:ilvl w:val="0"/>
          <w:numId w:val="43"/>
        </w:numPr>
        <w:rPr>
          <w:rStyle w:val="table-note"/>
        </w:rPr>
      </w:pPr>
      <w:r w:rsidRPr="00FA0B63">
        <w:rPr>
          <w:rStyle w:val="table-note"/>
        </w:rPr>
        <w:t xml:space="preserve">Residential mental health services include the total operating costs for partially or wholly government funded non-government-operated residential mental health services. </w:t>
      </w:r>
    </w:p>
    <w:p w:rsidR="00DD759E" w:rsidRPr="00FA0B63" w:rsidRDefault="00DD759E" w:rsidP="00540186">
      <w:pPr>
        <w:pStyle w:val="TableFigNotesnumbered"/>
        <w:numPr>
          <w:ilvl w:val="0"/>
          <w:numId w:val="43"/>
        </w:numPr>
        <w:rPr>
          <w:rStyle w:val="table-note"/>
        </w:rPr>
      </w:pPr>
      <w:r w:rsidRPr="00FA0B63">
        <w:rPr>
          <w:rStyle w:val="table-note"/>
        </w:rPr>
        <w:t>Totals may not add due to rounding.</w:t>
      </w:r>
    </w:p>
    <w:p w:rsidR="00DD759E" w:rsidRDefault="00DD759E" w:rsidP="00DD759E">
      <w:pPr>
        <w:spacing w:before="0" w:after="0" w:line="240" w:lineRule="auto"/>
        <w:rPr>
          <w:rFonts w:asciiTheme="minorHAnsi" w:hAnsiTheme="minorHAnsi" w:cstheme="minorHAnsi"/>
          <w:b/>
          <w:sz w:val="20"/>
          <w:szCs w:val="20"/>
          <w:lang w:eastAsia="en-US"/>
        </w:rPr>
      </w:pPr>
    </w:p>
    <w:p w:rsidR="00DD759E" w:rsidRDefault="00DD759E" w:rsidP="00DD759E">
      <w:pPr>
        <w:spacing w:before="0" w:after="0" w:line="240" w:lineRule="auto"/>
        <w:rPr>
          <w:szCs w:val="20"/>
          <w:lang w:eastAsia="en-US"/>
        </w:rPr>
      </w:pPr>
      <w:r>
        <w:br w:type="page"/>
      </w:r>
    </w:p>
    <w:p w:rsidR="00DD759E" w:rsidRPr="000E0677" w:rsidRDefault="000E0677" w:rsidP="00DD759E">
      <w:pPr>
        <w:pStyle w:val="TableCaption"/>
        <w:rPr>
          <w:rStyle w:val="table-note"/>
        </w:rPr>
      </w:pPr>
      <w:r w:rsidRPr="000E0677">
        <w:rPr>
          <w:rStyle w:val="table-note"/>
        </w:rPr>
        <w:lastRenderedPageBreak/>
        <w:t xml:space="preserve">Table 44: </w:t>
      </w:r>
      <w:r w:rsidR="00DD759E" w:rsidRPr="000E0677">
        <w:rPr>
          <w:rStyle w:val="table-note"/>
        </w:rPr>
        <w:t xml:space="preserve">SA: Recurrent </w:t>
      </w:r>
      <w:proofErr w:type="gramStart"/>
      <w:r w:rsidR="00DD759E" w:rsidRPr="000E0677">
        <w:rPr>
          <w:rStyle w:val="table-note"/>
        </w:rPr>
        <w:t>expenditure</w:t>
      </w:r>
      <w:r w:rsidR="00DD759E" w:rsidRPr="000E0677">
        <w:rPr>
          <w:rStyle w:val="table-note"/>
          <w:vertAlign w:val="superscript"/>
        </w:rPr>
        <w:t>(</w:t>
      </w:r>
      <w:proofErr w:type="gramEnd"/>
      <w:r w:rsidR="00DD759E" w:rsidRPr="000E0677">
        <w:rPr>
          <w:rStyle w:val="table-note"/>
          <w:vertAlign w:val="superscript"/>
        </w:rPr>
        <w:t>a)(b)</w:t>
      </w:r>
      <w:r w:rsidR="00DD759E" w:rsidRPr="000E0677">
        <w:rPr>
          <w:rStyle w:val="table-note"/>
        </w:rPr>
        <w:t xml:space="preserve"> ($’000) on state and territory specialised mental health services, by service type, 2011–12 (current prices)</w:t>
      </w:r>
    </w:p>
    <w:tbl>
      <w:tblPr>
        <w:tblStyle w:val="TableGrid"/>
        <w:tblW w:w="0" w:type="auto"/>
        <w:tblLook w:val="04A0" w:firstRow="1" w:lastRow="0" w:firstColumn="1" w:lastColumn="0" w:noHBand="0" w:noVBand="1"/>
        <w:tblCaption w:val="SA: Recurrent expenditure(a)(b) ($’000) on state and territory specialised mental health services, by service type, 2011–12 (current prices)"/>
        <w:tblDescription w:val="Table showing that, in 2011-2012, major cities in SA have the highest recurrent expenditure for all specialised mental health services at $286,847,000. Public hospital services spent a total of $137,463,000 across all remoteness categories followed by community mental health services, $144,506,000 and residential mental health services $18,422,000."/>
      </w:tblPr>
      <w:tblGrid>
        <w:gridCol w:w="2349"/>
        <w:gridCol w:w="1103"/>
        <w:gridCol w:w="1357"/>
        <w:gridCol w:w="1233"/>
        <w:gridCol w:w="1036"/>
        <w:gridCol w:w="1079"/>
        <w:gridCol w:w="1129"/>
      </w:tblGrid>
      <w:tr w:rsidR="00DD759E" w:rsidRPr="00B476FB" w:rsidTr="000C3DEA">
        <w:trPr>
          <w:tblHeader/>
        </w:trPr>
        <w:tc>
          <w:tcPr>
            <w:tcW w:w="2454" w:type="dxa"/>
          </w:tcPr>
          <w:p w:rsidR="00DD759E" w:rsidRPr="00B476FB" w:rsidRDefault="00DD759E" w:rsidP="00987128">
            <w:pPr>
              <w:pStyle w:val="TableFigText"/>
              <w:keepNext/>
              <w:rPr>
                <w:rFonts w:asciiTheme="minorHAnsi" w:hAnsiTheme="minorHAnsi" w:cstheme="minorHAnsi"/>
                <w:szCs w:val="22"/>
              </w:rPr>
            </w:pPr>
          </w:p>
        </w:tc>
        <w:tc>
          <w:tcPr>
            <w:tcW w:w="1127" w:type="dxa"/>
          </w:tcPr>
          <w:p w:rsidR="00DD759E" w:rsidRPr="00B476FB" w:rsidRDefault="00DD759E" w:rsidP="00987128">
            <w:pPr>
              <w:pStyle w:val="TableFigText"/>
              <w:keepNext/>
              <w:jc w:val="right"/>
              <w:rPr>
                <w:rFonts w:asciiTheme="minorHAnsi" w:hAnsiTheme="minorHAnsi" w:cstheme="minorHAnsi"/>
                <w:b/>
                <w:szCs w:val="22"/>
              </w:rPr>
            </w:pPr>
            <w:r w:rsidRPr="00B476FB">
              <w:rPr>
                <w:rFonts w:asciiTheme="minorHAnsi" w:hAnsiTheme="minorHAnsi" w:cstheme="minorHAnsi"/>
                <w:b/>
                <w:szCs w:val="22"/>
              </w:rPr>
              <w:t>Major cities</w:t>
            </w:r>
          </w:p>
        </w:tc>
        <w:tc>
          <w:tcPr>
            <w:tcW w:w="1403" w:type="dxa"/>
          </w:tcPr>
          <w:p w:rsidR="00DD759E" w:rsidRPr="00B476FB" w:rsidRDefault="00DD759E" w:rsidP="00987128">
            <w:pPr>
              <w:pStyle w:val="TableFigText"/>
              <w:keepNext/>
              <w:jc w:val="right"/>
              <w:rPr>
                <w:rFonts w:asciiTheme="minorHAnsi" w:hAnsiTheme="minorHAnsi" w:cstheme="minorHAnsi"/>
                <w:b/>
                <w:szCs w:val="22"/>
              </w:rPr>
            </w:pPr>
            <w:r w:rsidRPr="00B476FB">
              <w:rPr>
                <w:rFonts w:asciiTheme="minorHAnsi" w:hAnsiTheme="minorHAnsi" w:cstheme="minorHAnsi"/>
                <w:b/>
                <w:szCs w:val="22"/>
              </w:rPr>
              <w:t>Inner regional</w:t>
            </w:r>
          </w:p>
        </w:tc>
        <w:tc>
          <w:tcPr>
            <w:tcW w:w="1270" w:type="dxa"/>
          </w:tcPr>
          <w:p w:rsidR="00DD759E" w:rsidRPr="00B476FB" w:rsidRDefault="00DD759E" w:rsidP="00987128">
            <w:pPr>
              <w:pStyle w:val="TableFigText"/>
              <w:keepNext/>
              <w:jc w:val="right"/>
              <w:rPr>
                <w:rFonts w:asciiTheme="minorHAnsi" w:hAnsiTheme="minorHAnsi" w:cstheme="minorHAnsi"/>
                <w:b/>
                <w:szCs w:val="22"/>
              </w:rPr>
            </w:pPr>
            <w:r w:rsidRPr="00B476FB">
              <w:rPr>
                <w:rFonts w:asciiTheme="minorHAnsi" w:hAnsiTheme="minorHAnsi" w:cstheme="minorHAnsi"/>
                <w:b/>
                <w:szCs w:val="22"/>
              </w:rPr>
              <w:t>Outer regional</w:t>
            </w:r>
          </w:p>
        </w:tc>
        <w:tc>
          <w:tcPr>
            <w:tcW w:w="1059" w:type="dxa"/>
          </w:tcPr>
          <w:p w:rsidR="00DD759E" w:rsidRPr="00B476FB" w:rsidRDefault="00DD759E" w:rsidP="00987128">
            <w:pPr>
              <w:pStyle w:val="TableFigText"/>
              <w:keepNext/>
              <w:jc w:val="right"/>
              <w:rPr>
                <w:rFonts w:asciiTheme="minorHAnsi" w:hAnsiTheme="minorHAnsi" w:cstheme="minorHAnsi"/>
                <w:b/>
                <w:szCs w:val="22"/>
              </w:rPr>
            </w:pPr>
            <w:r w:rsidRPr="00B476FB">
              <w:rPr>
                <w:rFonts w:asciiTheme="minorHAnsi" w:hAnsiTheme="minorHAnsi" w:cstheme="minorHAnsi"/>
                <w:b/>
                <w:szCs w:val="22"/>
              </w:rPr>
              <w:t>Remote</w:t>
            </w:r>
          </w:p>
        </w:tc>
        <w:tc>
          <w:tcPr>
            <w:tcW w:w="1108" w:type="dxa"/>
          </w:tcPr>
          <w:p w:rsidR="00DD759E" w:rsidRPr="00B476FB" w:rsidRDefault="00DD759E" w:rsidP="00987128">
            <w:pPr>
              <w:pStyle w:val="TableFigText"/>
              <w:keepNext/>
              <w:jc w:val="right"/>
              <w:rPr>
                <w:rFonts w:asciiTheme="minorHAnsi" w:hAnsiTheme="minorHAnsi" w:cstheme="minorHAnsi"/>
                <w:b/>
                <w:szCs w:val="22"/>
              </w:rPr>
            </w:pPr>
            <w:r w:rsidRPr="00B476FB">
              <w:rPr>
                <w:rFonts w:asciiTheme="minorHAnsi" w:hAnsiTheme="minorHAnsi" w:cstheme="minorHAnsi"/>
                <w:b/>
                <w:szCs w:val="22"/>
              </w:rPr>
              <w:t>Very remote</w:t>
            </w:r>
          </w:p>
        </w:tc>
        <w:tc>
          <w:tcPr>
            <w:tcW w:w="1155" w:type="dxa"/>
          </w:tcPr>
          <w:p w:rsidR="00DD759E" w:rsidRPr="00B476FB" w:rsidRDefault="00DD759E" w:rsidP="00987128">
            <w:pPr>
              <w:pStyle w:val="TableFigText"/>
              <w:keepNext/>
              <w:jc w:val="right"/>
              <w:rPr>
                <w:rFonts w:asciiTheme="minorHAnsi" w:hAnsiTheme="minorHAnsi" w:cstheme="minorHAnsi"/>
                <w:b/>
                <w:szCs w:val="22"/>
              </w:rPr>
            </w:pPr>
            <w:r w:rsidRPr="00B476FB">
              <w:rPr>
                <w:rFonts w:asciiTheme="minorHAnsi" w:hAnsiTheme="minorHAnsi" w:cstheme="minorHAnsi"/>
                <w:b/>
                <w:szCs w:val="22"/>
              </w:rPr>
              <w:t>Total</w:t>
            </w:r>
            <w:r w:rsidRPr="00B476FB">
              <w:rPr>
                <w:rFonts w:asciiTheme="minorHAnsi" w:hAnsiTheme="minorHAnsi" w:cstheme="minorHAnsi"/>
                <w:szCs w:val="22"/>
                <w:vertAlign w:val="superscript"/>
              </w:rPr>
              <w:t>(</w:t>
            </w:r>
            <w:r>
              <w:rPr>
                <w:rFonts w:asciiTheme="minorHAnsi" w:hAnsiTheme="minorHAnsi" w:cstheme="minorHAnsi"/>
                <w:szCs w:val="22"/>
                <w:vertAlign w:val="superscript"/>
              </w:rPr>
              <w:t>c</w:t>
            </w:r>
            <w:r w:rsidRPr="00B476FB">
              <w:rPr>
                <w:rFonts w:asciiTheme="minorHAnsi" w:hAnsiTheme="minorHAnsi" w:cstheme="minorHAnsi"/>
                <w:szCs w:val="22"/>
                <w:vertAlign w:val="superscript"/>
              </w:rPr>
              <w:t>)</w:t>
            </w:r>
          </w:p>
        </w:tc>
      </w:tr>
      <w:tr w:rsidR="00DD759E" w:rsidRPr="00B476FB" w:rsidTr="00987128">
        <w:tc>
          <w:tcPr>
            <w:tcW w:w="2454" w:type="dxa"/>
          </w:tcPr>
          <w:p w:rsidR="00DD759E" w:rsidRPr="00B476FB" w:rsidRDefault="00DD759E" w:rsidP="00987128">
            <w:pPr>
              <w:pStyle w:val="TableFigText"/>
              <w:keepNext/>
              <w:rPr>
                <w:rFonts w:asciiTheme="minorHAnsi" w:hAnsiTheme="minorHAnsi" w:cstheme="minorHAnsi"/>
                <w:szCs w:val="22"/>
              </w:rPr>
            </w:pPr>
            <w:r w:rsidRPr="00B476FB">
              <w:rPr>
                <w:rFonts w:asciiTheme="minorHAnsi" w:hAnsiTheme="minorHAnsi" w:cstheme="minorHAnsi"/>
                <w:szCs w:val="22"/>
              </w:rPr>
              <w:t>Public hospital services</w:t>
            </w:r>
            <w:r w:rsidRPr="00B476FB">
              <w:rPr>
                <w:rFonts w:asciiTheme="minorHAnsi" w:hAnsiTheme="minorHAnsi" w:cstheme="minorHAnsi"/>
                <w:szCs w:val="22"/>
                <w:vertAlign w:val="superscript"/>
              </w:rPr>
              <w:t>(</w:t>
            </w:r>
            <w:r>
              <w:rPr>
                <w:rFonts w:asciiTheme="minorHAnsi" w:hAnsiTheme="minorHAnsi" w:cstheme="minorHAnsi"/>
                <w:szCs w:val="22"/>
                <w:vertAlign w:val="superscript"/>
              </w:rPr>
              <w:t>d</w:t>
            </w:r>
            <w:r w:rsidRPr="00B476FB">
              <w:rPr>
                <w:rFonts w:asciiTheme="minorHAnsi" w:hAnsiTheme="minorHAnsi" w:cstheme="minorHAnsi"/>
                <w:szCs w:val="22"/>
                <w:vertAlign w:val="superscript"/>
              </w:rPr>
              <w:t>)(</w:t>
            </w:r>
            <w:r>
              <w:rPr>
                <w:rFonts w:asciiTheme="minorHAnsi" w:hAnsiTheme="minorHAnsi" w:cstheme="minorHAnsi"/>
                <w:szCs w:val="22"/>
                <w:vertAlign w:val="superscript"/>
              </w:rPr>
              <w:t>e</w:t>
            </w:r>
            <w:r w:rsidRPr="00B476FB">
              <w:rPr>
                <w:rFonts w:asciiTheme="minorHAnsi" w:hAnsiTheme="minorHAnsi" w:cstheme="minorHAnsi"/>
                <w:szCs w:val="22"/>
                <w:vertAlign w:val="superscript"/>
              </w:rPr>
              <w:t>)</w:t>
            </w:r>
          </w:p>
        </w:tc>
        <w:tc>
          <w:tcPr>
            <w:tcW w:w="1127" w:type="dxa"/>
          </w:tcPr>
          <w:p w:rsidR="00DD759E" w:rsidRPr="00B476FB" w:rsidRDefault="00DD759E" w:rsidP="007A6F8F">
            <w:pPr>
              <w:pStyle w:val="TableFigText"/>
              <w:jc w:val="right"/>
            </w:pPr>
            <w:r w:rsidRPr="00B476FB">
              <w:t>137,463</w:t>
            </w:r>
          </w:p>
        </w:tc>
        <w:tc>
          <w:tcPr>
            <w:tcW w:w="1403" w:type="dxa"/>
          </w:tcPr>
          <w:p w:rsidR="00DD759E" w:rsidRPr="00B476FB" w:rsidRDefault="00DD759E" w:rsidP="007A6F8F">
            <w:pPr>
              <w:pStyle w:val="TableFigText"/>
              <w:jc w:val="right"/>
            </w:pPr>
            <w:r w:rsidRPr="00B476FB">
              <w:t>0</w:t>
            </w:r>
          </w:p>
        </w:tc>
        <w:tc>
          <w:tcPr>
            <w:tcW w:w="1270" w:type="dxa"/>
          </w:tcPr>
          <w:p w:rsidR="00DD759E" w:rsidRPr="00B476FB" w:rsidRDefault="00DD759E" w:rsidP="007A6F8F">
            <w:pPr>
              <w:pStyle w:val="TableFigText"/>
              <w:jc w:val="right"/>
            </w:pPr>
            <w:r w:rsidRPr="00B476FB">
              <w:t>0</w:t>
            </w:r>
          </w:p>
        </w:tc>
        <w:tc>
          <w:tcPr>
            <w:tcW w:w="1059" w:type="dxa"/>
          </w:tcPr>
          <w:p w:rsidR="00DD759E" w:rsidRPr="00B476FB" w:rsidRDefault="00DD759E" w:rsidP="007A6F8F">
            <w:pPr>
              <w:pStyle w:val="TableFigText"/>
              <w:jc w:val="right"/>
            </w:pPr>
            <w:r w:rsidRPr="00B476FB">
              <w:t>0</w:t>
            </w:r>
          </w:p>
        </w:tc>
        <w:tc>
          <w:tcPr>
            <w:tcW w:w="1108" w:type="dxa"/>
          </w:tcPr>
          <w:p w:rsidR="00DD759E" w:rsidRPr="00B476FB" w:rsidRDefault="00DD759E" w:rsidP="007A6F8F">
            <w:pPr>
              <w:pStyle w:val="TableFigText"/>
              <w:jc w:val="right"/>
            </w:pPr>
            <w:r w:rsidRPr="00B476FB">
              <w:t>0</w:t>
            </w:r>
          </w:p>
        </w:tc>
        <w:tc>
          <w:tcPr>
            <w:tcW w:w="1155" w:type="dxa"/>
          </w:tcPr>
          <w:p w:rsidR="00DD759E" w:rsidRPr="00B476FB" w:rsidRDefault="00DD759E" w:rsidP="007A6F8F">
            <w:pPr>
              <w:pStyle w:val="TableFigText"/>
              <w:jc w:val="right"/>
            </w:pPr>
            <w:r w:rsidRPr="00B476FB">
              <w:t>137,463</w:t>
            </w:r>
          </w:p>
        </w:tc>
      </w:tr>
      <w:tr w:rsidR="00DD759E" w:rsidRPr="00B476FB" w:rsidTr="00987128">
        <w:tc>
          <w:tcPr>
            <w:tcW w:w="2454" w:type="dxa"/>
          </w:tcPr>
          <w:p w:rsidR="00DD759E" w:rsidRPr="00B476FB" w:rsidRDefault="00DD759E" w:rsidP="00987128">
            <w:pPr>
              <w:pStyle w:val="TableFigText"/>
              <w:rPr>
                <w:rFonts w:asciiTheme="minorHAnsi" w:hAnsiTheme="minorHAnsi" w:cstheme="minorHAnsi"/>
                <w:szCs w:val="22"/>
              </w:rPr>
            </w:pPr>
            <w:r w:rsidRPr="00B476FB">
              <w:rPr>
                <w:rFonts w:asciiTheme="minorHAnsi" w:hAnsiTheme="minorHAnsi" w:cstheme="minorHAnsi"/>
                <w:szCs w:val="22"/>
              </w:rPr>
              <w:t>Community mental health services</w:t>
            </w:r>
          </w:p>
        </w:tc>
        <w:tc>
          <w:tcPr>
            <w:tcW w:w="1127" w:type="dxa"/>
            <w:vAlign w:val="bottom"/>
          </w:tcPr>
          <w:p w:rsidR="00DD759E" w:rsidRPr="00C17582" w:rsidRDefault="00DD759E" w:rsidP="007A6F8F">
            <w:pPr>
              <w:pStyle w:val="TableFigText"/>
              <w:jc w:val="right"/>
            </w:pPr>
            <w:r w:rsidRPr="00C17582">
              <w:t>130,943</w:t>
            </w:r>
          </w:p>
        </w:tc>
        <w:tc>
          <w:tcPr>
            <w:tcW w:w="1403" w:type="dxa"/>
            <w:vAlign w:val="bottom"/>
          </w:tcPr>
          <w:p w:rsidR="00DD759E" w:rsidRPr="00C17582" w:rsidRDefault="00DD759E" w:rsidP="007A6F8F">
            <w:pPr>
              <w:pStyle w:val="TableFigText"/>
              <w:jc w:val="right"/>
            </w:pPr>
            <w:r w:rsidRPr="00C17582">
              <w:t>3,121</w:t>
            </w:r>
          </w:p>
        </w:tc>
        <w:tc>
          <w:tcPr>
            <w:tcW w:w="1270" w:type="dxa"/>
            <w:vAlign w:val="bottom"/>
          </w:tcPr>
          <w:p w:rsidR="00DD759E" w:rsidRPr="00C17582" w:rsidRDefault="00DD759E" w:rsidP="007A6F8F">
            <w:pPr>
              <w:pStyle w:val="TableFigText"/>
              <w:jc w:val="right"/>
            </w:pPr>
            <w:r w:rsidRPr="00C17582">
              <w:t>8,931</w:t>
            </w:r>
          </w:p>
        </w:tc>
        <w:tc>
          <w:tcPr>
            <w:tcW w:w="1059" w:type="dxa"/>
            <w:vAlign w:val="bottom"/>
          </w:tcPr>
          <w:p w:rsidR="00DD759E" w:rsidRPr="00C17582" w:rsidRDefault="00DD759E" w:rsidP="007A6F8F">
            <w:pPr>
              <w:pStyle w:val="TableFigText"/>
              <w:jc w:val="right"/>
            </w:pPr>
            <w:r w:rsidRPr="00C17582">
              <w:t>1,512</w:t>
            </w:r>
          </w:p>
        </w:tc>
        <w:tc>
          <w:tcPr>
            <w:tcW w:w="1108" w:type="dxa"/>
            <w:vAlign w:val="bottom"/>
          </w:tcPr>
          <w:p w:rsidR="00DD759E" w:rsidRPr="00C17582" w:rsidRDefault="00DD759E" w:rsidP="007A6F8F">
            <w:pPr>
              <w:pStyle w:val="TableFigText"/>
              <w:jc w:val="right"/>
            </w:pPr>
            <w:r w:rsidRPr="00C17582">
              <w:t>0</w:t>
            </w:r>
          </w:p>
        </w:tc>
        <w:tc>
          <w:tcPr>
            <w:tcW w:w="1155" w:type="dxa"/>
            <w:vAlign w:val="bottom"/>
          </w:tcPr>
          <w:p w:rsidR="00DD759E" w:rsidRPr="00C17582" w:rsidRDefault="00DD759E" w:rsidP="007A6F8F">
            <w:pPr>
              <w:pStyle w:val="TableFigText"/>
              <w:jc w:val="right"/>
            </w:pPr>
            <w:r w:rsidRPr="00C17582">
              <w:t>144,506</w:t>
            </w:r>
          </w:p>
        </w:tc>
      </w:tr>
      <w:tr w:rsidR="00DD759E" w:rsidRPr="00B476FB" w:rsidTr="00987128">
        <w:tc>
          <w:tcPr>
            <w:tcW w:w="2454" w:type="dxa"/>
          </w:tcPr>
          <w:p w:rsidR="00DD759E" w:rsidRPr="00B476FB" w:rsidRDefault="00DD759E" w:rsidP="00987128">
            <w:pPr>
              <w:pStyle w:val="TableFigText"/>
              <w:rPr>
                <w:rFonts w:asciiTheme="minorHAnsi" w:hAnsiTheme="minorHAnsi" w:cstheme="minorHAnsi"/>
                <w:szCs w:val="22"/>
              </w:rPr>
            </w:pPr>
            <w:r w:rsidRPr="00B476FB">
              <w:rPr>
                <w:rFonts w:asciiTheme="minorHAnsi" w:hAnsiTheme="minorHAnsi" w:cstheme="minorHAnsi"/>
                <w:szCs w:val="22"/>
              </w:rPr>
              <w:t>Residential mental health services</w:t>
            </w:r>
            <w:r w:rsidRPr="00B476FB">
              <w:rPr>
                <w:rFonts w:asciiTheme="minorHAnsi" w:hAnsiTheme="minorHAnsi" w:cstheme="minorHAnsi"/>
                <w:szCs w:val="22"/>
                <w:vertAlign w:val="superscript"/>
              </w:rPr>
              <w:t>(</w:t>
            </w:r>
            <w:r>
              <w:rPr>
                <w:rFonts w:asciiTheme="minorHAnsi" w:hAnsiTheme="minorHAnsi" w:cstheme="minorHAnsi"/>
                <w:szCs w:val="22"/>
                <w:vertAlign w:val="superscript"/>
              </w:rPr>
              <w:t>f</w:t>
            </w:r>
            <w:r w:rsidRPr="00B476FB">
              <w:rPr>
                <w:rFonts w:asciiTheme="minorHAnsi" w:hAnsiTheme="minorHAnsi" w:cstheme="minorHAnsi"/>
                <w:szCs w:val="22"/>
                <w:vertAlign w:val="superscript"/>
              </w:rPr>
              <w:t>)</w:t>
            </w:r>
          </w:p>
        </w:tc>
        <w:tc>
          <w:tcPr>
            <w:tcW w:w="1127" w:type="dxa"/>
            <w:vAlign w:val="bottom"/>
          </w:tcPr>
          <w:p w:rsidR="00DD759E" w:rsidRPr="00C17582" w:rsidRDefault="00DD759E" w:rsidP="007A6F8F">
            <w:pPr>
              <w:pStyle w:val="TableFigText"/>
              <w:jc w:val="right"/>
            </w:pPr>
            <w:r w:rsidRPr="00C17582">
              <w:t>18,442</w:t>
            </w:r>
          </w:p>
        </w:tc>
        <w:tc>
          <w:tcPr>
            <w:tcW w:w="1403" w:type="dxa"/>
            <w:vAlign w:val="bottom"/>
          </w:tcPr>
          <w:p w:rsidR="00DD759E" w:rsidRPr="00C17582" w:rsidRDefault="00DD759E" w:rsidP="007A6F8F">
            <w:pPr>
              <w:pStyle w:val="TableFigText"/>
              <w:jc w:val="right"/>
            </w:pPr>
            <w:r w:rsidRPr="00C17582">
              <w:t>0</w:t>
            </w:r>
          </w:p>
        </w:tc>
        <w:tc>
          <w:tcPr>
            <w:tcW w:w="1270" w:type="dxa"/>
            <w:vAlign w:val="bottom"/>
          </w:tcPr>
          <w:p w:rsidR="00DD759E" w:rsidRPr="00C17582" w:rsidRDefault="00DD759E" w:rsidP="007A6F8F">
            <w:pPr>
              <w:pStyle w:val="TableFigText"/>
              <w:jc w:val="right"/>
            </w:pPr>
            <w:r w:rsidRPr="00C17582">
              <w:t>0</w:t>
            </w:r>
          </w:p>
        </w:tc>
        <w:tc>
          <w:tcPr>
            <w:tcW w:w="1059" w:type="dxa"/>
            <w:vAlign w:val="bottom"/>
          </w:tcPr>
          <w:p w:rsidR="00DD759E" w:rsidRPr="00C17582" w:rsidRDefault="00DD759E" w:rsidP="007A6F8F">
            <w:pPr>
              <w:pStyle w:val="TableFigText"/>
              <w:jc w:val="right"/>
            </w:pPr>
            <w:r w:rsidRPr="00C17582">
              <w:t>0</w:t>
            </w:r>
          </w:p>
        </w:tc>
        <w:tc>
          <w:tcPr>
            <w:tcW w:w="1108" w:type="dxa"/>
            <w:vAlign w:val="bottom"/>
          </w:tcPr>
          <w:p w:rsidR="00DD759E" w:rsidRPr="00C17582" w:rsidRDefault="00DD759E" w:rsidP="007A6F8F">
            <w:pPr>
              <w:pStyle w:val="TableFigText"/>
              <w:jc w:val="right"/>
            </w:pPr>
            <w:r w:rsidRPr="00C17582">
              <w:t>0</w:t>
            </w:r>
          </w:p>
        </w:tc>
        <w:tc>
          <w:tcPr>
            <w:tcW w:w="1155" w:type="dxa"/>
            <w:vAlign w:val="bottom"/>
          </w:tcPr>
          <w:p w:rsidR="00DD759E" w:rsidRPr="00C17582" w:rsidRDefault="00DD759E" w:rsidP="007A6F8F">
            <w:pPr>
              <w:pStyle w:val="TableFigText"/>
              <w:jc w:val="right"/>
            </w:pPr>
            <w:r w:rsidRPr="00C17582">
              <w:t>18,442</w:t>
            </w:r>
          </w:p>
        </w:tc>
      </w:tr>
      <w:tr w:rsidR="00DD759E" w:rsidRPr="00B476FB" w:rsidTr="00987128">
        <w:tc>
          <w:tcPr>
            <w:tcW w:w="2454" w:type="dxa"/>
          </w:tcPr>
          <w:p w:rsidR="00DD759E" w:rsidRPr="007A6F8F" w:rsidRDefault="00DD759E" w:rsidP="00987128">
            <w:pPr>
              <w:pStyle w:val="TableFigText"/>
              <w:rPr>
                <w:rFonts w:asciiTheme="minorHAnsi" w:hAnsiTheme="minorHAnsi" w:cstheme="minorHAnsi"/>
                <w:b/>
                <w:szCs w:val="22"/>
              </w:rPr>
            </w:pPr>
            <w:r w:rsidRPr="007A6F8F">
              <w:rPr>
                <w:rFonts w:asciiTheme="minorHAnsi" w:hAnsiTheme="minorHAnsi" w:cstheme="minorHAnsi"/>
                <w:b/>
                <w:szCs w:val="22"/>
              </w:rPr>
              <w:t>All mental health service types</w:t>
            </w:r>
            <w:r w:rsidRPr="007A6F8F">
              <w:rPr>
                <w:rFonts w:asciiTheme="minorHAnsi" w:hAnsiTheme="minorHAnsi" w:cstheme="minorHAnsi"/>
                <w:b/>
                <w:szCs w:val="22"/>
                <w:vertAlign w:val="superscript"/>
              </w:rPr>
              <w:t>(c)</w:t>
            </w:r>
          </w:p>
        </w:tc>
        <w:tc>
          <w:tcPr>
            <w:tcW w:w="1127" w:type="dxa"/>
            <w:vAlign w:val="bottom"/>
          </w:tcPr>
          <w:p w:rsidR="00DD759E" w:rsidRPr="007A6F8F" w:rsidRDefault="00DD759E" w:rsidP="007A6F8F">
            <w:pPr>
              <w:pStyle w:val="TableFigText"/>
              <w:jc w:val="right"/>
              <w:rPr>
                <w:b/>
              </w:rPr>
            </w:pPr>
            <w:r w:rsidRPr="007A6F8F">
              <w:rPr>
                <w:b/>
              </w:rPr>
              <w:t>286,847</w:t>
            </w:r>
          </w:p>
        </w:tc>
        <w:tc>
          <w:tcPr>
            <w:tcW w:w="1403" w:type="dxa"/>
            <w:vAlign w:val="bottom"/>
          </w:tcPr>
          <w:p w:rsidR="00DD759E" w:rsidRPr="007A6F8F" w:rsidRDefault="00DD759E" w:rsidP="007A6F8F">
            <w:pPr>
              <w:pStyle w:val="TableFigText"/>
              <w:jc w:val="right"/>
              <w:rPr>
                <w:b/>
              </w:rPr>
            </w:pPr>
            <w:r w:rsidRPr="007A6F8F">
              <w:rPr>
                <w:b/>
              </w:rPr>
              <w:t>3,121</w:t>
            </w:r>
          </w:p>
        </w:tc>
        <w:tc>
          <w:tcPr>
            <w:tcW w:w="1270" w:type="dxa"/>
            <w:vAlign w:val="bottom"/>
          </w:tcPr>
          <w:p w:rsidR="00DD759E" w:rsidRPr="007A6F8F" w:rsidRDefault="00DD759E" w:rsidP="007A6F8F">
            <w:pPr>
              <w:pStyle w:val="TableFigText"/>
              <w:jc w:val="right"/>
              <w:rPr>
                <w:b/>
              </w:rPr>
            </w:pPr>
            <w:r w:rsidRPr="007A6F8F">
              <w:rPr>
                <w:b/>
              </w:rPr>
              <w:t>8,931</w:t>
            </w:r>
          </w:p>
        </w:tc>
        <w:tc>
          <w:tcPr>
            <w:tcW w:w="1059" w:type="dxa"/>
            <w:vAlign w:val="bottom"/>
          </w:tcPr>
          <w:p w:rsidR="00DD759E" w:rsidRPr="007A6F8F" w:rsidRDefault="00DD759E" w:rsidP="007A6F8F">
            <w:pPr>
              <w:pStyle w:val="TableFigText"/>
              <w:jc w:val="right"/>
              <w:rPr>
                <w:b/>
              </w:rPr>
            </w:pPr>
            <w:r w:rsidRPr="007A6F8F">
              <w:rPr>
                <w:b/>
              </w:rPr>
              <w:t>1,512</w:t>
            </w:r>
          </w:p>
        </w:tc>
        <w:tc>
          <w:tcPr>
            <w:tcW w:w="1108" w:type="dxa"/>
            <w:vAlign w:val="bottom"/>
          </w:tcPr>
          <w:p w:rsidR="00DD759E" w:rsidRPr="007A6F8F" w:rsidRDefault="00DD759E" w:rsidP="007A6F8F">
            <w:pPr>
              <w:pStyle w:val="TableFigText"/>
              <w:jc w:val="right"/>
              <w:rPr>
                <w:b/>
              </w:rPr>
            </w:pPr>
            <w:r w:rsidRPr="007A6F8F">
              <w:rPr>
                <w:b/>
              </w:rPr>
              <w:t>0</w:t>
            </w:r>
          </w:p>
        </w:tc>
        <w:tc>
          <w:tcPr>
            <w:tcW w:w="1155" w:type="dxa"/>
            <w:vAlign w:val="bottom"/>
          </w:tcPr>
          <w:p w:rsidR="00DD759E" w:rsidRPr="007A6F8F" w:rsidRDefault="00DD759E" w:rsidP="007A6F8F">
            <w:pPr>
              <w:pStyle w:val="TableFigText"/>
              <w:jc w:val="right"/>
              <w:rPr>
                <w:b/>
              </w:rPr>
            </w:pPr>
            <w:r w:rsidRPr="007A6F8F">
              <w:rPr>
                <w:b/>
              </w:rPr>
              <w:t>300,411</w:t>
            </w:r>
          </w:p>
        </w:tc>
      </w:tr>
    </w:tbl>
    <w:p w:rsidR="00DD759E" w:rsidRPr="00FA0B63" w:rsidRDefault="00DD759E" w:rsidP="00540186">
      <w:pPr>
        <w:pStyle w:val="TableFigNotesnumbered"/>
        <w:numPr>
          <w:ilvl w:val="0"/>
          <w:numId w:val="86"/>
        </w:numPr>
        <w:rPr>
          <w:rStyle w:val="table-note"/>
        </w:rPr>
      </w:pPr>
      <w:r w:rsidRPr="00FA0B63">
        <w:rPr>
          <w:rStyle w:val="table-note"/>
        </w:rPr>
        <w:t>Expenditure excludes depreciation.</w:t>
      </w:r>
    </w:p>
    <w:p w:rsidR="00DD759E" w:rsidRPr="00FA0B63" w:rsidRDefault="00DD759E" w:rsidP="00540186">
      <w:pPr>
        <w:pStyle w:val="TableFigNotesnumbered"/>
        <w:numPr>
          <w:ilvl w:val="0"/>
          <w:numId w:val="86"/>
        </w:numPr>
        <w:rPr>
          <w:rStyle w:val="table-note"/>
        </w:rPr>
      </w:pPr>
      <w:r w:rsidRPr="00FA0B63">
        <w:rPr>
          <w:rStyle w:val="table-note"/>
        </w:rPr>
        <w:t>Expenditure excludes grants to non-government organisations and indirect expenditure at the state/territory, region and organisation levels not apportioned to service units.</w:t>
      </w:r>
    </w:p>
    <w:p w:rsidR="00DD759E" w:rsidRPr="00FA0B63" w:rsidRDefault="00DD759E" w:rsidP="00540186">
      <w:pPr>
        <w:pStyle w:val="TableFigNotesnumbered"/>
        <w:numPr>
          <w:ilvl w:val="0"/>
          <w:numId w:val="86"/>
        </w:numPr>
        <w:rPr>
          <w:rStyle w:val="table-note"/>
        </w:rPr>
      </w:pPr>
      <w:r w:rsidRPr="00FA0B63">
        <w:rPr>
          <w:rStyle w:val="table-note"/>
        </w:rPr>
        <w:t>Totals may not add due to rounding to the nearest $'000.</w:t>
      </w:r>
    </w:p>
    <w:p w:rsidR="00DD759E" w:rsidRPr="00FA0B63" w:rsidRDefault="00DD759E" w:rsidP="00540186">
      <w:pPr>
        <w:pStyle w:val="TableFigNotesnumbered"/>
        <w:numPr>
          <w:ilvl w:val="0"/>
          <w:numId w:val="86"/>
        </w:numPr>
        <w:rPr>
          <w:rStyle w:val="table-note"/>
        </w:rPr>
      </w:pPr>
      <w:r w:rsidRPr="00FA0B63">
        <w:rPr>
          <w:rStyle w:val="table-note"/>
        </w:rPr>
        <w:t>Includes public hospital services managed and operated by private and non-government entities.</w:t>
      </w:r>
    </w:p>
    <w:p w:rsidR="00DD759E" w:rsidRPr="00FA0B63" w:rsidRDefault="00DD759E" w:rsidP="00540186">
      <w:pPr>
        <w:pStyle w:val="TableFigNotesnumbered"/>
        <w:numPr>
          <w:ilvl w:val="0"/>
          <w:numId w:val="86"/>
        </w:numPr>
        <w:rPr>
          <w:rStyle w:val="table-note"/>
        </w:rPr>
      </w:pPr>
      <w:r w:rsidRPr="00FA0B63">
        <w:rPr>
          <w:rStyle w:val="table-note"/>
        </w:rPr>
        <w:t>Public psychiatric hospitals and specialised psychiatric units or wards in public acute hospitals include expenditure on admitted patient services only. Public hospitals outpatient departments are included in community mental health care services.</w:t>
      </w:r>
      <w:r w:rsidRPr="00FA0B63">
        <w:rPr>
          <w:rStyle w:val="table-note"/>
        </w:rPr>
        <w:tab/>
      </w:r>
      <w:r w:rsidRPr="00FA0B63">
        <w:rPr>
          <w:rStyle w:val="table-note"/>
        </w:rPr>
        <w:tab/>
      </w:r>
    </w:p>
    <w:p w:rsidR="00DD759E" w:rsidRDefault="00DD759E" w:rsidP="00540186">
      <w:pPr>
        <w:pStyle w:val="TableFigNotesnumbered"/>
        <w:numPr>
          <w:ilvl w:val="0"/>
          <w:numId w:val="86"/>
        </w:numPr>
        <w:rPr>
          <w:rFonts w:asciiTheme="minorHAnsi" w:hAnsiTheme="minorHAnsi" w:cstheme="minorHAnsi"/>
        </w:rPr>
      </w:pPr>
      <w:r w:rsidRPr="00FA0B63">
        <w:rPr>
          <w:rStyle w:val="table-note"/>
        </w:rPr>
        <w:t>Residential mental health services include the total operating costs for partially or wholly government funded non-government-operated residential mental health services.</w:t>
      </w:r>
      <w:r w:rsidRPr="00207B28">
        <w:rPr>
          <w:rFonts w:asciiTheme="minorHAnsi" w:hAnsiTheme="minorHAnsi" w:cstheme="minorHAnsi"/>
        </w:rPr>
        <w:tab/>
      </w:r>
      <w:r w:rsidRPr="00207B28">
        <w:rPr>
          <w:rFonts w:asciiTheme="minorHAnsi" w:hAnsiTheme="minorHAnsi" w:cstheme="minorHAnsi"/>
        </w:rPr>
        <w:tab/>
      </w:r>
    </w:p>
    <w:p w:rsidR="00DD759E" w:rsidRPr="000E0677" w:rsidRDefault="000E0677" w:rsidP="00DD759E">
      <w:pPr>
        <w:pStyle w:val="TableCaption"/>
        <w:rPr>
          <w:rStyle w:val="table-note"/>
        </w:rPr>
      </w:pPr>
      <w:r w:rsidRPr="000E0677">
        <w:rPr>
          <w:rStyle w:val="table-note"/>
        </w:rPr>
        <w:t xml:space="preserve">Table 45: </w:t>
      </w:r>
      <w:r w:rsidR="00DD759E" w:rsidRPr="000E0677">
        <w:rPr>
          <w:rStyle w:val="table-note"/>
        </w:rPr>
        <w:t xml:space="preserve">SA: Recurrent </w:t>
      </w:r>
      <w:proofErr w:type="gramStart"/>
      <w:r w:rsidR="00DD759E" w:rsidRPr="000E0677">
        <w:rPr>
          <w:rStyle w:val="table-note"/>
        </w:rPr>
        <w:t>expenditure</w:t>
      </w:r>
      <w:r w:rsidR="00DD759E" w:rsidRPr="000E0677">
        <w:rPr>
          <w:rStyle w:val="table-note"/>
          <w:vertAlign w:val="superscript"/>
        </w:rPr>
        <w:t>(</w:t>
      </w:r>
      <w:proofErr w:type="gramEnd"/>
      <w:r w:rsidR="00DD759E" w:rsidRPr="000E0677">
        <w:rPr>
          <w:rStyle w:val="table-note"/>
          <w:vertAlign w:val="superscript"/>
        </w:rPr>
        <w:t>a)(b)</w:t>
      </w:r>
      <w:r w:rsidR="00DD759E" w:rsidRPr="000E0677">
        <w:rPr>
          <w:rStyle w:val="table-note"/>
        </w:rPr>
        <w:t xml:space="preserve"> ($) per capita</w:t>
      </w:r>
      <w:r w:rsidR="00DD759E" w:rsidRPr="000E0677">
        <w:rPr>
          <w:rStyle w:val="table-note"/>
          <w:vertAlign w:val="superscript"/>
        </w:rPr>
        <w:t>(c)</w:t>
      </w:r>
      <w:r w:rsidR="00DD759E" w:rsidRPr="000E0677">
        <w:rPr>
          <w:rStyle w:val="table-note"/>
        </w:rPr>
        <w:t xml:space="preserve"> on state and territory specialised mental health services, by service type, 2011–12 (current prices)</w:t>
      </w:r>
    </w:p>
    <w:tbl>
      <w:tblPr>
        <w:tblStyle w:val="TableGrid"/>
        <w:tblW w:w="0" w:type="auto"/>
        <w:tblLook w:val="04A0" w:firstRow="1" w:lastRow="0" w:firstColumn="1" w:lastColumn="0" w:noHBand="0" w:noVBand="1"/>
        <w:tblCaption w:val="SA: Recurrent expenditure(a)(b) ($) per capita(c) on state and territory specialised mental health services, by service type, 2011–12 (current prices)"/>
        <w:tblDescription w:val="Table showing that, in 2011-2012, major cities in SA had the highest recurrent expenditure per capita for all mental health services at $238.94. Outer regional areas had the highest recurrent expenditure per capita in community mental health services at $44.26."/>
      </w:tblPr>
      <w:tblGrid>
        <w:gridCol w:w="2381"/>
        <w:gridCol w:w="1047"/>
        <w:gridCol w:w="1380"/>
        <w:gridCol w:w="1251"/>
        <w:gridCol w:w="1047"/>
        <w:gridCol w:w="1094"/>
        <w:gridCol w:w="1086"/>
      </w:tblGrid>
      <w:tr w:rsidR="00DD759E" w:rsidRPr="008B7E34" w:rsidTr="000C3DEA">
        <w:trPr>
          <w:tblHeader/>
        </w:trPr>
        <w:tc>
          <w:tcPr>
            <w:tcW w:w="2381" w:type="dxa"/>
          </w:tcPr>
          <w:p w:rsidR="00DD759E" w:rsidRPr="008B7E34" w:rsidRDefault="00DD759E" w:rsidP="00987128">
            <w:pPr>
              <w:pStyle w:val="TableFigText"/>
              <w:rPr>
                <w:rFonts w:asciiTheme="minorHAnsi" w:hAnsiTheme="minorHAnsi" w:cstheme="minorHAnsi"/>
                <w:szCs w:val="22"/>
              </w:rPr>
            </w:pPr>
          </w:p>
        </w:tc>
        <w:tc>
          <w:tcPr>
            <w:tcW w:w="1047" w:type="dxa"/>
          </w:tcPr>
          <w:p w:rsidR="00DD759E" w:rsidRPr="008B7E34" w:rsidRDefault="00DD759E" w:rsidP="00987128">
            <w:pPr>
              <w:pStyle w:val="TableFigText"/>
              <w:jc w:val="right"/>
              <w:rPr>
                <w:rFonts w:asciiTheme="minorHAnsi" w:hAnsiTheme="minorHAnsi" w:cstheme="minorHAnsi"/>
                <w:b/>
                <w:szCs w:val="22"/>
              </w:rPr>
            </w:pPr>
            <w:r w:rsidRPr="008B7E34">
              <w:rPr>
                <w:rFonts w:asciiTheme="minorHAnsi" w:hAnsiTheme="minorHAnsi" w:cstheme="minorHAnsi"/>
                <w:b/>
                <w:szCs w:val="22"/>
              </w:rPr>
              <w:t>Major cities</w:t>
            </w:r>
          </w:p>
        </w:tc>
        <w:tc>
          <w:tcPr>
            <w:tcW w:w="1380" w:type="dxa"/>
          </w:tcPr>
          <w:p w:rsidR="00DD759E" w:rsidRPr="008B7E34" w:rsidRDefault="00DD759E" w:rsidP="00987128">
            <w:pPr>
              <w:pStyle w:val="TableFigText"/>
              <w:jc w:val="right"/>
              <w:rPr>
                <w:rFonts w:asciiTheme="minorHAnsi" w:hAnsiTheme="minorHAnsi" w:cstheme="minorHAnsi"/>
                <w:b/>
                <w:szCs w:val="22"/>
              </w:rPr>
            </w:pPr>
            <w:r w:rsidRPr="008B7E34">
              <w:rPr>
                <w:rFonts w:asciiTheme="minorHAnsi" w:hAnsiTheme="minorHAnsi" w:cstheme="minorHAnsi"/>
                <w:b/>
                <w:szCs w:val="22"/>
              </w:rPr>
              <w:t>Inner regional</w:t>
            </w:r>
          </w:p>
        </w:tc>
        <w:tc>
          <w:tcPr>
            <w:tcW w:w="1251" w:type="dxa"/>
          </w:tcPr>
          <w:p w:rsidR="00DD759E" w:rsidRPr="008B7E34" w:rsidRDefault="00DD759E" w:rsidP="00987128">
            <w:pPr>
              <w:pStyle w:val="TableFigText"/>
              <w:jc w:val="right"/>
              <w:rPr>
                <w:rFonts w:asciiTheme="minorHAnsi" w:hAnsiTheme="minorHAnsi" w:cstheme="minorHAnsi"/>
                <w:b/>
                <w:szCs w:val="22"/>
              </w:rPr>
            </w:pPr>
            <w:r w:rsidRPr="008B7E34">
              <w:rPr>
                <w:rFonts w:asciiTheme="minorHAnsi" w:hAnsiTheme="minorHAnsi" w:cstheme="minorHAnsi"/>
                <w:b/>
                <w:szCs w:val="22"/>
              </w:rPr>
              <w:t>Outer regional</w:t>
            </w:r>
          </w:p>
        </w:tc>
        <w:tc>
          <w:tcPr>
            <w:tcW w:w="1047" w:type="dxa"/>
          </w:tcPr>
          <w:p w:rsidR="00DD759E" w:rsidRPr="008B7E34" w:rsidRDefault="00DD759E" w:rsidP="00987128">
            <w:pPr>
              <w:pStyle w:val="TableFigText"/>
              <w:jc w:val="right"/>
              <w:rPr>
                <w:rFonts w:asciiTheme="minorHAnsi" w:hAnsiTheme="minorHAnsi" w:cstheme="minorHAnsi"/>
                <w:b/>
                <w:szCs w:val="22"/>
              </w:rPr>
            </w:pPr>
            <w:r w:rsidRPr="008B7E34">
              <w:rPr>
                <w:rFonts w:asciiTheme="minorHAnsi" w:hAnsiTheme="minorHAnsi" w:cstheme="minorHAnsi"/>
                <w:b/>
                <w:szCs w:val="22"/>
              </w:rPr>
              <w:t>Remote</w:t>
            </w:r>
          </w:p>
        </w:tc>
        <w:tc>
          <w:tcPr>
            <w:tcW w:w="1094" w:type="dxa"/>
          </w:tcPr>
          <w:p w:rsidR="00DD759E" w:rsidRPr="008B7E34" w:rsidRDefault="00DD759E" w:rsidP="00987128">
            <w:pPr>
              <w:pStyle w:val="TableFigText"/>
              <w:jc w:val="right"/>
              <w:rPr>
                <w:rFonts w:asciiTheme="minorHAnsi" w:hAnsiTheme="minorHAnsi" w:cstheme="minorHAnsi"/>
                <w:b/>
                <w:szCs w:val="22"/>
              </w:rPr>
            </w:pPr>
            <w:r w:rsidRPr="008B7E34">
              <w:rPr>
                <w:rFonts w:asciiTheme="minorHAnsi" w:hAnsiTheme="minorHAnsi" w:cstheme="minorHAnsi"/>
                <w:b/>
                <w:szCs w:val="22"/>
              </w:rPr>
              <w:t>Very remote</w:t>
            </w:r>
          </w:p>
        </w:tc>
        <w:tc>
          <w:tcPr>
            <w:tcW w:w="1086" w:type="dxa"/>
          </w:tcPr>
          <w:p w:rsidR="00DD759E" w:rsidRPr="008B7E34" w:rsidRDefault="00DD759E" w:rsidP="00987128">
            <w:pPr>
              <w:pStyle w:val="TableFigText"/>
              <w:jc w:val="right"/>
              <w:rPr>
                <w:rFonts w:asciiTheme="minorHAnsi" w:hAnsiTheme="minorHAnsi" w:cstheme="minorHAnsi"/>
                <w:b/>
                <w:szCs w:val="22"/>
              </w:rPr>
            </w:pPr>
            <w:r w:rsidRPr="008B7E34">
              <w:rPr>
                <w:rFonts w:asciiTheme="minorHAnsi" w:hAnsiTheme="minorHAnsi" w:cstheme="minorHAnsi"/>
                <w:b/>
                <w:szCs w:val="22"/>
              </w:rPr>
              <w:t>Total</w:t>
            </w:r>
          </w:p>
        </w:tc>
      </w:tr>
      <w:tr w:rsidR="00DD759E" w:rsidRPr="008B7E34" w:rsidTr="00987128">
        <w:tc>
          <w:tcPr>
            <w:tcW w:w="2381" w:type="dxa"/>
          </w:tcPr>
          <w:p w:rsidR="00DD759E" w:rsidRPr="008B7E34" w:rsidRDefault="00DD759E" w:rsidP="00987128">
            <w:pPr>
              <w:pStyle w:val="TableFigText"/>
              <w:rPr>
                <w:rFonts w:asciiTheme="minorHAnsi" w:hAnsiTheme="minorHAnsi" w:cstheme="minorHAnsi"/>
                <w:szCs w:val="22"/>
              </w:rPr>
            </w:pPr>
            <w:r w:rsidRPr="008B7E34">
              <w:rPr>
                <w:rFonts w:asciiTheme="minorHAnsi" w:hAnsiTheme="minorHAnsi" w:cstheme="minorHAnsi"/>
                <w:szCs w:val="22"/>
              </w:rPr>
              <w:t>Public hospital services</w:t>
            </w:r>
            <w:r w:rsidRPr="008B7E34">
              <w:rPr>
                <w:rFonts w:asciiTheme="minorHAnsi" w:hAnsiTheme="minorHAnsi" w:cstheme="minorHAnsi"/>
                <w:szCs w:val="22"/>
                <w:vertAlign w:val="superscript"/>
              </w:rPr>
              <w:t>(</w:t>
            </w:r>
            <w:r>
              <w:rPr>
                <w:rFonts w:asciiTheme="minorHAnsi" w:hAnsiTheme="minorHAnsi" w:cstheme="minorHAnsi"/>
                <w:szCs w:val="22"/>
                <w:vertAlign w:val="superscript"/>
              </w:rPr>
              <w:t>d</w:t>
            </w:r>
            <w:r w:rsidRPr="008B7E34">
              <w:rPr>
                <w:rFonts w:asciiTheme="minorHAnsi" w:hAnsiTheme="minorHAnsi" w:cstheme="minorHAnsi"/>
                <w:szCs w:val="22"/>
                <w:vertAlign w:val="superscript"/>
              </w:rPr>
              <w:t>)(</w:t>
            </w:r>
            <w:r>
              <w:rPr>
                <w:rFonts w:asciiTheme="minorHAnsi" w:hAnsiTheme="minorHAnsi" w:cstheme="minorHAnsi"/>
                <w:szCs w:val="22"/>
                <w:vertAlign w:val="superscript"/>
              </w:rPr>
              <w:t>e</w:t>
            </w:r>
            <w:r w:rsidRPr="008B7E34">
              <w:rPr>
                <w:rFonts w:asciiTheme="minorHAnsi" w:hAnsiTheme="minorHAnsi" w:cstheme="minorHAnsi"/>
                <w:szCs w:val="22"/>
                <w:vertAlign w:val="superscript"/>
              </w:rPr>
              <w:t>)</w:t>
            </w:r>
          </w:p>
        </w:tc>
        <w:tc>
          <w:tcPr>
            <w:tcW w:w="1047" w:type="dxa"/>
            <w:vAlign w:val="bottom"/>
          </w:tcPr>
          <w:p w:rsidR="00DD759E" w:rsidRDefault="00DD759E" w:rsidP="007A6F8F">
            <w:pPr>
              <w:pStyle w:val="TableFigText"/>
              <w:jc w:val="right"/>
            </w:pPr>
            <w:r>
              <w:t>114.51</w:t>
            </w:r>
          </w:p>
        </w:tc>
        <w:tc>
          <w:tcPr>
            <w:tcW w:w="1380" w:type="dxa"/>
            <w:vAlign w:val="bottom"/>
          </w:tcPr>
          <w:p w:rsidR="00DD759E" w:rsidRDefault="00DD759E" w:rsidP="007A6F8F">
            <w:pPr>
              <w:pStyle w:val="TableFigText"/>
              <w:jc w:val="right"/>
            </w:pPr>
            <w:r>
              <w:t>0</w:t>
            </w:r>
          </w:p>
        </w:tc>
        <w:tc>
          <w:tcPr>
            <w:tcW w:w="1251" w:type="dxa"/>
            <w:vAlign w:val="bottom"/>
          </w:tcPr>
          <w:p w:rsidR="00DD759E" w:rsidRDefault="00DD759E" w:rsidP="007A6F8F">
            <w:pPr>
              <w:pStyle w:val="TableFigText"/>
              <w:jc w:val="right"/>
            </w:pPr>
            <w:r>
              <w:t>0</w:t>
            </w:r>
          </w:p>
        </w:tc>
        <w:tc>
          <w:tcPr>
            <w:tcW w:w="1047" w:type="dxa"/>
            <w:vAlign w:val="bottom"/>
          </w:tcPr>
          <w:p w:rsidR="00DD759E" w:rsidRDefault="00DD759E" w:rsidP="007A6F8F">
            <w:pPr>
              <w:pStyle w:val="TableFigText"/>
              <w:jc w:val="right"/>
            </w:pPr>
            <w:r>
              <w:t>0</w:t>
            </w:r>
          </w:p>
        </w:tc>
        <w:tc>
          <w:tcPr>
            <w:tcW w:w="1094" w:type="dxa"/>
            <w:vAlign w:val="bottom"/>
          </w:tcPr>
          <w:p w:rsidR="00DD759E" w:rsidRDefault="00DD759E" w:rsidP="007A6F8F">
            <w:pPr>
              <w:pStyle w:val="TableFigText"/>
              <w:jc w:val="right"/>
            </w:pPr>
            <w:r>
              <w:t>0</w:t>
            </w:r>
          </w:p>
        </w:tc>
        <w:tc>
          <w:tcPr>
            <w:tcW w:w="1086" w:type="dxa"/>
            <w:vAlign w:val="bottom"/>
          </w:tcPr>
          <w:p w:rsidR="00DD759E" w:rsidRDefault="00DD759E" w:rsidP="007A6F8F">
            <w:pPr>
              <w:pStyle w:val="TableFigText"/>
              <w:jc w:val="right"/>
            </w:pPr>
            <w:r>
              <w:t>83.84</w:t>
            </w:r>
          </w:p>
        </w:tc>
      </w:tr>
      <w:tr w:rsidR="00DD759E" w:rsidRPr="008B7E34" w:rsidTr="00987128">
        <w:tc>
          <w:tcPr>
            <w:tcW w:w="2381" w:type="dxa"/>
          </w:tcPr>
          <w:p w:rsidR="00DD759E" w:rsidRPr="008B7E34" w:rsidRDefault="00DD759E" w:rsidP="00987128">
            <w:pPr>
              <w:pStyle w:val="TableFigText"/>
              <w:rPr>
                <w:rFonts w:asciiTheme="minorHAnsi" w:hAnsiTheme="minorHAnsi" w:cstheme="minorHAnsi"/>
                <w:szCs w:val="22"/>
              </w:rPr>
            </w:pPr>
            <w:r w:rsidRPr="008B7E34">
              <w:rPr>
                <w:rFonts w:asciiTheme="minorHAnsi" w:hAnsiTheme="minorHAnsi" w:cstheme="minorHAnsi"/>
                <w:szCs w:val="22"/>
              </w:rPr>
              <w:t>Community mental health services</w:t>
            </w:r>
          </w:p>
        </w:tc>
        <w:tc>
          <w:tcPr>
            <w:tcW w:w="1047" w:type="dxa"/>
            <w:vAlign w:val="bottom"/>
          </w:tcPr>
          <w:p w:rsidR="00DD759E" w:rsidRDefault="00DD759E" w:rsidP="007A6F8F">
            <w:pPr>
              <w:pStyle w:val="TableFigText"/>
              <w:jc w:val="right"/>
            </w:pPr>
            <w:r>
              <w:t>109.08</w:t>
            </w:r>
          </w:p>
        </w:tc>
        <w:tc>
          <w:tcPr>
            <w:tcW w:w="1380" w:type="dxa"/>
            <w:vAlign w:val="bottom"/>
          </w:tcPr>
          <w:p w:rsidR="00DD759E" w:rsidRDefault="00DD759E" w:rsidP="007A6F8F">
            <w:pPr>
              <w:pStyle w:val="TableFigText"/>
              <w:jc w:val="right"/>
            </w:pPr>
            <w:r>
              <w:t>17.59</w:t>
            </w:r>
          </w:p>
        </w:tc>
        <w:tc>
          <w:tcPr>
            <w:tcW w:w="1251" w:type="dxa"/>
            <w:vAlign w:val="bottom"/>
          </w:tcPr>
          <w:p w:rsidR="00DD759E" w:rsidRDefault="00DD759E" w:rsidP="007A6F8F">
            <w:pPr>
              <w:pStyle w:val="TableFigText"/>
              <w:jc w:val="right"/>
            </w:pPr>
            <w:r>
              <w:t>44.26</w:t>
            </w:r>
          </w:p>
        </w:tc>
        <w:tc>
          <w:tcPr>
            <w:tcW w:w="1047" w:type="dxa"/>
            <w:vAlign w:val="bottom"/>
          </w:tcPr>
          <w:p w:rsidR="00DD759E" w:rsidRDefault="00DD759E" w:rsidP="007A6F8F">
            <w:pPr>
              <w:pStyle w:val="TableFigText"/>
              <w:jc w:val="right"/>
            </w:pPr>
            <w:r>
              <w:t>33.48</w:t>
            </w:r>
          </w:p>
        </w:tc>
        <w:tc>
          <w:tcPr>
            <w:tcW w:w="1094" w:type="dxa"/>
            <w:vAlign w:val="bottom"/>
          </w:tcPr>
          <w:p w:rsidR="00DD759E" w:rsidRDefault="00DD759E" w:rsidP="007A6F8F">
            <w:pPr>
              <w:pStyle w:val="TableFigText"/>
              <w:jc w:val="right"/>
            </w:pPr>
            <w:r>
              <w:t>0</w:t>
            </w:r>
          </w:p>
        </w:tc>
        <w:tc>
          <w:tcPr>
            <w:tcW w:w="1086" w:type="dxa"/>
            <w:vAlign w:val="bottom"/>
          </w:tcPr>
          <w:p w:rsidR="00DD759E" w:rsidRDefault="00DD759E" w:rsidP="007A6F8F">
            <w:pPr>
              <w:pStyle w:val="TableFigText"/>
              <w:jc w:val="right"/>
            </w:pPr>
            <w:r>
              <w:t>88.13</w:t>
            </w:r>
          </w:p>
        </w:tc>
      </w:tr>
      <w:tr w:rsidR="00DD759E" w:rsidRPr="008B7E34" w:rsidTr="00987128">
        <w:tc>
          <w:tcPr>
            <w:tcW w:w="2381" w:type="dxa"/>
          </w:tcPr>
          <w:p w:rsidR="00DD759E" w:rsidRPr="008B7E34" w:rsidRDefault="00DD759E" w:rsidP="00987128">
            <w:pPr>
              <w:pStyle w:val="TableFigText"/>
              <w:rPr>
                <w:rFonts w:asciiTheme="minorHAnsi" w:hAnsiTheme="minorHAnsi" w:cstheme="minorHAnsi"/>
                <w:szCs w:val="22"/>
              </w:rPr>
            </w:pPr>
            <w:r w:rsidRPr="008B7E34">
              <w:rPr>
                <w:rFonts w:asciiTheme="minorHAnsi" w:hAnsiTheme="minorHAnsi" w:cstheme="minorHAnsi"/>
                <w:szCs w:val="22"/>
              </w:rPr>
              <w:t>Residential mental health services</w:t>
            </w:r>
            <w:r w:rsidRPr="008B7E34">
              <w:rPr>
                <w:rFonts w:asciiTheme="minorHAnsi" w:hAnsiTheme="minorHAnsi" w:cstheme="minorHAnsi"/>
                <w:szCs w:val="22"/>
                <w:vertAlign w:val="superscript"/>
              </w:rPr>
              <w:t>(</w:t>
            </w:r>
            <w:r>
              <w:rPr>
                <w:rFonts w:asciiTheme="minorHAnsi" w:hAnsiTheme="minorHAnsi" w:cstheme="minorHAnsi"/>
                <w:szCs w:val="22"/>
                <w:vertAlign w:val="superscript"/>
              </w:rPr>
              <w:t>f</w:t>
            </w:r>
            <w:r w:rsidRPr="008B7E34">
              <w:rPr>
                <w:rFonts w:asciiTheme="minorHAnsi" w:hAnsiTheme="minorHAnsi" w:cstheme="minorHAnsi"/>
                <w:szCs w:val="22"/>
                <w:vertAlign w:val="superscript"/>
              </w:rPr>
              <w:t>)</w:t>
            </w:r>
          </w:p>
        </w:tc>
        <w:tc>
          <w:tcPr>
            <w:tcW w:w="1047" w:type="dxa"/>
            <w:vAlign w:val="bottom"/>
          </w:tcPr>
          <w:p w:rsidR="00DD759E" w:rsidRDefault="00DD759E" w:rsidP="007A6F8F">
            <w:pPr>
              <w:pStyle w:val="TableFigText"/>
              <w:jc w:val="right"/>
            </w:pPr>
            <w:r>
              <w:t>15.36</w:t>
            </w:r>
          </w:p>
        </w:tc>
        <w:tc>
          <w:tcPr>
            <w:tcW w:w="1380" w:type="dxa"/>
            <w:vAlign w:val="bottom"/>
          </w:tcPr>
          <w:p w:rsidR="00DD759E" w:rsidRDefault="00DD759E" w:rsidP="007A6F8F">
            <w:pPr>
              <w:pStyle w:val="TableFigText"/>
              <w:jc w:val="right"/>
            </w:pPr>
            <w:r>
              <w:t>0</w:t>
            </w:r>
          </w:p>
        </w:tc>
        <w:tc>
          <w:tcPr>
            <w:tcW w:w="1251" w:type="dxa"/>
            <w:vAlign w:val="bottom"/>
          </w:tcPr>
          <w:p w:rsidR="00DD759E" w:rsidRDefault="00DD759E" w:rsidP="007A6F8F">
            <w:pPr>
              <w:pStyle w:val="TableFigText"/>
              <w:jc w:val="right"/>
            </w:pPr>
            <w:r>
              <w:t>0</w:t>
            </w:r>
          </w:p>
        </w:tc>
        <w:tc>
          <w:tcPr>
            <w:tcW w:w="1047" w:type="dxa"/>
            <w:vAlign w:val="bottom"/>
          </w:tcPr>
          <w:p w:rsidR="00DD759E" w:rsidRDefault="00DD759E" w:rsidP="007A6F8F">
            <w:pPr>
              <w:pStyle w:val="TableFigText"/>
              <w:jc w:val="right"/>
            </w:pPr>
            <w:r>
              <w:t>0</w:t>
            </w:r>
          </w:p>
        </w:tc>
        <w:tc>
          <w:tcPr>
            <w:tcW w:w="1094" w:type="dxa"/>
            <w:vAlign w:val="bottom"/>
          </w:tcPr>
          <w:p w:rsidR="00DD759E" w:rsidRDefault="00DD759E" w:rsidP="007A6F8F">
            <w:pPr>
              <w:pStyle w:val="TableFigText"/>
              <w:jc w:val="right"/>
            </w:pPr>
            <w:r>
              <w:t>0</w:t>
            </w:r>
          </w:p>
        </w:tc>
        <w:tc>
          <w:tcPr>
            <w:tcW w:w="1086" w:type="dxa"/>
            <w:vAlign w:val="bottom"/>
          </w:tcPr>
          <w:p w:rsidR="00DD759E" w:rsidRDefault="00DD759E" w:rsidP="007A6F8F">
            <w:pPr>
              <w:pStyle w:val="TableFigText"/>
              <w:jc w:val="right"/>
            </w:pPr>
            <w:r>
              <w:t>11.25</w:t>
            </w:r>
          </w:p>
        </w:tc>
      </w:tr>
      <w:tr w:rsidR="00DD759E" w:rsidRPr="008B7E34" w:rsidTr="00987128">
        <w:tc>
          <w:tcPr>
            <w:tcW w:w="2381" w:type="dxa"/>
          </w:tcPr>
          <w:p w:rsidR="00DD759E" w:rsidRPr="007A6F8F" w:rsidRDefault="00DD759E" w:rsidP="00987128">
            <w:pPr>
              <w:pStyle w:val="TableFigText"/>
              <w:rPr>
                <w:rFonts w:asciiTheme="minorHAnsi" w:hAnsiTheme="minorHAnsi" w:cstheme="minorHAnsi"/>
                <w:b/>
                <w:szCs w:val="22"/>
              </w:rPr>
            </w:pPr>
            <w:r w:rsidRPr="007A6F8F">
              <w:rPr>
                <w:rFonts w:asciiTheme="minorHAnsi" w:hAnsiTheme="minorHAnsi" w:cstheme="minorHAnsi"/>
                <w:b/>
                <w:szCs w:val="22"/>
              </w:rPr>
              <w:t>All mental health service types</w:t>
            </w:r>
            <w:r w:rsidRPr="007A6F8F">
              <w:rPr>
                <w:rFonts w:asciiTheme="minorHAnsi" w:hAnsiTheme="minorHAnsi" w:cstheme="minorHAnsi"/>
                <w:b/>
                <w:szCs w:val="22"/>
                <w:vertAlign w:val="superscript"/>
              </w:rPr>
              <w:t>(g)</w:t>
            </w:r>
          </w:p>
        </w:tc>
        <w:tc>
          <w:tcPr>
            <w:tcW w:w="1047" w:type="dxa"/>
            <w:vAlign w:val="bottom"/>
          </w:tcPr>
          <w:p w:rsidR="00DD759E" w:rsidRPr="007A6F8F" w:rsidRDefault="00DD759E" w:rsidP="007A6F8F">
            <w:pPr>
              <w:pStyle w:val="TableFigText"/>
              <w:jc w:val="right"/>
              <w:rPr>
                <w:b/>
              </w:rPr>
            </w:pPr>
            <w:r w:rsidRPr="007A6F8F">
              <w:rPr>
                <w:b/>
              </w:rPr>
              <w:t>238.94</w:t>
            </w:r>
          </w:p>
        </w:tc>
        <w:tc>
          <w:tcPr>
            <w:tcW w:w="1380" w:type="dxa"/>
            <w:vAlign w:val="bottom"/>
          </w:tcPr>
          <w:p w:rsidR="00DD759E" w:rsidRPr="007A6F8F" w:rsidRDefault="00DD759E" w:rsidP="007A6F8F">
            <w:pPr>
              <w:pStyle w:val="TableFigText"/>
              <w:jc w:val="right"/>
              <w:rPr>
                <w:b/>
              </w:rPr>
            </w:pPr>
            <w:r w:rsidRPr="007A6F8F">
              <w:rPr>
                <w:b/>
              </w:rPr>
              <w:t>17.59</w:t>
            </w:r>
          </w:p>
        </w:tc>
        <w:tc>
          <w:tcPr>
            <w:tcW w:w="1251" w:type="dxa"/>
            <w:vAlign w:val="bottom"/>
          </w:tcPr>
          <w:p w:rsidR="00DD759E" w:rsidRPr="007A6F8F" w:rsidRDefault="00DD759E" w:rsidP="007A6F8F">
            <w:pPr>
              <w:pStyle w:val="TableFigText"/>
              <w:jc w:val="right"/>
              <w:rPr>
                <w:b/>
              </w:rPr>
            </w:pPr>
            <w:r w:rsidRPr="007A6F8F">
              <w:rPr>
                <w:b/>
              </w:rPr>
              <w:t>44.26</w:t>
            </w:r>
          </w:p>
        </w:tc>
        <w:tc>
          <w:tcPr>
            <w:tcW w:w="1047" w:type="dxa"/>
            <w:vAlign w:val="bottom"/>
          </w:tcPr>
          <w:p w:rsidR="00DD759E" w:rsidRPr="007A6F8F" w:rsidRDefault="00DD759E" w:rsidP="007A6F8F">
            <w:pPr>
              <w:pStyle w:val="TableFigText"/>
              <w:jc w:val="right"/>
              <w:rPr>
                <w:b/>
              </w:rPr>
            </w:pPr>
            <w:r w:rsidRPr="007A6F8F">
              <w:rPr>
                <w:b/>
              </w:rPr>
              <w:t>33.48</w:t>
            </w:r>
          </w:p>
        </w:tc>
        <w:tc>
          <w:tcPr>
            <w:tcW w:w="1094" w:type="dxa"/>
            <w:vAlign w:val="bottom"/>
          </w:tcPr>
          <w:p w:rsidR="00DD759E" w:rsidRPr="007A6F8F" w:rsidRDefault="00DD759E" w:rsidP="007A6F8F">
            <w:pPr>
              <w:pStyle w:val="TableFigText"/>
              <w:jc w:val="right"/>
              <w:rPr>
                <w:b/>
              </w:rPr>
            </w:pPr>
            <w:r w:rsidRPr="007A6F8F">
              <w:rPr>
                <w:b/>
              </w:rPr>
              <w:t>0</w:t>
            </w:r>
          </w:p>
        </w:tc>
        <w:tc>
          <w:tcPr>
            <w:tcW w:w="1086" w:type="dxa"/>
            <w:vAlign w:val="bottom"/>
          </w:tcPr>
          <w:p w:rsidR="00DD759E" w:rsidRPr="007A6F8F" w:rsidRDefault="00DD759E" w:rsidP="007A6F8F">
            <w:pPr>
              <w:pStyle w:val="TableFigText"/>
              <w:jc w:val="right"/>
              <w:rPr>
                <w:b/>
              </w:rPr>
            </w:pPr>
            <w:r w:rsidRPr="007A6F8F">
              <w:rPr>
                <w:b/>
              </w:rPr>
              <w:t>183.22</w:t>
            </w:r>
          </w:p>
        </w:tc>
      </w:tr>
    </w:tbl>
    <w:p w:rsidR="00DD759E" w:rsidRPr="00FA0B63" w:rsidRDefault="00DD759E" w:rsidP="00540186">
      <w:pPr>
        <w:pStyle w:val="TableFigNotesnumbered"/>
        <w:numPr>
          <w:ilvl w:val="0"/>
          <w:numId w:val="44"/>
        </w:numPr>
        <w:rPr>
          <w:rStyle w:val="table-note"/>
        </w:rPr>
      </w:pPr>
      <w:r w:rsidRPr="00FA0B63">
        <w:rPr>
          <w:rStyle w:val="table-note"/>
        </w:rPr>
        <w:t>Expenditure excludes depreciation.</w:t>
      </w:r>
    </w:p>
    <w:p w:rsidR="00DD759E" w:rsidRPr="00FA0B63" w:rsidRDefault="00DD759E" w:rsidP="00540186">
      <w:pPr>
        <w:pStyle w:val="TableFigNotesnumbered"/>
        <w:numPr>
          <w:ilvl w:val="0"/>
          <w:numId w:val="44"/>
        </w:numPr>
        <w:rPr>
          <w:rStyle w:val="table-note"/>
        </w:rPr>
      </w:pPr>
      <w:r w:rsidRPr="00FA0B63">
        <w:rPr>
          <w:rStyle w:val="table-note"/>
        </w:rPr>
        <w:t xml:space="preserve">Expenditure excludes grants to non-government organisations and indirect expenditure at the state/territory, region and organisation levels not apportioned to service units. </w:t>
      </w:r>
    </w:p>
    <w:p w:rsidR="00DD759E" w:rsidRPr="00FA0B63" w:rsidRDefault="00DD759E" w:rsidP="00540186">
      <w:pPr>
        <w:pStyle w:val="TableFigNotesnumbered"/>
        <w:numPr>
          <w:ilvl w:val="0"/>
          <w:numId w:val="44"/>
        </w:numPr>
        <w:rPr>
          <w:rStyle w:val="table-note"/>
        </w:rPr>
      </w:pPr>
      <w:r w:rsidRPr="00FA0B63">
        <w:rPr>
          <w:rStyle w:val="table-note"/>
        </w:rPr>
        <w:t>Crude rate is based on the state and territory estimated resident population by remoteness area as at 30 June 2011.</w:t>
      </w:r>
    </w:p>
    <w:p w:rsidR="00DD759E" w:rsidRPr="00FA0B63" w:rsidRDefault="00DD759E" w:rsidP="00540186">
      <w:pPr>
        <w:pStyle w:val="TableFigNotesnumbered"/>
        <w:numPr>
          <w:ilvl w:val="0"/>
          <w:numId w:val="44"/>
        </w:numPr>
        <w:rPr>
          <w:rStyle w:val="table-note"/>
        </w:rPr>
      </w:pPr>
      <w:r w:rsidRPr="00FA0B63">
        <w:rPr>
          <w:rStyle w:val="table-note"/>
        </w:rPr>
        <w:t>Includes public hospital services managed and operated by private and non-government entities.</w:t>
      </w:r>
    </w:p>
    <w:p w:rsidR="00DD759E" w:rsidRPr="00FA0B63" w:rsidRDefault="00DD759E" w:rsidP="00540186">
      <w:pPr>
        <w:pStyle w:val="TableFigNotesnumbered"/>
        <w:numPr>
          <w:ilvl w:val="0"/>
          <w:numId w:val="44"/>
        </w:numPr>
        <w:rPr>
          <w:rStyle w:val="table-note"/>
        </w:rPr>
      </w:pPr>
      <w:r w:rsidRPr="00FA0B63">
        <w:rPr>
          <w:rStyle w:val="table-note"/>
        </w:rPr>
        <w:t>Public psychiatric hospitals and specialised psychiatric units or wards in public acute hospitals include expenditure on admitted patient services only. Public hospitals outpatient departments are included in community mental health care services.</w:t>
      </w:r>
      <w:r w:rsidRPr="00FA0B63">
        <w:rPr>
          <w:rStyle w:val="table-note"/>
        </w:rPr>
        <w:tab/>
      </w:r>
      <w:r w:rsidRPr="00FA0B63">
        <w:rPr>
          <w:rStyle w:val="table-note"/>
        </w:rPr>
        <w:tab/>
      </w:r>
    </w:p>
    <w:p w:rsidR="00DD759E" w:rsidRPr="00FA0B63" w:rsidRDefault="00DD759E" w:rsidP="00540186">
      <w:pPr>
        <w:pStyle w:val="TableFigNotesnumbered"/>
        <w:numPr>
          <w:ilvl w:val="0"/>
          <w:numId w:val="44"/>
        </w:numPr>
        <w:rPr>
          <w:rStyle w:val="table-note"/>
        </w:rPr>
      </w:pPr>
      <w:r w:rsidRPr="00FA0B63">
        <w:rPr>
          <w:rStyle w:val="table-note"/>
        </w:rPr>
        <w:t>Residential mental health services include the total operating costs for partially or wholly government funded non-government-operated residential mental health services.</w:t>
      </w:r>
    </w:p>
    <w:p w:rsidR="00DD759E" w:rsidRPr="00FA0B63" w:rsidRDefault="00DD759E" w:rsidP="00540186">
      <w:pPr>
        <w:pStyle w:val="TableFigNotesnumbered"/>
        <w:numPr>
          <w:ilvl w:val="0"/>
          <w:numId w:val="44"/>
        </w:numPr>
        <w:rPr>
          <w:rStyle w:val="table-note"/>
        </w:rPr>
      </w:pPr>
      <w:r w:rsidRPr="00FA0B63">
        <w:rPr>
          <w:rStyle w:val="table-note"/>
        </w:rPr>
        <w:t>Totals may not add due to rounding.</w:t>
      </w:r>
    </w:p>
    <w:p w:rsidR="00DD759E" w:rsidRDefault="00DD759E" w:rsidP="00DD759E">
      <w:pPr>
        <w:pStyle w:val="TableFigNotesnumbered"/>
        <w:ind w:left="294" w:hanging="294"/>
        <w:rPr>
          <w:rFonts w:asciiTheme="minorHAnsi" w:hAnsiTheme="minorHAnsi" w:cstheme="minorHAnsi"/>
        </w:rPr>
      </w:pPr>
    </w:p>
    <w:p w:rsidR="00DD759E" w:rsidRDefault="00DD759E" w:rsidP="00DD759E">
      <w:pPr>
        <w:spacing w:before="0" w:after="0" w:line="240" w:lineRule="auto"/>
        <w:rPr>
          <w:rFonts w:asciiTheme="minorHAnsi" w:hAnsiTheme="minorHAnsi" w:cstheme="minorHAnsi"/>
          <w:sz w:val="14"/>
          <w:szCs w:val="20"/>
          <w:lang w:eastAsia="en-US"/>
        </w:rPr>
      </w:pPr>
      <w:r>
        <w:rPr>
          <w:rFonts w:asciiTheme="minorHAnsi" w:hAnsiTheme="minorHAnsi" w:cstheme="minorHAnsi"/>
        </w:rPr>
        <w:br w:type="page"/>
      </w:r>
    </w:p>
    <w:p w:rsidR="00DD759E" w:rsidRPr="00207B28" w:rsidRDefault="00DD759E" w:rsidP="00DD759E">
      <w:pPr>
        <w:pStyle w:val="TableFigNotesnumbered"/>
        <w:ind w:left="294" w:hanging="294"/>
        <w:rPr>
          <w:rFonts w:asciiTheme="minorHAnsi" w:hAnsiTheme="minorHAnsi" w:cstheme="minorHAnsi"/>
        </w:rPr>
      </w:pPr>
    </w:p>
    <w:p w:rsidR="00DD759E" w:rsidRPr="000E0677" w:rsidRDefault="000E0677" w:rsidP="00DD759E">
      <w:pPr>
        <w:pStyle w:val="TableCaption"/>
        <w:rPr>
          <w:rStyle w:val="table-note"/>
        </w:rPr>
      </w:pPr>
      <w:r w:rsidRPr="000E0677">
        <w:rPr>
          <w:rStyle w:val="table-note"/>
        </w:rPr>
        <w:t xml:space="preserve">Table 46: </w:t>
      </w:r>
      <w:r w:rsidR="00DD759E" w:rsidRPr="000E0677">
        <w:rPr>
          <w:rStyle w:val="table-note"/>
        </w:rPr>
        <w:t xml:space="preserve">SA: Number of specialised mental health beds, by service type, 2007–08 </w:t>
      </w:r>
    </w:p>
    <w:tbl>
      <w:tblPr>
        <w:tblStyle w:val="TableGrid"/>
        <w:tblW w:w="0" w:type="auto"/>
        <w:tblLook w:val="04A0" w:firstRow="1" w:lastRow="0" w:firstColumn="1" w:lastColumn="0" w:noHBand="0" w:noVBand="1"/>
        <w:tblCaption w:val="SA: Number of specialised mental health beds, by service type, 2007–08 "/>
        <w:tblDescription w:val="Table showing that, in 2007-08 in SA specialised mental health beds were only located in Major cities (671). There were 357 specialised mental health beds in public psychiatric hospital services, 243 in specialised psychiatric units or wards in public acute hospitals, and 71 in residential mental health care services. "/>
      </w:tblPr>
      <w:tblGrid>
        <w:gridCol w:w="2403"/>
        <w:gridCol w:w="1059"/>
        <w:gridCol w:w="1398"/>
        <w:gridCol w:w="1266"/>
        <w:gridCol w:w="1056"/>
        <w:gridCol w:w="1105"/>
        <w:gridCol w:w="999"/>
      </w:tblGrid>
      <w:tr w:rsidR="00DD759E" w:rsidRPr="00B476FB" w:rsidTr="000C3DEA">
        <w:trPr>
          <w:tblHeader/>
        </w:trPr>
        <w:tc>
          <w:tcPr>
            <w:tcW w:w="2504" w:type="dxa"/>
          </w:tcPr>
          <w:p w:rsidR="00DD759E" w:rsidRPr="00B476FB" w:rsidRDefault="00DD759E" w:rsidP="00987128">
            <w:pPr>
              <w:pStyle w:val="TableFigText"/>
              <w:keepNext/>
              <w:rPr>
                <w:rFonts w:asciiTheme="minorHAnsi" w:hAnsiTheme="minorHAnsi" w:cstheme="minorHAnsi"/>
                <w:szCs w:val="22"/>
              </w:rPr>
            </w:pPr>
          </w:p>
        </w:tc>
        <w:tc>
          <w:tcPr>
            <w:tcW w:w="1089" w:type="dxa"/>
          </w:tcPr>
          <w:p w:rsidR="00DD759E" w:rsidRPr="00B476FB" w:rsidRDefault="00DD759E" w:rsidP="00987128">
            <w:pPr>
              <w:pStyle w:val="TableFigText"/>
              <w:keepNext/>
              <w:jc w:val="right"/>
              <w:rPr>
                <w:rFonts w:asciiTheme="minorHAnsi" w:hAnsiTheme="minorHAnsi" w:cstheme="minorHAnsi"/>
                <w:b/>
                <w:szCs w:val="22"/>
              </w:rPr>
            </w:pPr>
            <w:r w:rsidRPr="00B476FB">
              <w:rPr>
                <w:rFonts w:asciiTheme="minorHAnsi" w:hAnsiTheme="minorHAnsi" w:cstheme="minorHAnsi"/>
                <w:b/>
                <w:szCs w:val="22"/>
              </w:rPr>
              <w:t>Major cities</w:t>
            </w:r>
          </w:p>
        </w:tc>
        <w:tc>
          <w:tcPr>
            <w:tcW w:w="1442" w:type="dxa"/>
          </w:tcPr>
          <w:p w:rsidR="00DD759E" w:rsidRPr="00B476FB" w:rsidRDefault="00DD759E" w:rsidP="00987128">
            <w:pPr>
              <w:pStyle w:val="TableFigText"/>
              <w:keepNext/>
              <w:jc w:val="right"/>
              <w:rPr>
                <w:rFonts w:asciiTheme="minorHAnsi" w:hAnsiTheme="minorHAnsi" w:cstheme="minorHAnsi"/>
                <w:b/>
                <w:szCs w:val="22"/>
              </w:rPr>
            </w:pPr>
            <w:r w:rsidRPr="00B476FB">
              <w:rPr>
                <w:rFonts w:asciiTheme="minorHAnsi" w:hAnsiTheme="minorHAnsi" w:cstheme="minorHAnsi"/>
                <w:b/>
                <w:szCs w:val="22"/>
              </w:rPr>
              <w:t>Inner regional</w:t>
            </w:r>
          </w:p>
        </w:tc>
        <w:tc>
          <w:tcPr>
            <w:tcW w:w="1301" w:type="dxa"/>
          </w:tcPr>
          <w:p w:rsidR="00DD759E" w:rsidRPr="00B476FB" w:rsidRDefault="00DD759E" w:rsidP="00987128">
            <w:pPr>
              <w:pStyle w:val="TableFigText"/>
              <w:keepNext/>
              <w:jc w:val="right"/>
              <w:rPr>
                <w:rFonts w:asciiTheme="minorHAnsi" w:hAnsiTheme="minorHAnsi" w:cstheme="minorHAnsi"/>
                <w:b/>
                <w:szCs w:val="22"/>
              </w:rPr>
            </w:pPr>
            <w:r w:rsidRPr="00B476FB">
              <w:rPr>
                <w:rFonts w:asciiTheme="minorHAnsi" w:hAnsiTheme="minorHAnsi" w:cstheme="minorHAnsi"/>
                <w:b/>
                <w:szCs w:val="22"/>
              </w:rPr>
              <w:t>Outer regional</w:t>
            </w:r>
          </w:p>
        </w:tc>
        <w:tc>
          <w:tcPr>
            <w:tcW w:w="1078" w:type="dxa"/>
          </w:tcPr>
          <w:p w:rsidR="00DD759E" w:rsidRPr="00B476FB" w:rsidRDefault="00DD759E" w:rsidP="00987128">
            <w:pPr>
              <w:pStyle w:val="TableFigText"/>
              <w:keepNext/>
              <w:jc w:val="right"/>
              <w:rPr>
                <w:rFonts w:asciiTheme="minorHAnsi" w:hAnsiTheme="minorHAnsi" w:cstheme="minorHAnsi"/>
                <w:b/>
                <w:szCs w:val="22"/>
              </w:rPr>
            </w:pPr>
            <w:r w:rsidRPr="00B476FB">
              <w:rPr>
                <w:rFonts w:asciiTheme="minorHAnsi" w:hAnsiTheme="minorHAnsi" w:cstheme="minorHAnsi"/>
                <w:b/>
                <w:szCs w:val="22"/>
              </w:rPr>
              <w:t>Remote</w:t>
            </w:r>
          </w:p>
        </w:tc>
        <w:tc>
          <w:tcPr>
            <w:tcW w:w="1132" w:type="dxa"/>
          </w:tcPr>
          <w:p w:rsidR="00DD759E" w:rsidRPr="00B476FB" w:rsidRDefault="00DD759E" w:rsidP="00987128">
            <w:pPr>
              <w:pStyle w:val="TableFigText"/>
              <w:keepNext/>
              <w:jc w:val="right"/>
              <w:rPr>
                <w:rFonts w:asciiTheme="minorHAnsi" w:hAnsiTheme="minorHAnsi" w:cstheme="minorHAnsi"/>
                <w:b/>
                <w:szCs w:val="22"/>
              </w:rPr>
            </w:pPr>
            <w:r w:rsidRPr="00B476FB">
              <w:rPr>
                <w:rFonts w:asciiTheme="minorHAnsi" w:hAnsiTheme="minorHAnsi" w:cstheme="minorHAnsi"/>
                <w:b/>
                <w:szCs w:val="22"/>
              </w:rPr>
              <w:t>Very remote</w:t>
            </w:r>
          </w:p>
        </w:tc>
        <w:tc>
          <w:tcPr>
            <w:tcW w:w="1030" w:type="dxa"/>
          </w:tcPr>
          <w:p w:rsidR="00DD759E" w:rsidRPr="00B476FB" w:rsidRDefault="00DD759E" w:rsidP="00987128">
            <w:pPr>
              <w:pStyle w:val="TableFigText"/>
              <w:keepNext/>
              <w:jc w:val="right"/>
              <w:rPr>
                <w:rFonts w:asciiTheme="minorHAnsi" w:hAnsiTheme="minorHAnsi" w:cstheme="minorHAnsi"/>
                <w:b/>
                <w:szCs w:val="22"/>
              </w:rPr>
            </w:pPr>
            <w:r w:rsidRPr="00B476FB">
              <w:rPr>
                <w:rFonts w:asciiTheme="minorHAnsi" w:hAnsiTheme="minorHAnsi" w:cstheme="minorHAnsi"/>
                <w:b/>
                <w:szCs w:val="22"/>
              </w:rPr>
              <w:t>Total</w:t>
            </w:r>
          </w:p>
        </w:tc>
      </w:tr>
      <w:tr w:rsidR="00DD759E" w:rsidRPr="00B476FB" w:rsidTr="00987128">
        <w:tc>
          <w:tcPr>
            <w:tcW w:w="2504" w:type="dxa"/>
          </w:tcPr>
          <w:p w:rsidR="00DD759E" w:rsidRPr="00B476FB" w:rsidRDefault="00DD759E" w:rsidP="00987128">
            <w:pPr>
              <w:pStyle w:val="TableFigText"/>
              <w:keepLines w:val="0"/>
              <w:rPr>
                <w:rFonts w:asciiTheme="minorHAnsi" w:hAnsiTheme="minorHAnsi" w:cstheme="minorHAnsi"/>
                <w:szCs w:val="22"/>
              </w:rPr>
            </w:pPr>
            <w:r w:rsidRPr="00B476FB">
              <w:rPr>
                <w:rFonts w:asciiTheme="minorHAnsi" w:hAnsiTheme="minorHAnsi" w:cstheme="minorHAnsi"/>
                <w:szCs w:val="22"/>
              </w:rPr>
              <w:t>Specialised psychiatric units or wards in public acute hospitals</w:t>
            </w:r>
          </w:p>
        </w:tc>
        <w:tc>
          <w:tcPr>
            <w:tcW w:w="1089" w:type="dxa"/>
            <w:vAlign w:val="bottom"/>
          </w:tcPr>
          <w:p w:rsidR="00DD759E" w:rsidRPr="00C17582" w:rsidRDefault="00DD759E" w:rsidP="000031E2">
            <w:pPr>
              <w:pStyle w:val="TableFigText"/>
              <w:jc w:val="right"/>
            </w:pPr>
            <w:r w:rsidRPr="00C17582">
              <w:t>243</w:t>
            </w:r>
          </w:p>
        </w:tc>
        <w:tc>
          <w:tcPr>
            <w:tcW w:w="1442" w:type="dxa"/>
            <w:vAlign w:val="bottom"/>
          </w:tcPr>
          <w:p w:rsidR="00DD759E" w:rsidRPr="00C17582" w:rsidRDefault="00DD759E" w:rsidP="000031E2">
            <w:pPr>
              <w:pStyle w:val="TableFigText"/>
              <w:jc w:val="right"/>
            </w:pPr>
            <w:r w:rsidRPr="00C17582">
              <w:t>0</w:t>
            </w:r>
          </w:p>
        </w:tc>
        <w:tc>
          <w:tcPr>
            <w:tcW w:w="1301" w:type="dxa"/>
            <w:vAlign w:val="bottom"/>
          </w:tcPr>
          <w:p w:rsidR="00DD759E" w:rsidRPr="00C17582" w:rsidRDefault="00DD759E" w:rsidP="000031E2">
            <w:pPr>
              <w:pStyle w:val="TableFigText"/>
              <w:jc w:val="right"/>
            </w:pPr>
            <w:r w:rsidRPr="00C17582">
              <w:t>0</w:t>
            </w:r>
          </w:p>
        </w:tc>
        <w:tc>
          <w:tcPr>
            <w:tcW w:w="1078" w:type="dxa"/>
            <w:vAlign w:val="bottom"/>
          </w:tcPr>
          <w:p w:rsidR="00DD759E" w:rsidRPr="00C17582" w:rsidRDefault="00DD759E" w:rsidP="000031E2">
            <w:pPr>
              <w:pStyle w:val="TableFigText"/>
              <w:jc w:val="right"/>
            </w:pPr>
            <w:r w:rsidRPr="00C17582">
              <w:t>0</w:t>
            </w:r>
          </w:p>
        </w:tc>
        <w:tc>
          <w:tcPr>
            <w:tcW w:w="1132" w:type="dxa"/>
            <w:vAlign w:val="bottom"/>
          </w:tcPr>
          <w:p w:rsidR="00DD759E" w:rsidRPr="00C17582" w:rsidRDefault="00DD759E" w:rsidP="000031E2">
            <w:pPr>
              <w:pStyle w:val="TableFigText"/>
              <w:jc w:val="right"/>
            </w:pPr>
            <w:r w:rsidRPr="00C17582">
              <w:t>0</w:t>
            </w:r>
          </w:p>
        </w:tc>
        <w:tc>
          <w:tcPr>
            <w:tcW w:w="1030" w:type="dxa"/>
            <w:vAlign w:val="bottom"/>
          </w:tcPr>
          <w:p w:rsidR="00DD759E" w:rsidRPr="00C17582" w:rsidRDefault="00DD759E" w:rsidP="000031E2">
            <w:pPr>
              <w:pStyle w:val="TableFigText"/>
              <w:jc w:val="right"/>
            </w:pPr>
            <w:r w:rsidRPr="00C17582">
              <w:t>243</w:t>
            </w:r>
          </w:p>
        </w:tc>
      </w:tr>
      <w:tr w:rsidR="00DD759E" w:rsidRPr="00B476FB" w:rsidTr="00987128">
        <w:tc>
          <w:tcPr>
            <w:tcW w:w="2504" w:type="dxa"/>
          </w:tcPr>
          <w:p w:rsidR="00DD759E" w:rsidRPr="00B476FB" w:rsidRDefault="00DD759E" w:rsidP="00987128">
            <w:pPr>
              <w:pStyle w:val="TableFigText"/>
              <w:keepLines w:val="0"/>
              <w:rPr>
                <w:rFonts w:asciiTheme="minorHAnsi" w:hAnsiTheme="minorHAnsi" w:cstheme="minorHAnsi"/>
                <w:szCs w:val="22"/>
              </w:rPr>
            </w:pPr>
            <w:r w:rsidRPr="00B476FB">
              <w:rPr>
                <w:rFonts w:asciiTheme="minorHAnsi" w:hAnsiTheme="minorHAnsi" w:cstheme="minorHAnsi"/>
                <w:szCs w:val="22"/>
              </w:rPr>
              <w:t>Public psychiatric hospital services</w:t>
            </w:r>
          </w:p>
        </w:tc>
        <w:tc>
          <w:tcPr>
            <w:tcW w:w="1089" w:type="dxa"/>
            <w:vAlign w:val="bottom"/>
          </w:tcPr>
          <w:p w:rsidR="00DD759E" w:rsidRPr="00C17582" w:rsidRDefault="00DD759E" w:rsidP="000031E2">
            <w:pPr>
              <w:pStyle w:val="TableFigText"/>
              <w:jc w:val="right"/>
            </w:pPr>
            <w:r w:rsidRPr="00C17582">
              <w:t>357</w:t>
            </w:r>
          </w:p>
        </w:tc>
        <w:tc>
          <w:tcPr>
            <w:tcW w:w="1442" w:type="dxa"/>
            <w:vAlign w:val="bottom"/>
          </w:tcPr>
          <w:p w:rsidR="00DD759E" w:rsidRPr="00C17582" w:rsidRDefault="00DD759E" w:rsidP="000031E2">
            <w:pPr>
              <w:pStyle w:val="TableFigText"/>
              <w:jc w:val="right"/>
            </w:pPr>
            <w:r w:rsidRPr="00C17582">
              <w:t>0</w:t>
            </w:r>
          </w:p>
        </w:tc>
        <w:tc>
          <w:tcPr>
            <w:tcW w:w="1301" w:type="dxa"/>
            <w:vAlign w:val="bottom"/>
          </w:tcPr>
          <w:p w:rsidR="00DD759E" w:rsidRPr="00C17582" w:rsidRDefault="00DD759E" w:rsidP="000031E2">
            <w:pPr>
              <w:pStyle w:val="TableFigText"/>
              <w:jc w:val="right"/>
            </w:pPr>
            <w:r w:rsidRPr="00C17582">
              <w:t>0</w:t>
            </w:r>
          </w:p>
        </w:tc>
        <w:tc>
          <w:tcPr>
            <w:tcW w:w="1078" w:type="dxa"/>
            <w:vAlign w:val="bottom"/>
          </w:tcPr>
          <w:p w:rsidR="00DD759E" w:rsidRPr="00C17582" w:rsidRDefault="00DD759E" w:rsidP="000031E2">
            <w:pPr>
              <w:pStyle w:val="TableFigText"/>
              <w:jc w:val="right"/>
            </w:pPr>
            <w:r w:rsidRPr="00C17582">
              <w:t>0</w:t>
            </w:r>
          </w:p>
        </w:tc>
        <w:tc>
          <w:tcPr>
            <w:tcW w:w="1132" w:type="dxa"/>
            <w:vAlign w:val="bottom"/>
          </w:tcPr>
          <w:p w:rsidR="00DD759E" w:rsidRPr="00C17582" w:rsidRDefault="00DD759E" w:rsidP="000031E2">
            <w:pPr>
              <w:pStyle w:val="TableFigText"/>
              <w:jc w:val="right"/>
            </w:pPr>
            <w:r w:rsidRPr="00C17582">
              <w:t>0</w:t>
            </w:r>
          </w:p>
        </w:tc>
        <w:tc>
          <w:tcPr>
            <w:tcW w:w="1030" w:type="dxa"/>
            <w:vAlign w:val="bottom"/>
          </w:tcPr>
          <w:p w:rsidR="00DD759E" w:rsidRPr="00C17582" w:rsidRDefault="00DD759E" w:rsidP="000031E2">
            <w:pPr>
              <w:pStyle w:val="TableFigText"/>
              <w:jc w:val="right"/>
            </w:pPr>
            <w:r w:rsidRPr="00C17582">
              <w:t>357</w:t>
            </w:r>
          </w:p>
        </w:tc>
      </w:tr>
      <w:tr w:rsidR="00DD759E" w:rsidRPr="00B476FB" w:rsidTr="00987128">
        <w:tc>
          <w:tcPr>
            <w:tcW w:w="2504" w:type="dxa"/>
          </w:tcPr>
          <w:p w:rsidR="00DD759E" w:rsidRPr="00B476FB" w:rsidRDefault="00DD759E" w:rsidP="00987128">
            <w:pPr>
              <w:pStyle w:val="TableFigText"/>
              <w:keepLines w:val="0"/>
              <w:rPr>
                <w:rFonts w:asciiTheme="minorHAnsi" w:hAnsiTheme="minorHAnsi" w:cstheme="minorHAnsi"/>
                <w:szCs w:val="22"/>
              </w:rPr>
            </w:pPr>
            <w:r w:rsidRPr="00B476FB">
              <w:rPr>
                <w:rFonts w:asciiTheme="minorHAnsi" w:hAnsiTheme="minorHAnsi" w:cstheme="minorHAnsi"/>
                <w:szCs w:val="22"/>
              </w:rPr>
              <w:t>Residential mental health care services</w:t>
            </w:r>
          </w:p>
        </w:tc>
        <w:tc>
          <w:tcPr>
            <w:tcW w:w="1089" w:type="dxa"/>
            <w:vAlign w:val="bottom"/>
          </w:tcPr>
          <w:p w:rsidR="00DD759E" w:rsidRPr="00C17582" w:rsidRDefault="00DD759E" w:rsidP="000031E2">
            <w:pPr>
              <w:pStyle w:val="TableFigText"/>
              <w:jc w:val="right"/>
            </w:pPr>
            <w:r w:rsidRPr="00C17582">
              <w:t>71</w:t>
            </w:r>
          </w:p>
        </w:tc>
        <w:tc>
          <w:tcPr>
            <w:tcW w:w="1442" w:type="dxa"/>
            <w:vAlign w:val="bottom"/>
          </w:tcPr>
          <w:p w:rsidR="00DD759E" w:rsidRPr="00C17582" w:rsidRDefault="00DD759E" w:rsidP="000031E2">
            <w:pPr>
              <w:pStyle w:val="TableFigText"/>
              <w:jc w:val="right"/>
            </w:pPr>
            <w:r w:rsidRPr="00C17582">
              <w:t>0</w:t>
            </w:r>
          </w:p>
        </w:tc>
        <w:tc>
          <w:tcPr>
            <w:tcW w:w="1301" w:type="dxa"/>
            <w:vAlign w:val="bottom"/>
          </w:tcPr>
          <w:p w:rsidR="00DD759E" w:rsidRPr="00C17582" w:rsidRDefault="00DD759E" w:rsidP="000031E2">
            <w:pPr>
              <w:pStyle w:val="TableFigText"/>
              <w:jc w:val="right"/>
            </w:pPr>
            <w:r w:rsidRPr="00C17582">
              <w:t>0</w:t>
            </w:r>
          </w:p>
        </w:tc>
        <w:tc>
          <w:tcPr>
            <w:tcW w:w="1078" w:type="dxa"/>
            <w:vAlign w:val="bottom"/>
          </w:tcPr>
          <w:p w:rsidR="00DD759E" w:rsidRPr="00C17582" w:rsidRDefault="00DD759E" w:rsidP="000031E2">
            <w:pPr>
              <w:pStyle w:val="TableFigText"/>
              <w:jc w:val="right"/>
            </w:pPr>
            <w:r w:rsidRPr="00C17582">
              <w:t>0</w:t>
            </w:r>
          </w:p>
        </w:tc>
        <w:tc>
          <w:tcPr>
            <w:tcW w:w="1132" w:type="dxa"/>
            <w:vAlign w:val="bottom"/>
          </w:tcPr>
          <w:p w:rsidR="00DD759E" w:rsidRPr="00C17582" w:rsidRDefault="00DD759E" w:rsidP="000031E2">
            <w:pPr>
              <w:pStyle w:val="TableFigText"/>
              <w:jc w:val="right"/>
            </w:pPr>
            <w:r w:rsidRPr="00C17582">
              <w:t>0</w:t>
            </w:r>
          </w:p>
        </w:tc>
        <w:tc>
          <w:tcPr>
            <w:tcW w:w="1030" w:type="dxa"/>
            <w:vAlign w:val="center"/>
          </w:tcPr>
          <w:p w:rsidR="00DD759E" w:rsidRPr="00C17582" w:rsidRDefault="00DD759E" w:rsidP="000031E2">
            <w:pPr>
              <w:pStyle w:val="TableFigText"/>
              <w:jc w:val="right"/>
            </w:pPr>
            <w:r w:rsidRPr="00C17582">
              <w:t>71</w:t>
            </w:r>
          </w:p>
        </w:tc>
      </w:tr>
      <w:tr w:rsidR="00DD759E" w:rsidRPr="00B476FB" w:rsidTr="00987128">
        <w:tc>
          <w:tcPr>
            <w:tcW w:w="2504" w:type="dxa"/>
          </w:tcPr>
          <w:p w:rsidR="00DD759E" w:rsidRPr="000031E2" w:rsidRDefault="00DD759E" w:rsidP="00987128">
            <w:pPr>
              <w:pStyle w:val="TableFigText"/>
              <w:keepLines w:val="0"/>
              <w:rPr>
                <w:rFonts w:asciiTheme="minorHAnsi" w:hAnsiTheme="minorHAnsi" w:cstheme="minorHAnsi"/>
                <w:b/>
                <w:szCs w:val="22"/>
              </w:rPr>
            </w:pPr>
            <w:r w:rsidRPr="000031E2">
              <w:rPr>
                <w:rFonts w:asciiTheme="minorHAnsi" w:hAnsiTheme="minorHAnsi" w:cstheme="minorHAnsi"/>
                <w:b/>
                <w:szCs w:val="22"/>
              </w:rPr>
              <w:t>Total</w:t>
            </w:r>
          </w:p>
        </w:tc>
        <w:tc>
          <w:tcPr>
            <w:tcW w:w="1089" w:type="dxa"/>
            <w:vAlign w:val="center"/>
          </w:tcPr>
          <w:p w:rsidR="00DD759E" w:rsidRPr="000031E2" w:rsidRDefault="00DD759E" w:rsidP="000031E2">
            <w:pPr>
              <w:pStyle w:val="TableFigText"/>
              <w:jc w:val="right"/>
              <w:rPr>
                <w:b/>
              </w:rPr>
            </w:pPr>
            <w:r w:rsidRPr="000031E2">
              <w:rPr>
                <w:b/>
              </w:rPr>
              <w:t>671</w:t>
            </w:r>
          </w:p>
        </w:tc>
        <w:tc>
          <w:tcPr>
            <w:tcW w:w="1442" w:type="dxa"/>
            <w:vAlign w:val="center"/>
          </w:tcPr>
          <w:p w:rsidR="00DD759E" w:rsidRPr="000031E2" w:rsidRDefault="00DD759E" w:rsidP="000031E2">
            <w:pPr>
              <w:pStyle w:val="TableFigText"/>
              <w:jc w:val="right"/>
              <w:rPr>
                <w:b/>
              </w:rPr>
            </w:pPr>
            <w:r w:rsidRPr="000031E2">
              <w:rPr>
                <w:b/>
              </w:rPr>
              <w:t>0</w:t>
            </w:r>
          </w:p>
        </w:tc>
        <w:tc>
          <w:tcPr>
            <w:tcW w:w="1301" w:type="dxa"/>
            <w:vAlign w:val="center"/>
          </w:tcPr>
          <w:p w:rsidR="00DD759E" w:rsidRPr="000031E2" w:rsidRDefault="00DD759E" w:rsidP="000031E2">
            <w:pPr>
              <w:pStyle w:val="TableFigText"/>
              <w:jc w:val="right"/>
              <w:rPr>
                <w:b/>
              </w:rPr>
            </w:pPr>
            <w:r w:rsidRPr="000031E2">
              <w:rPr>
                <w:b/>
              </w:rPr>
              <w:t>0</w:t>
            </w:r>
          </w:p>
        </w:tc>
        <w:tc>
          <w:tcPr>
            <w:tcW w:w="1078" w:type="dxa"/>
            <w:vAlign w:val="center"/>
          </w:tcPr>
          <w:p w:rsidR="00DD759E" w:rsidRPr="000031E2" w:rsidRDefault="00DD759E" w:rsidP="000031E2">
            <w:pPr>
              <w:pStyle w:val="TableFigText"/>
              <w:jc w:val="right"/>
              <w:rPr>
                <w:b/>
              </w:rPr>
            </w:pPr>
            <w:r w:rsidRPr="000031E2">
              <w:rPr>
                <w:b/>
              </w:rPr>
              <w:t>0</w:t>
            </w:r>
          </w:p>
        </w:tc>
        <w:tc>
          <w:tcPr>
            <w:tcW w:w="1132" w:type="dxa"/>
            <w:vAlign w:val="center"/>
          </w:tcPr>
          <w:p w:rsidR="00DD759E" w:rsidRPr="000031E2" w:rsidRDefault="00DD759E" w:rsidP="000031E2">
            <w:pPr>
              <w:pStyle w:val="TableFigText"/>
              <w:jc w:val="right"/>
              <w:rPr>
                <w:b/>
              </w:rPr>
            </w:pPr>
            <w:r w:rsidRPr="000031E2">
              <w:rPr>
                <w:b/>
              </w:rPr>
              <w:t>0</w:t>
            </w:r>
          </w:p>
        </w:tc>
        <w:tc>
          <w:tcPr>
            <w:tcW w:w="1030" w:type="dxa"/>
          </w:tcPr>
          <w:p w:rsidR="00DD759E" w:rsidRPr="000031E2" w:rsidRDefault="00DD759E" w:rsidP="000031E2">
            <w:pPr>
              <w:pStyle w:val="TableFigText"/>
              <w:jc w:val="right"/>
              <w:rPr>
                <w:b/>
              </w:rPr>
            </w:pPr>
            <w:r w:rsidRPr="000031E2">
              <w:rPr>
                <w:b/>
              </w:rPr>
              <w:t>671</w:t>
            </w:r>
          </w:p>
        </w:tc>
      </w:tr>
    </w:tbl>
    <w:p w:rsidR="00DD759E" w:rsidRPr="00207B28" w:rsidRDefault="00DD759E" w:rsidP="00DD759E">
      <w:pPr>
        <w:pStyle w:val="TableCaption"/>
        <w:rPr>
          <w:rFonts w:asciiTheme="minorHAnsi" w:hAnsiTheme="minorHAnsi" w:cstheme="minorHAnsi"/>
        </w:rPr>
      </w:pPr>
    </w:p>
    <w:p w:rsidR="00DD759E" w:rsidRPr="000E0677" w:rsidRDefault="000E0677" w:rsidP="00DD759E">
      <w:pPr>
        <w:pStyle w:val="TableCaption"/>
        <w:rPr>
          <w:rStyle w:val="table-note"/>
        </w:rPr>
      </w:pPr>
      <w:r w:rsidRPr="000E0677">
        <w:rPr>
          <w:rStyle w:val="table-note"/>
        </w:rPr>
        <w:t xml:space="preserve">Table 47: </w:t>
      </w:r>
      <w:r w:rsidR="00DD759E" w:rsidRPr="000E0677">
        <w:rPr>
          <w:rStyle w:val="table-note"/>
        </w:rPr>
        <w:t>SA: Number of specialised mental health beds, by service type, 2011–12</w:t>
      </w:r>
    </w:p>
    <w:tbl>
      <w:tblPr>
        <w:tblStyle w:val="TableGrid"/>
        <w:tblW w:w="0" w:type="auto"/>
        <w:tblLook w:val="04A0" w:firstRow="1" w:lastRow="0" w:firstColumn="1" w:lastColumn="0" w:noHBand="0" w:noVBand="1"/>
        <w:tblCaption w:val="SA: Number of specialised mental health beds, by service type, 2011–12"/>
        <w:tblDescription w:val="Table showing that, in 2011-12 in SA specialised mental health beds were only located in Major cities (618). There were 250 specialised mental health beds in public psychiatric hospital services, 230 in specialised psychiatric units or wards in public acute hospitals, and 138 in residential mental health care services. "/>
      </w:tblPr>
      <w:tblGrid>
        <w:gridCol w:w="2403"/>
        <w:gridCol w:w="1059"/>
        <w:gridCol w:w="1398"/>
        <w:gridCol w:w="1266"/>
        <w:gridCol w:w="1056"/>
        <w:gridCol w:w="1105"/>
        <w:gridCol w:w="999"/>
      </w:tblGrid>
      <w:tr w:rsidR="00DD759E" w:rsidRPr="00B476FB" w:rsidTr="000C3DEA">
        <w:trPr>
          <w:tblHeader/>
        </w:trPr>
        <w:tc>
          <w:tcPr>
            <w:tcW w:w="2504" w:type="dxa"/>
          </w:tcPr>
          <w:p w:rsidR="00DD759E" w:rsidRPr="00B476FB" w:rsidRDefault="00DD759E" w:rsidP="00987128">
            <w:pPr>
              <w:pStyle w:val="TableFigText"/>
              <w:keepNext/>
              <w:rPr>
                <w:rFonts w:asciiTheme="minorHAnsi" w:hAnsiTheme="minorHAnsi" w:cstheme="minorHAnsi"/>
                <w:szCs w:val="22"/>
              </w:rPr>
            </w:pPr>
          </w:p>
        </w:tc>
        <w:tc>
          <w:tcPr>
            <w:tcW w:w="1089" w:type="dxa"/>
          </w:tcPr>
          <w:p w:rsidR="00DD759E" w:rsidRPr="00B476FB" w:rsidRDefault="00DD759E" w:rsidP="00987128">
            <w:pPr>
              <w:pStyle w:val="TableFigText"/>
              <w:keepNext/>
              <w:jc w:val="right"/>
              <w:rPr>
                <w:rFonts w:asciiTheme="minorHAnsi" w:hAnsiTheme="minorHAnsi" w:cstheme="minorHAnsi"/>
                <w:b/>
                <w:szCs w:val="22"/>
              </w:rPr>
            </w:pPr>
            <w:r w:rsidRPr="00B476FB">
              <w:rPr>
                <w:rFonts w:asciiTheme="minorHAnsi" w:hAnsiTheme="minorHAnsi" w:cstheme="minorHAnsi"/>
                <w:b/>
                <w:szCs w:val="22"/>
              </w:rPr>
              <w:t>Major cities</w:t>
            </w:r>
          </w:p>
        </w:tc>
        <w:tc>
          <w:tcPr>
            <w:tcW w:w="1442" w:type="dxa"/>
          </w:tcPr>
          <w:p w:rsidR="00DD759E" w:rsidRPr="00B476FB" w:rsidRDefault="00DD759E" w:rsidP="00987128">
            <w:pPr>
              <w:pStyle w:val="TableFigText"/>
              <w:keepNext/>
              <w:jc w:val="right"/>
              <w:rPr>
                <w:rFonts w:asciiTheme="minorHAnsi" w:hAnsiTheme="minorHAnsi" w:cstheme="minorHAnsi"/>
                <w:b/>
                <w:szCs w:val="22"/>
              </w:rPr>
            </w:pPr>
            <w:r w:rsidRPr="00B476FB">
              <w:rPr>
                <w:rFonts w:asciiTheme="minorHAnsi" w:hAnsiTheme="minorHAnsi" w:cstheme="minorHAnsi"/>
                <w:b/>
                <w:szCs w:val="22"/>
              </w:rPr>
              <w:t>Inner regional</w:t>
            </w:r>
          </w:p>
        </w:tc>
        <w:tc>
          <w:tcPr>
            <w:tcW w:w="1301" w:type="dxa"/>
          </w:tcPr>
          <w:p w:rsidR="00DD759E" w:rsidRPr="00B476FB" w:rsidRDefault="00DD759E" w:rsidP="00987128">
            <w:pPr>
              <w:pStyle w:val="TableFigText"/>
              <w:keepNext/>
              <w:jc w:val="right"/>
              <w:rPr>
                <w:rFonts w:asciiTheme="minorHAnsi" w:hAnsiTheme="minorHAnsi" w:cstheme="minorHAnsi"/>
                <w:b/>
                <w:szCs w:val="22"/>
              </w:rPr>
            </w:pPr>
            <w:r w:rsidRPr="00B476FB">
              <w:rPr>
                <w:rFonts w:asciiTheme="minorHAnsi" w:hAnsiTheme="minorHAnsi" w:cstheme="minorHAnsi"/>
                <w:b/>
                <w:szCs w:val="22"/>
              </w:rPr>
              <w:t>Outer regional</w:t>
            </w:r>
          </w:p>
        </w:tc>
        <w:tc>
          <w:tcPr>
            <w:tcW w:w="1078" w:type="dxa"/>
          </w:tcPr>
          <w:p w:rsidR="00DD759E" w:rsidRPr="00B476FB" w:rsidRDefault="00DD759E" w:rsidP="00987128">
            <w:pPr>
              <w:pStyle w:val="TableFigText"/>
              <w:keepNext/>
              <w:jc w:val="right"/>
              <w:rPr>
                <w:rFonts w:asciiTheme="minorHAnsi" w:hAnsiTheme="minorHAnsi" w:cstheme="minorHAnsi"/>
                <w:b/>
                <w:szCs w:val="22"/>
              </w:rPr>
            </w:pPr>
            <w:r w:rsidRPr="00B476FB">
              <w:rPr>
                <w:rFonts w:asciiTheme="minorHAnsi" w:hAnsiTheme="minorHAnsi" w:cstheme="minorHAnsi"/>
                <w:b/>
                <w:szCs w:val="22"/>
              </w:rPr>
              <w:t>Remote</w:t>
            </w:r>
          </w:p>
        </w:tc>
        <w:tc>
          <w:tcPr>
            <w:tcW w:w="1132" w:type="dxa"/>
          </w:tcPr>
          <w:p w:rsidR="00DD759E" w:rsidRPr="00B476FB" w:rsidRDefault="00DD759E" w:rsidP="00987128">
            <w:pPr>
              <w:pStyle w:val="TableFigText"/>
              <w:keepNext/>
              <w:jc w:val="right"/>
              <w:rPr>
                <w:rFonts w:asciiTheme="minorHAnsi" w:hAnsiTheme="minorHAnsi" w:cstheme="minorHAnsi"/>
                <w:b/>
                <w:szCs w:val="22"/>
              </w:rPr>
            </w:pPr>
            <w:r w:rsidRPr="00B476FB">
              <w:rPr>
                <w:rFonts w:asciiTheme="minorHAnsi" w:hAnsiTheme="minorHAnsi" w:cstheme="minorHAnsi"/>
                <w:b/>
                <w:szCs w:val="22"/>
              </w:rPr>
              <w:t>Very remote</w:t>
            </w:r>
          </w:p>
        </w:tc>
        <w:tc>
          <w:tcPr>
            <w:tcW w:w="1030" w:type="dxa"/>
          </w:tcPr>
          <w:p w:rsidR="00DD759E" w:rsidRPr="00B476FB" w:rsidRDefault="00DD759E" w:rsidP="00987128">
            <w:pPr>
              <w:pStyle w:val="TableFigText"/>
              <w:keepNext/>
              <w:jc w:val="right"/>
              <w:rPr>
                <w:rFonts w:asciiTheme="minorHAnsi" w:hAnsiTheme="minorHAnsi" w:cstheme="minorHAnsi"/>
                <w:b/>
                <w:szCs w:val="22"/>
              </w:rPr>
            </w:pPr>
            <w:r w:rsidRPr="00B476FB">
              <w:rPr>
                <w:rFonts w:asciiTheme="minorHAnsi" w:hAnsiTheme="minorHAnsi" w:cstheme="minorHAnsi"/>
                <w:b/>
                <w:szCs w:val="22"/>
              </w:rPr>
              <w:t>Total</w:t>
            </w:r>
          </w:p>
        </w:tc>
      </w:tr>
      <w:tr w:rsidR="00DD759E" w:rsidRPr="00B476FB" w:rsidTr="00987128">
        <w:tc>
          <w:tcPr>
            <w:tcW w:w="2504" w:type="dxa"/>
          </w:tcPr>
          <w:p w:rsidR="00DD759E" w:rsidRPr="00B476FB" w:rsidRDefault="00DD759E" w:rsidP="00987128">
            <w:pPr>
              <w:pStyle w:val="TableFigText"/>
              <w:keepLines w:val="0"/>
              <w:rPr>
                <w:rFonts w:asciiTheme="minorHAnsi" w:hAnsiTheme="minorHAnsi" w:cstheme="minorHAnsi"/>
                <w:szCs w:val="22"/>
              </w:rPr>
            </w:pPr>
            <w:r w:rsidRPr="00B476FB">
              <w:rPr>
                <w:rFonts w:asciiTheme="minorHAnsi" w:hAnsiTheme="minorHAnsi" w:cstheme="minorHAnsi"/>
                <w:szCs w:val="22"/>
              </w:rPr>
              <w:t>Specialised psychiatric units or wards in public acute hospitals</w:t>
            </w:r>
          </w:p>
        </w:tc>
        <w:tc>
          <w:tcPr>
            <w:tcW w:w="1089" w:type="dxa"/>
          </w:tcPr>
          <w:p w:rsidR="00DD759E" w:rsidRPr="00B476FB" w:rsidRDefault="00DD759E" w:rsidP="000031E2">
            <w:pPr>
              <w:pStyle w:val="TableFigText"/>
              <w:jc w:val="right"/>
            </w:pPr>
            <w:r w:rsidRPr="00B476FB">
              <w:t>250</w:t>
            </w:r>
          </w:p>
        </w:tc>
        <w:tc>
          <w:tcPr>
            <w:tcW w:w="1442" w:type="dxa"/>
          </w:tcPr>
          <w:p w:rsidR="00DD759E" w:rsidRPr="00B476FB" w:rsidRDefault="00DD759E" w:rsidP="000031E2">
            <w:pPr>
              <w:pStyle w:val="TableFigText"/>
              <w:jc w:val="right"/>
            </w:pPr>
            <w:r w:rsidRPr="00B476FB">
              <w:t>0</w:t>
            </w:r>
          </w:p>
        </w:tc>
        <w:tc>
          <w:tcPr>
            <w:tcW w:w="1301" w:type="dxa"/>
          </w:tcPr>
          <w:p w:rsidR="00DD759E" w:rsidRPr="00B476FB" w:rsidRDefault="00DD759E" w:rsidP="000031E2">
            <w:pPr>
              <w:pStyle w:val="TableFigText"/>
              <w:jc w:val="right"/>
            </w:pPr>
            <w:r w:rsidRPr="00B476FB">
              <w:t>0</w:t>
            </w:r>
          </w:p>
        </w:tc>
        <w:tc>
          <w:tcPr>
            <w:tcW w:w="1078" w:type="dxa"/>
          </w:tcPr>
          <w:p w:rsidR="00DD759E" w:rsidRPr="00B476FB" w:rsidRDefault="00DD759E" w:rsidP="000031E2">
            <w:pPr>
              <w:pStyle w:val="TableFigText"/>
              <w:jc w:val="right"/>
            </w:pPr>
            <w:r w:rsidRPr="00B476FB">
              <w:t>0</w:t>
            </w:r>
          </w:p>
        </w:tc>
        <w:tc>
          <w:tcPr>
            <w:tcW w:w="1132" w:type="dxa"/>
          </w:tcPr>
          <w:p w:rsidR="00DD759E" w:rsidRPr="00B476FB" w:rsidRDefault="00DD759E" w:rsidP="000031E2">
            <w:pPr>
              <w:pStyle w:val="TableFigText"/>
              <w:jc w:val="right"/>
            </w:pPr>
            <w:r w:rsidRPr="00B476FB">
              <w:t>0</w:t>
            </w:r>
          </w:p>
        </w:tc>
        <w:tc>
          <w:tcPr>
            <w:tcW w:w="1030" w:type="dxa"/>
          </w:tcPr>
          <w:p w:rsidR="00DD759E" w:rsidRPr="00B476FB" w:rsidRDefault="00DD759E" w:rsidP="000031E2">
            <w:pPr>
              <w:pStyle w:val="TableFigText"/>
              <w:jc w:val="right"/>
            </w:pPr>
            <w:r w:rsidRPr="00B476FB">
              <w:t>250</w:t>
            </w:r>
          </w:p>
        </w:tc>
      </w:tr>
      <w:tr w:rsidR="00DD759E" w:rsidRPr="00B476FB" w:rsidTr="00987128">
        <w:tc>
          <w:tcPr>
            <w:tcW w:w="2504" w:type="dxa"/>
          </w:tcPr>
          <w:p w:rsidR="00DD759E" w:rsidRPr="00B476FB" w:rsidRDefault="00DD759E" w:rsidP="00987128">
            <w:pPr>
              <w:pStyle w:val="TableFigText"/>
              <w:keepLines w:val="0"/>
              <w:rPr>
                <w:rFonts w:asciiTheme="minorHAnsi" w:hAnsiTheme="minorHAnsi" w:cstheme="minorHAnsi"/>
                <w:szCs w:val="22"/>
              </w:rPr>
            </w:pPr>
            <w:r w:rsidRPr="00B476FB">
              <w:rPr>
                <w:rFonts w:asciiTheme="minorHAnsi" w:hAnsiTheme="minorHAnsi" w:cstheme="minorHAnsi"/>
                <w:szCs w:val="22"/>
              </w:rPr>
              <w:t>Public psychiatric hospital services</w:t>
            </w:r>
          </w:p>
        </w:tc>
        <w:tc>
          <w:tcPr>
            <w:tcW w:w="1089" w:type="dxa"/>
          </w:tcPr>
          <w:p w:rsidR="00DD759E" w:rsidRPr="00B476FB" w:rsidRDefault="00DD759E" w:rsidP="000031E2">
            <w:pPr>
              <w:pStyle w:val="TableFigText"/>
              <w:jc w:val="right"/>
            </w:pPr>
            <w:r w:rsidRPr="00B476FB">
              <w:t>230</w:t>
            </w:r>
          </w:p>
        </w:tc>
        <w:tc>
          <w:tcPr>
            <w:tcW w:w="1442" w:type="dxa"/>
          </w:tcPr>
          <w:p w:rsidR="00DD759E" w:rsidRPr="00B476FB" w:rsidRDefault="00DD759E" w:rsidP="000031E2">
            <w:pPr>
              <w:pStyle w:val="TableFigText"/>
              <w:jc w:val="right"/>
            </w:pPr>
            <w:r w:rsidRPr="00B476FB">
              <w:t>0</w:t>
            </w:r>
          </w:p>
        </w:tc>
        <w:tc>
          <w:tcPr>
            <w:tcW w:w="1301" w:type="dxa"/>
          </w:tcPr>
          <w:p w:rsidR="00DD759E" w:rsidRPr="00B476FB" w:rsidRDefault="00DD759E" w:rsidP="000031E2">
            <w:pPr>
              <w:pStyle w:val="TableFigText"/>
              <w:jc w:val="right"/>
            </w:pPr>
            <w:r w:rsidRPr="00B476FB">
              <w:t>0</w:t>
            </w:r>
          </w:p>
        </w:tc>
        <w:tc>
          <w:tcPr>
            <w:tcW w:w="1078" w:type="dxa"/>
          </w:tcPr>
          <w:p w:rsidR="00DD759E" w:rsidRPr="00B476FB" w:rsidRDefault="00DD759E" w:rsidP="000031E2">
            <w:pPr>
              <w:pStyle w:val="TableFigText"/>
              <w:jc w:val="right"/>
            </w:pPr>
            <w:r w:rsidRPr="00B476FB">
              <w:t>0</w:t>
            </w:r>
          </w:p>
        </w:tc>
        <w:tc>
          <w:tcPr>
            <w:tcW w:w="1132" w:type="dxa"/>
          </w:tcPr>
          <w:p w:rsidR="00DD759E" w:rsidRPr="00B476FB" w:rsidRDefault="00DD759E" w:rsidP="000031E2">
            <w:pPr>
              <w:pStyle w:val="TableFigText"/>
              <w:jc w:val="right"/>
            </w:pPr>
            <w:r w:rsidRPr="00B476FB">
              <w:t>0</w:t>
            </w:r>
          </w:p>
        </w:tc>
        <w:tc>
          <w:tcPr>
            <w:tcW w:w="1030" w:type="dxa"/>
          </w:tcPr>
          <w:p w:rsidR="00DD759E" w:rsidRPr="00B476FB" w:rsidRDefault="00DD759E" w:rsidP="000031E2">
            <w:pPr>
              <w:pStyle w:val="TableFigText"/>
              <w:jc w:val="right"/>
            </w:pPr>
            <w:r w:rsidRPr="00B476FB">
              <w:t>230</w:t>
            </w:r>
          </w:p>
        </w:tc>
      </w:tr>
      <w:tr w:rsidR="00DD759E" w:rsidRPr="00B476FB" w:rsidTr="00987128">
        <w:tc>
          <w:tcPr>
            <w:tcW w:w="2504" w:type="dxa"/>
          </w:tcPr>
          <w:p w:rsidR="00DD759E" w:rsidRPr="00B476FB" w:rsidRDefault="00DD759E" w:rsidP="00987128">
            <w:pPr>
              <w:pStyle w:val="TableFigText"/>
              <w:keepLines w:val="0"/>
              <w:rPr>
                <w:rFonts w:asciiTheme="minorHAnsi" w:hAnsiTheme="minorHAnsi" w:cstheme="minorHAnsi"/>
                <w:szCs w:val="22"/>
              </w:rPr>
            </w:pPr>
            <w:r w:rsidRPr="00B476FB">
              <w:rPr>
                <w:rFonts w:asciiTheme="minorHAnsi" w:hAnsiTheme="minorHAnsi" w:cstheme="minorHAnsi"/>
                <w:szCs w:val="22"/>
              </w:rPr>
              <w:t>Residential mental health care services</w:t>
            </w:r>
          </w:p>
        </w:tc>
        <w:tc>
          <w:tcPr>
            <w:tcW w:w="1089" w:type="dxa"/>
          </w:tcPr>
          <w:p w:rsidR="00DD759E" w:rsidRPr="00B476FB" w:rsidRDefault="00DD759E" w:rsidP="000031E2">
            <w:pPr>
              <w:pStyle w:val="TableFigText"/>
              <w:jc w:val="right"/>
            </w:pPr>
            <w:r w:rsidRPr="00B476FB">
              <w:t>138</w:t>
            </w:r>
          </w:p>
        </w:tc>
        <w:tc>
          <w:tcPr>
            <w:tcW w:w="1442" w:type="dxa"/>
          </w:tcPr>
          <w:p w:rsidR="00DD759E" w:rsidRPr="00B476FB" w:rsidRDefault="00DD759E" w:rsidP="000031E2">
            <w:pPr>
              <w:pStyle w:val="TableFigText"/>
              <w:jc w:val="right"/>
            </w:pPr>
            <w:r w:rsidRPr="00B476FB">
              <w:t>0</w:t>
            </w:r>
          </w:p>
        </w:tc>
        <w:tc>
          <w:tcPr>
            <w:tcW w:w="1301" w:type="dxa"/>
          </w:tcPr>
          <w:p w:rsidR="00DD759E" w:rsidRPr="00B476FB" w:rsidRDefault="00DD759E" w:rsidP="000031E2">
            <w:pPr>
              <w:pStyle w:val="TableFigText"/>
              <w:jc w:val="right"/>
            </w:pPr>
            <w:r w:rsidRPr="00B476FB">
              <w:t>0</w:t>
            </w:r>
          </w:p>
        </w:tc>
        <w:tc>
          <w:tcPr>
            <w:tcW w:w="1078" w:type="dxa"/>
          </w:tcPr>
          <w:p w:rsidR="00DD759E" w:rsidRPr="00B476FB" w:rsidRDefault="00DD759E" w:rsidP="000031E2">
            <w:pPr>
              <w:pStyle w:val="TableFigText"/>
              <w:jc w:val="right"/>
            </w:pPr>
            <w:r w:rsidRPr="00B476FB">
              <w:t>0</w:t>
            </w:r>
          </w:p>
        </w:tc>
        <w:tc>
          <w:tcPr>
            <w:tcW w:w="1132" w:type="dxa"/>
          </w:tcPr>
          <w:p w:rsidR="00DD759E" w:rsidRPr="00B476FB" w:rsidRDefault="00DD759E" w:rsidP="000031E2">
            <w:pPr>
              <w:pStyle w:val="TableFigText"/>
              <w:jc w:val="right"/>
            </w:pPr>
            <w:r w:rsidRPr="00B476FB">
              <w:t>0</w:t>
            </w:r>
          </w:p>
        </w:tc>
        <w:tc>
          <w:tcPr>
            <w:tcW w:w="1030" w:type="dxa"/>
          </w:tcPr>
          <w:p w:rsidR="00DD759E" w:rsidRPr="00B476FB" w:rsidRDefault="00DD759E" w:rsidP="000031E2">
            <w:pPr>
              <w:pStyle w:val="TableFigText"/>
              <w:jc w:val="right"/>
            </w:pPr>
            <w:r w:rsidRPr="00B476FB">
              <w:t>138</w:t>
            </w:r>
          </w:p>
        </w:tc>
      </w:tr>
      <w:tr w:rsidR="00DD759E" w:rsidRPr="00B476FB" w:rsidTr="00987128">
        <w:tc>
          <w:tcPr>
            <w:tcW w:w="2504" w:type="dxa"/>
          </w:tcPr>
          <w:p w:rsidR="00DD759E" w:rsidRPr="000031E2" w:rsidRDefault="00DD759E" w:rsidP="00987128">
            <w:pPr>
              <w:pStyle w:val="TableFigText"/>
              <w:keepLines w:val="0"/>
              <w:rPr>
                <w:rFonts w:asciiTheme="minorHAnsi" w:hAnsiTheme="minorHAnsi" w:cstheme="minorHAnsi"/>
                <w:b/>
                <w:szCs w:val="22"/>
              </w:rPr>
            </w:pPr>
            <w:r w:rsidRPr="000031E2">
              <w:rPr>
                <w:rFonts w:asciiTheme="minorHAnsi" w:hAnsiTheme="minorHAnsi" w:cstheme="minorHAnsi"/>
                <w:b/>
                <w:szCs w:val="22"/>
              </w:rPr>
              <w:t>Total</w:t>
            </w:r>
          </w:p>
        </w:tc>
        <w:tc>
          <w:tcPr>
            <w:tcW w:w="1089" w:type="dxa"/>
          </w:tcPr>
          <w:p w:rsidR="00DD759E" w:rsidRPr="000031E2" w:rsidRDefault="00DD759E" w:rsidP="000031E2">
            <w:pPr>
              <w:pStyle w:val="TableFigText"/>
              <w:jc w:val="right"/>
              <w:rPr>
                <w:b/>
              </w:rPr>
            </w:pPr>
            <w:r w:rsidRPr="000031E2">
              <w:rPr>
                <w:b/>
              </w:rPr>
              <w:t>618</w:t>
            </w:r>
          </w:p>
        </w:tc>
        <w:tc>
          <w:tcPr>
            <w:tcW w:w="1442" w:type="dxa"/>
          </w:tcPr>
          <w:p w:rsidR="00DD759E" w:rsidRPr="000031E2" w:rsidRDefault="00DD759E" w:rsidP="000031E2">
            <w:pPr>
              <w:pStyle w:val="TableFigText"/>
              <w:jc w:val="right"/>
              <w:rPr>
                <w:b/>
              </w:rPr>
            </w:pPr>
            <w:r w:rsidRPr="000031E2">
              <w:rPr>
                <w:b/>
              </w:rPr>
              <w:t>0</w:t>
            </w:r>
          </w:p>
        </w:tc>
        <w:tc>
          <w:tcPr>
            <w:tcW w:w="1301" w:type="dxa"/>
          </w:tcPr>
          <w:p w:rsidR="00DD759E" w:rsidRPr="000031E2" w:rsidRDefault="00DD759E" w:rsidP="000031E2">
            <w:pPr>
              <w:pStyle w:val="TableFigText"/>
              <w:jc w:val="right"/>
              <w:rPr>
                <w:b/>
              </w:rPr>
            </w:pPr>
            <w:r w:rsidRPr="000031E2">
              <w:rPr>
                <w:b/>
              </w:rPr>
              <w:t>0</w:t>
            </w:r>
          </w:p>
        </w:tc>
        <w:tc>
          <w:tcPr>
            <w:tcW w:w="1078" w:type="dxa"/>
          </w:tcPr>
          <w:p w:rsidR="00DD759E" w:rsidRPr="000031E2" w:rsidRDefault="00DD759E" w:rsidP="000031E2">
            <w:pPr>
              <w:pStyle w:val="TableFigText"/>
              <w:jc w:val="right"/>
              <w:rPr>
                <w:b/>
              </w:rPr>
            </w:pPr>
            <w:r w:rsidRPr="000031E2">
              <w:rPr>
                <w:b/>
              </w:rPr>
              <w:t>0</w:t>
            </w:r>
          </w:p>
        </w:tc>
        <w:tc>
          <w:tcPr>
            <w:tcW w:w="1132" w:type="dxa"/>
          </w:tcPr>
          <w:p w:rsidR="00DD759E" w:rsidRPr="000031E2" w:rsidRDefault="00DD759E" w:rsidP="000031E2">
            <w:pPr>
              <w:pStyle w:val="TableFigText"/>
              <w:jc w:val="right"/>
              <w:rPr>
                <w:b/>
              </w:rPr>
            </w:pPr>
            <w:r w:rsidRPr="000031E2">
              <w:rPr>
                <w:b/>
              </w:rPr>
              <w:t>0</w:t>
            </w:r>
          </w:p>
        </w:tc>
        <w:tc>
          <w:tcPr>
            <w:tcW w:w="1030" w:type="dxa"/>
          </w:tcPr>
          <w:p w:rsidR="00DD759E" w:rsidRPr="000031E2" w:rsidRDefault="00DD759E" w:rsidP="000031E2">
            <w:pPr>
              <w:pStyle w:val="TableFigText"/>
              <w:jc w:val="right"/>
              <w:rPr>
                <w:b/>
              </w:rPr>
            </w:pPr>
            <w:r w:rsidRPr="000031E2">
              <w:rPr>
                <w:b/>
              </w:rPr>
              <w:t>618</w:t>
            </w:r>
          </w:p>
        </w:tc>
      </w:tr>
    </w:tbl>
    <w:p w:rsidR="00DD759E" w:rsidRPr="000E0677" w:rsidRDefault="000E0677" w:rsidP="00DD759E">
      <w:pPr>
        <w:pStyle w:val="TableCaption"/>
        <w:rPr>
          <w:rStyle w:val="table-note"/>
        </w:rPr>
      </w:pPr>
      <w:r w:rsidRPr="000E0677">
        <w:rPr>
          <w:rStyle w:val="table-note"/>
        </w:rPr>
        <w:t xml:space="preserve">Table 48: </w:t>
      </w:r>
      <w:r w:rsidR="00DD759E" w:rsidRPr="000E0677">
        <w:rPr>
          <w:rStyle w:val="table-note"/>
        </w:rPr>
        <w:t xml:space="preserve">SA: Full-time-equivalent staff, state and territory specialised mental health care facilities, by staffing category, 2007–08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A: Full-time-equivalent staff, state and territory specialised mental health care facilities, by staffing category, 2007–08"/>
        <w:tblDescription w:val="Table showing, in 2007-08, the number of full-time-equivalent (FTE) staff in specialised mental health care facilities across SA region types.  Major cities have the highest number of all types of FTE staff at 2,333.3 and very remote have the least at 0.6. Nurses were the highest FTE staff type overall, across all region types, at 1,242.7."/>
      </w:tblPr>
      <w:tblGrid>
        <w:gridCol w:w="2406"/>
        <w:gridCol w:w="1159"/>
        <w:gridCol w:w="1347"/>
        <w:gridCol w:w="1222"/>
        <w:gridCol w:w="1025"/>
        <w:gridCol w:w="1068"/>
        <w:gridCol w:w="1059"/>
      </w:tblGrid>
      <w:tr w:rsidR="00DD759E" w:rsidRPr="00B476FB" w:rsidTr="000C3DEA">
        <w:trPr>
          <w:tblHeader/>
        </w:trPr>
        <w:tc>
          <w:tcPr>
            <w:tcW w:w="2406" w:type="dxa"/>
          </w:tcPr>
          <w:p w:rsidR="00DD759E" w:rsidRPr="00B476FB" w:rsidRDefault="00DD759E" w:rsidP="00987128">
            <w:pPr>
              <w:pStyle w:val="TableFigText"/>
              <w:keepNext/>
              <w:rPr>
                <w:rFonts w:asciiTheme="minorHAnsi" w:hAnsiTheme="minorHAnsi" w:cstheme="minorHAnsi"/>
                <w:szCs w:val="22"/>
              </w:rPr>
            </w:pPr>
          </w:p>
        </w:tc>
        <w:tc>
          <w:tcPr>
            <w:tcW w:w="1159" w:type="dxa"/>
          </w:tcPr>
          <w:p w:rsidR="00DD759E" w:rsidRPr="00B476FB" w:rsidRDefault="00DD759E" w:rsidP="00987128">
            <w:pPr>
              <w:pStyle w:val="TableFigText"/>
              <w:keepNext/>
              <w:jc w:val="right"/>
              <w:rPr>
                <w:rFonts w:asciiTheme="minorHAnsi" w:hAnsiTheme="minorHAnsi" w:cstheme="minorHAnsi"/>
                <w:b/>
                <w:szCs w:val="22"/>
              </w:rPr>
            </w:pPr>
            <w:r w:rsidRPr="00B476FB">
              <w:rPr>
                <w:rFonts w:asciiTheme="minorHAnsi" w:hAnsiTheme="minorHAnsi" w:cstheme="minorHAnsi"/>
                <w:b/>
                <w:szCs w:val="22"/>
              </w:rPr>
              <w:t>Major cities</w:t>
            </w:r>
          </w:p>
        </w:tc>
        <w:tc>
          <w:tcPr>
            <w:tcW w:w="1347" w:type="dxa"/>
          </w:tcPr>
          <w:p w:rsidR="00DD759E" w:rsidRPr="00B476FB" w:rsidRDefault="00DD759E" w:rsidP="00987128">
            <w:pPr>
              <w:pStyle w:val="TableFigText"/>
              <w:keepNext/>
              <w:jc w:val="right"/>
              <w:rPr>
                <w:rFonts w:asciiTheme="minorHAnsi" w:hAnsiTheme="minorHAnsi" w:cstheme="minorHAnsi"/>
                <w:b/>
                <w:szCs w:val="22"/>
              </w:rPr>
            </w:pPr>
            <w:r w:rsidRPr="00B476FB">
              <w:rPr>
                <w:rFonts w:asciiTheme="minorHAnsi" w:hAnsiTheme="minorHAnsi" w:cstheme="minorHAnsi"/>
                <w:b/>
                <w:szCs w:val="22"/>
              </w:rPr>
              <w:t>Inner regional</w:t>
            </w:r>
          </w:p>
        </w:tc>
        <w:tc>
          <w:tcPr>
            <w:tcW w:w="1222" w:type="dxa"/>
          </w:tcPr>
          <w:p w:rsidR="00DD759E" w:rsidRPr="00B476FB" w:rsidRDefault="00DD759E" w:rsidP="00987128">
            <w:pPr>
              <w:pStyle w:val="TableFigText"/>
              <w:keepNext/>
              <w:jc w:val="right"/>
              <w:rPr>
                <w:rFonts w:asciiTheme="minorHAnsi" w:hAnsiTheme="minorHAnsi" w:cstheme="minorHAnsi"/>
                <w:b/>
                <w:szCs w:val="22"/>
              </w:rPr>
            </w:pPr>
            <w:r w:rsidRPr="00B476FB">
              <w:rPr>
                <w:rFonts w:asciiTheme="minorHAnsi" w:hAnsiTheme="minorHAnsi" w:cstheme="minorHAnsi"/>
                <w:b/>
                <w:szCs w:val="22"/>
              </w:rPr>
              <w:t>Outer regional</w:t>
            </w:r>
          </w:p>
        </w:tc>
        <w:tc>
          <w:tcPr>
            <w:tcW w:w="1025" w:type="dxa"/>
          </w:tcPr>
          <w:p w:rsidR="00DD759E" w:rsidRPr="00B476FB" w:rsidRDefault="00DD759E" w:rsidP="00987128">
            <w:pPr>
              <w:pStyle w:val="TableFigText"/>
              <w:keepNext/>
              <w:jc w:val="right"/>
              <w:rPr>
                <w:rFonts w:asciiTheme="minorHAnsi" w:hAnsiTheme="minorHAnsi" w:cstheme="minorHAnsi"/>
                <w:b/>
                <w:szCs w:val="22"/>
              </w:rPr>
            </w:pPr>
            <w:r w:rsidRPr="00B476FB">
              <w:rPr>
                <w:rFonts w:asciiTheme="minorHAnsi" w:hAnsiTheme="minorHAnsi" w:cstheme="minorHAnsi"/>
                <w:b/>
                <w:szCs w:val="22"/>
              </w:rPr>
              <w:t>Remote</w:t>
            </w:r>
          </w:p>
        </w:tc>
        <w:tc>
          <w:tcPr>
            <w:tcW w:w="1068" w:type="dxa"/>
          </w:tcPr>
          <w:p w:rsidR="00DD759E" w:rsidRPr="00B476FB" w:rsidRDefault="00DD759E" w:rsidP="00987128">
            <w:pPr>
              <w:pStyle w:val="TableFigText"/>
              <w:keepNext/>
              <w:jc w:val="right"/>
              <w:rPr>
                <w:rFonts w:asciiTheme="minorHAnsi" w:hAnsiTheme="minorHAnsi" w:cstheme="minorHAnsi"/>
                <w:b/>
                <w:szCs w:val="22"/>
              </w:rPr>
            </w:pPr>
            <w:r w:rsidRPr="00B476FB">
              <w:rPr>
                <w:rFonts w:asciiTheme="minorHAnsi" w:hAnsiTheme="minorHAnsi" w:cstheme="minorHAnsi"/>
                <w:b/>
                <w:szCs w:val="22"/>
              </w:rPr>
              <w:t>Very remote</w:t>
            </w:r>
          </w:p>
        </w:tc>
        <w:tc>
          <w:tcPr>
            <w:tcW w:w="1059" w:type="dxa"/>
          </w:tcPr>
          <w:p w:rsidR="00DD759E" w:rsidRPr="00B476FB" w:rsidRDefault="00DD759E" w:rsidP="00987128">
            <w:pPr>
              <w:pStyle w:val="TableFigText"/>
              <w:keepNext/>
              <w:jc w:val="right"/>
              <w:rPr>
                <w:rFonts w:asciiTheme="minorHAnsi" w:hAnsiTheme="minorHAnsi" w:cstheme="minorHAnsi"/>
                <w:b/>
                <w:szCs w:val="22"/>
              </w:rPr>
            </w:pPr>
            <w:r w:rsidRPr="00B476FB">
              <w:rPr>
                <w:rFonts w:asciiTheme="minorHAnsi" w:hAnsiTheme="minorHAnsi" w:cstheme="minorHAnsi"/>
                <w:b/>
                <w:szCs w:val="22"/>
              </w:rPr>
              <w:t>Total</w:t>
            </w:r>
            <w:r w:rsidRPr="00E86D05">
              <w:rPr>
                <w:rFonts w:asciiTheme="minorHAnsi" w:hAnsiTheme="minorHAnsi" w:cstheme="minorHAnsi"/>
                <w:b/>
                <w:szCs w:val="22"/>
                <w:vertAlign w:val="superscript"/>
              </w:rPr>
              <w:t>(a)</w:t>
            </w:r>
          </w:p>
        </w:tc>
      </w:tr>
      <w:tr w:rsidR="00DD759E" w:rsidRPr="00B476FB" w:rsidTr="00987128">
        <w:tc>
          <w:tcPr>
            <w:tcW w:w="2406" w:type="dxa"/>
          </w:tcPr>
          <w:p w:rsidR="00DD759E" w:rsidRPr="00B476FB" w:rsidRDefault="00DD759E" w:rsidP="00987128">
            <w:pPr>
              <w:pStyle w:val="TableFigText"/>
              <w:keepNext/>
              <w:rPr>
                <w:rFonts w:asciiTheme="minorHAnsi" w:hAnsiTheme="minorHAnsi" w:cstheme="minorHAnsi"/>
                <w:szCs w:val="22"/>
              </w:rPr>
            </w:pPr>
            <w:r w:rsidRPr="00B476FB">
              <w:rPr>
                <w:rFonts w:asciiTheme="minorHAnsi" w:hAnsiTheme="minorHAnsi" w:cstheme="minorHAnsi"/>
                <w:szCs w:val="22"/>
              </w:rPr>
              <w:t>Consultant psychiatrists and psychiatrists</w:t>
            </w:r>
          </w:p>
        </w:tc>
        <w:tc>
          <w:tcPr>
            <w:tcW w:w="1159" w:type="dxa"/>
            <w:vAlign w:val="bottom"/>
          </w:tcPr>
          <w:p w:rsidR="00DD759E" w:rsidRPr="00C17582" w:rsidRDefault="00DD759E" w:rsidP="000031E2">
            <w:pPr>
              <w:pStyle w:val="TableFigText"/>
              <w:jc w:val="right"/>
            </w:pPr>
            <w:r w:rsidRPr="00C17582">
              <w:t>96.5</w:t>
            </w:r>
          </w:p>
        </w:tc>
        <w:tc>
          <w:tcPr>
            <w:tcW w:w="1347" w:type="dxa"/>
            <w:vAlign w:val="bottom"/>
          </w:tcPr>
          <w:p w:rsidR="00DD759E" w:rsidRPr="00C17582" w:rsidRDefault="00DD759E" w:rsidP="000031E2">
            <w:pPr>
              <w:pStyle w:val="TableFigText"/>
              <w:jc w:val="right"/>
            </w:pPr>
            <w:r w:rsidRPr="00C17582">
              <w:t>0.3</w:t>
            </w:r>
          </w:p>
        </w:tc>
        <w:tc>
          <w:tcPr>
            <w:tcW w:w="1222" w:type="dxa"/>
            <w:vAlign w:val="bottom"/>
          </w:tcPr>
          <w:p w:rsidR="00DD759E" w:rsidRPr="00C17582" w:rsidRDefault="00DD759E" w:rsidP="000031E2">
            <w:pPr>
              <w:pStyle w:val="TableFigText"/>
              <w:jc w:val="right"/>
            </w:pPr>
            <w:r w:rsidRPr="00C17582">
              <w:t>0.0</w:t>
            </w:r>
          </w:p>
        </w:tc>
        <w:tc>
          <w:tcPr>
            <w:tcW w:w="1025" w:type="dxa"/>
            <w:vAlign w:val="bottom"/>
          </w:tcPr>
          <w:p w:rsidR="00DD759E" w:rsidRPr="00C17582" w:rsidRDefault="00DD759E" w:rsidP="000031E2">
            <w:pPr>
              <w:pStyle w:val="TableFigText"/>
              <w:jc w:val="right"/>
            </w:pPr>
            <w:r w:rsidRPr="00C17582">
              <w:t>0.0</w:t>
            </w:r>
          </w:p>
        </w:tc>
        <w:tc>
          <w:tcPr>
            <w:tcW w:w="1068" w:type="dxa"/>
            <w:vAlign w:val="bottom"/>
          </w:tcPr>
          <w:p w:rsidR="00DD759E" w:rsidRPr="00C17582" w:rsidRDefault="00DD759E" w:rsidP="000031E2">
            <w:pPr>
              <w:pStyle w:val="TableFigText"/>
              <w:jc w:val="right"/>
            </w:pPr>
            <w:r w:rsidRPr="00C17582">
              <w:t>0.0</w:t>
            </w:r>
          </w:p>
        </w:tc>
        <w:tc>
          <w:tcPr>
            <w:tcW w:w="1059" w:type="dxa"/>
            <w:vAlign w:val="bottom"/>
          </w:tcPr>
          <w:p w:rsidR="00DD759E" w:rsidRPr="00C17582" w:rsidRDefault="00DD759E" w:rsidP="000031E2">
            <w:pPr>
              <w:pStyle w:val="TableFigText"/>
              <w:jc w:val="right"/>
            </w:pPr>
            <w:r w:rsidRPr="00C17582">
              <w:t>96.8</w:t>
            </w:r>
          </w:p>
        </w:tc>
      </w:tr>
      <w:tr w:rsidR="00DD759E" w:rsidRPr="00B476FB" w:rsidTr="00987128">
        <w:tc>
          <w:tcPr>
            <w:tcW w:w="2406" w:type="dxa"/>
          </w:tcPr>
          <w:p w:rsidR="00DD759E" w:rsidRPr="00B476FB" w:rsidRDefault="00DD759E" w:rsidP="00987128">
            <w:pPr>
              <w:pStyle w:val="TableFigText"/>
              <w:keepNext/>
              <w:rPr>
                <w:rFonts w:asciiTheme="minorHAnsi" w:hAnsiTheme="minorHAnsi" w:cstheme="minorHAnsi"/>
                <w:szCs w:val="22"/>
              </w:rPr>
            </w:pPr>
            <w:r w:rsidRPr="00B476FB">
              <w:rPr>
                <w:rFonts w:asciiTheme="minorHAnsi" w:hAnsiTheme="minorHAnsi" w:cstheme="minorHAnsi"/>
                <w:szCs w:val="22"/>
              </w:rPr>
              <w:t>Psychiatry registrars and trainees</w:t>
            </w:r>
          </w:p>
        </w:tc>
        <w:tc>
          <w:tcPr>
            <w:tcW w:w="1159" w:type="dxa"/>
            <w:vAlign w:val="bottom"/>
          </w:tcPr>
          <w:p w:rsidR="00DD759E" w:rsidRPr="00C17582" w:rsidRDefault="00DD759E" w:rsidP="000031E2">
            <w:pPr>
              <w:pStyle w:val="TableFigText"/>
              <w:jc w:val="right"/>
            </w:pPr>
            <w:r w:rsidRPr="00C17582">
              <w:t>104.2</w:t>
            </w:r>
          </w:p>
        </w:tc>
        <w:tc>
          <w:tcPr>
            <w:tcW w:w="1347" w:type="dxa"/>
            <w:vAlign w:val="bottom"/>
          </w:tcPr>
          <w:p w:rsidR="00DD759E" w:rsidRPr="00C17582" w:rsidRDefault="00DD759E" w:rsidP="000031E2">
            <w:pPr>
              <w:pStyle w:val="TableFigText"/>
              <w:jc w:val="right"/>
            </w:pPr>
            <w:r w:rsidRPr="00C17582">
              <w:t>0.0</w:t>
            </w:r>
          </w:p>
        </w:tc>
        <w:tc>
          <w:tcPr>
            <w:tcW w:w="1222" w:type="dxa"/>
            <w:vAlign w:val="bottom"/>
          </w:tcPr>
          <w:p w:rsidR="00DD759E" w:rsidRPr="00C17582" w:rsidRDefault="00DD759E" w:rsidP="000031E2">
            <w:pPr>
              <w:pStyle w:val="TableFigText"/>
              <w:jc w:val="right"/>
            </w:pPr>
            <w:r w:rsidRPr="00C17582">
              <w:t>0.0</w:t>
            </w:r>
          </w:p>
        </w:tc>
        <w:tc>
          <w:tcPr>
            <w:tcW w:w="1025" w:type="dxa"/>
            <w:vAlign w:val="bottom"/>
          </w:tcPr>
          <w:p w:rsidR="00DD759E" w:rsidRPr="00C17582" w:rsidRDefault="00DD759E" w:rsidP="000031E2">
            <w:pPr>
              <w:pStyle w:val="TableFigText"/>
              <w:jc w:val="right"/>
            </w:pPr>
            <w:r w:rsidRPr="00C17582">
              <w:t>0.0</w:t>
            </w:r>
          </w:p>
        </w:tc>
        <w:tc>
          <w:tcPr>
            <w:tcW w:w="1068" w:type="dxa"/>
            <w:vAlign w:val="bottom"/>
          </w:tcPr>
          <w:p w:rsidR="00DD759E" w:rsidRPr="00C17582" w:rsidRDefault="00DD759E" w:rsidP="000031E2">
            <w:pPr>
              <w:pStyle w:val="TableFigText"/>
              <w:jc w:val="right"/>
            </w:pPr>
            <w:r w:rsidRPr="00C17582">
              <w:t>0.0</w:t>
            </w:r>
          </w:p>
        </w:tc>
        <w:tc>
          <w:tcPr>
            <w:tcW w:w="1059" w:type="dxa"/>
            <w:vAlign w:val="bottom"/>
          </w:tcPr>
          <w:p w:rsidR="00DD759E" w:rsidRPr="00C17582" w:rsidRDefault="00DD759E" w:rsidP="000031E2">
            <w:pPr>
              <w:pStyle w:val="TableFigText"/>
              <w:jc w:val="right"/>
            </w:pPr>
            <w:r w:rsidRPr="00C17582">
              <w:t>104.2</w:t>
            </w:r>
          </w:p>
        </w:tc>
      </w:tr>
      <w:tr w:rsidR="00DD759E" w:rsidRPr="00B476FB" w:rsidTr="00987128">
        <w:tc>
          <w:tcPr>
            <w:tcW w:w="2406" w:type="dxa"/>
          </w:tcPr>
          <w:p w:rsidR="00DD759E" w:rsidRPr="00B476FB" w:rsidRDefault="00DD759E" w:rsidP="00987128">
            <w:pPr>
              <w:pStyle w:val="TableFigText"/>
              <w:keepNext/>
              <w:rPr>
                <w:rFonts w:asciiTheme="minorHAnsi" w:hAnsiTheme="minorHAnsi" w:cstheme="minorHAnsi"/>
                <w:szCs w:val="22"/>
              </w:rPr>
            </w:pPr>
            <w:r w:rsidRPr="00B476FB">
              <w:rPr>
                <w:rFonts w:asciiTheme="minorHAnsi" w:hAnsiTheme="minorHAnsi" w:cstheme="minorHAnsi"/>
                <w:szCs w:val="22"/>
              </w:rPr>
              <w:t>Other medical officers</w:t>
            </w:r>
          </w:p>
        </w:tc>
        <w:tc>
          <w:tcPr>
            <w:tcW w:w="1159" w:type="dxa"/>
            <w:vAlign w:val="bottom"/>
          </w:tcPr>
          <w:p w:rsidR="00DD759E" w:rsidRPr="00C17582" w:rsidRDefault="00DD759E" w:rsidP="000031E2">
            <w:pPr>
              <w:pStyle w:val="TableFigText"/>
              <w:jc w:val="right"/>
            </w:pPr>
            <w:r w:rsidRPr="00C17582">
              <w:t>16.8</w:t>
            </w:r>
          </w:p>
        </w:tc>
        <w:tc>
          <w:tcPr>
            <w:tcW w:w="1347" w:type="dxa"/>
            <w:vAlign w:val="bottom"/>
          </w:tcPr>
          <w:p w:rsidR="00DD759E" w:rsidRPr="00C17582" w:rsidRDefault="00DD759E" w:rsidP="000031E2">
            <w:pPr>
              <w:pStyle w:val="TableFigText"/>
              <w:jc w:val="right"/>
            </w:pPr>
            <w:r w:rsidRPr="00C17582">
              <w:t>0.0</w:t>
            </w:r>
          </w:p>
        </w:tc>
        <w:tc>
          <w:tcPr>
            <w:tcW w:w="1222" w:type="dxa"/>
            <w:vAlign w:val="bottom"/>
          </w:tcPr>
          <w:p w:rsidR="00DD759E" w:rsidRPr="00C17582" w:rsidRDefault="00DD759E" w:rsidP="000031E2">
            <w:pPr>
              <w:pStyle w:val="TableFigText"/>
              <w:jc w:val="right"/>
            </w:pPr>
            <w:r w:rsidRPr="00C17582">
              <w:t>0.0</w:t>
            </w:r>
          </w:p>
        </w:tc>
        <w:tc>
          <w:tcPr>
            <w:tcW w:w="1025" w:type="dxa"/>
            <w:vAlign w:val="bottom"/>
          </w:tcPr>
          <w:p w:rsidR="00DD759E" w:rsidRPr="00C17582" w:rsidRDefault="00DD759E" w:rsidP="000031E2">
            <w:pPr>
              <w:pStyle w:val="TableFigText"/>
              <w:jc w:val="right"/>
            </w:pPr>
            <w:r w:rsidRPr="00C17582">
              <w:t>0.0</w:t>
            </w:r>
          </w:p>
        </w:tc>
        <w:tc>
          <w:tcPr>
            <w:tcW w:w="1068" w:type="dxa"/>
            <w:vAlign w:val="bottom"/>
          </w:tcPr>
          <w:p w:rsidR="00DD759E" w:rsidRPr="00C17582" w:rsidRDefault="00DD759E" w:rsidP="000031E2">
            <w:pPr>
              <w:pStyle w:val="TableFigText"/>
              <w:jc w:val="right"/>
            </w:pPr>
            <w:r w:rsidRPr="00C17582">
              <w:t>0.0</w:t>
            </w:r>
          </w:p>
        </w:tc>
        <w:tc>
          <w:tcPr>
            <w:tcW w:w="1059" w:type="dxa"/>
            <w:vAlign w:val="bottom"/>
          </w:tcPr>
          <w:p w:rsidR="00DD759E" w:rsidRPr="00C17582" w:rsidRDefault="00DD759E" w:rsidP="000031E2">
            <w:pPr>
              <w:pStyle w:val="TableFigText"/>
              <w:jc w:val="right"/>
            </w:pPr>
            <w:r w:rsidRPr="00C17582">
              <w:t>16.8</w:t>
            </w:r>
          </w:p>
        </w:tc>
      </w:tr>
      <w:tr w:rsidR="00DD759E" w:rsidRPr="00B476FB" w:rsidTr="00987128">
        <w:tc>
          <w:tcPr>
            <w:tcW w:w="2406" w:type="dxa"/>
          </w:tcPr>
          <w:p w:rsidR="00DD759E" w:rsidRPr="00B476FB" w:rsidRDefault="00DD759E" w:rsidP="00987128">
            <w:pPr>
              <w:pStyle w:val="TableFigText"/>
              <w:keepNext/>
              <w:rPr>
                <w:rFonts w:asciiTheme="minorHAnsi" w:hAnsiTheme="minorHAnsi" w:cstheme="minorHAnsi"/>
                <w:szCs w:val="22"/>
              </w:rPr>
            </w:pPr>
            <w:r w:rsidRPr="00B476FB">
              <w:rPr>
                <w:rFonts w:asciiTheme="minorHAnsi" w:hAnsiTheme="minorHAnsi" w:cstheme="minorHAnsi"/>
                <w:szCs w:val="22"/>
              </w:rPr>
              <w:t>Psychologists</w:t>
            </w:r>
          </w:p>
        </w:tc>
        <w:tc>
          <w:tcPr>
            <w:tcW w:w="1159" w:type="dxa"/>
            <w:vAlign w:val="bottom"/>
          </w:tcPr>
          <w:p w:rsidR="00DD759E" w:rsidRPr="00C17582" w:rsidRDefault="00DD759E" w:rsidP="000031E2">
            <w:pPr>
              <w:pStyle w:val="TableFigText"/>
              <w:jc w:val="right"/>
            </w:pPr>
            <w:r w:rsidRPr="00C17582">
              <w:t>105.7</w:t>
            </w:r>
          </w:p>
        </w:tc>
        <w:tc>
          <w:tcPr>
            <w:tcW w:w="1347" w:type="dxa"/>
            <w:vAlign w:val="bottom"/>
          </w:tcPr>
          <w:p w:rsidR="00DD759E" w:rsidRPr="00C17582" w:rsidRDefault="00DD759E" w:rsidP="000031E2">
            <w:pPr>
              <w:pStyle w:val="TableFigText"/>
              <w:jc w:val="right"/>
            </w:pPr>
            <w:r w:rsidRPr="00C17582">
              <w:t>1.0</w:t>
            </w:r>
          </w:p>
        </w:tc>
        <w:tc>
          <w:tcPr>
            <w:tcW w:w="1222" w:type="dxa"/>
            <w:vAlign w:val="bottom"/>
          </w:tcPr>
          <w:p w:rsidR="00DD759E" w:rsidRPr="00C17582" w:rsidRDefault="00DD759E" w:rsidP="000031E2">
            <w:pPr>
              <w:pStyle w:val="TableFigText"/>
              <w:jc w:val="right"/>
            </w:pPr>
            <w:r w:rsidRPr="00C17582">
              <w:t>1.0</w:t>
            </w:r>
          </w:p>
        </w:tc>
        <w:tc>
          <w:tcPr>
            <w:tcW w:w="1025" w:type="dxa"/>
            <w:vAlign w:val="bottom"/>
          </w:tcPr>
          <w:p w:rsidR="00DD759E" w:rsidRPr="00C17582" w:rsidRDefault="00DD759E" w:rsidP="000031E2">
            <w:pPr>
              <w:pStyle w:val="TableFigText"/>
              <w:jc w:val="right"/>
            </w:pPr>
            <w:r w:rsidRPr="00C17582">
              <w:t>2.0</w:t>
            </w:r>
          </w:p>
        </w:tc>
        <w:tc>
          <w:tcPr>
            <w:tcW w:w="1068" w:type="dxa"/>
            <w:vAlign w:val="bottom"/>
          </w:tcPr>
          <w:p w:rsidR="00DD759E" w:rsidRPr="00C17582" w:rsidRDefault="00DD759E" w:rsidP="000031E2">
            <w:pPr>
              <w:pStyle w:val="TableFigText"/>
              <w:jc w:val="right"/>
            </w:pPr>
            <w:r w:rsidRPr="00C17582">
              <w:t>0.0</w:t>
            </w:r>
          </w:p>
        </w:tc>
        <w:tc>
          <w:tcPr>
            <w:tcW w:w="1059" w:type="dxa"/>
            <w:vAlign w:val="bottom"/>
          </w:tcPr>
          <w:p w:rsidR="00DD759E" w:rsidRPr="00C17582" w:rsidRDefault="00DD759E" w:rsidP="000031E2">
            <w:pPr>
              <w:pStyle w:val="TableFigText"/>
              <w:jc w:val="right"/>
            </w:pPr>
            <w:r w:rsidRPr="00C17582">
              <w:t>109.7</w:t>
            </w:r>
          </w:p>
        </w:tc>
      </w:tr>
      <w:tr w:rsidR="00DD759E" w:rsidRPr="00B476FB" w:rsidTr="00987128">
        <w:tc>
          <w:tcPr>
            <w:tcW w:w="2406" w:type="dxa"/>
          </w:tcPr>
          <w:p w:rsidR="00DD759E" w:rsidRPr="00B476FB" w:rsidRDefault="00DD759E" w:rsidP="00987128">
            <w:pPr>
              <w:pStyle w:val="TableFigText"/>
              <w:keepNext/>
              <w:rPr>
                <w:rFonts w:asciiTheme="minorHAnsi" w:hAnsiTheme="minorHAnsi" w:cstheme="minorHAnsi"/>
                <w:szCs w:val="22"/>
              </w:rPr>
            </w:pPr>
            <w:r w:rsidRPr="00B476FB">
              <w:rPr>
                <w:rFonts w:asciiTheme="minorHAnsi" w:hAnsiTheme="minorHAnsi" w:cstheme="minorHAnsi"/>
                <w:szCs w:val="22"/>
              </w:rPr>
              <w:t>Diagnostic and health professionals</w:t>
            </w:r>
            <w:r w:rsidRPr="00B476FB">
              <w:rPr>
                <w:rFonts w:asciiTheme="minorHAnsi" w:hAnsiTheme="minorHAnsi" w:cstheme="minorHAnsi"/>
                <w:szCs w:val="22"/>
                <w:vertAlign w:val="superscript"/>
              </w:rPr>
              <w:t>(b)</w:t>
            </w:r>
          </w:p>
        </w:tc>
        <w:tc>
          <w:tcPr>
            <w:tcW w:w="1159" w:type="dxa"/>
            <w:vAlign w:val="bottom"/>
          </w:tcPr>
          <w:p w:rsidR="00DD759E" w:rsidRPr="00C17582" w:rsidRDefault="00DD759E" w:rsidP="000031E2">
            <w:pPr>
              <w:pStyle w:val="TableFigText"/>
              <w:jc w:val="right"/>
            </w:pPr>
            <w:r w:rsidRPr="00C17582">
              <w:t>332.4</w:t>
            </w:r>
          </w:p>
        </w:tc>
        <w:tc>
          <w:tcPr>
            <w:tcW w:w="1347" w:type="dxa"/>
            <w:vAlign w:val="bottom"/>
          </w:tcPr>
          <w:p w:rsidR="00DD759E" w:rsidRPr="00C17582" w:rsidRDefault="00DD759E" w:rsidP="000031E2">
            <w:pPr>
              <w:pStyle w:val="TableFigText"/>
              <w:jc w:val="right"/>
            </w:pPr>
            <w:r w:rsidRPr="00C17582">
              <w:t>9.4</w:t>
            </w:r>
          </w:p>
        </w:tc>
        <w:tc>
          <w:tcPr>
            <w:tcW w:w="1222" w:type="dxa"/>
            <w:vAlign w:val="bottom"/>
          </w:tcPr>
          <w:p w:rsidR="00DD759E" w:rsidRPr="00C17582" w:rsidRDefault="00DD759E" w:rsidP="000031E2">
            <w:pPr>
              <w:pStyle w:val="TableFigText"/>
              <w:jc w:val="right"/>
            </w:pPr>
            <w:r w:rsidRPr="00C17582">
              <w:t>17.5</w:t>
            </w:r>
          </w:p>
        </w:tc>
        <w:tc>
          <w:tcPr>
            <w:tcW w:w="1025" w:type="dxa"/>
            <w:vAlign w:val="bottom"/>
          </w:tcPr>
          <w:p w:rsidR="00DD759E" w:rsidRPr="00C17582" w:rsidRDefault="00DD759E" w:rsidP="000031E2">
            <w:pPr>
              <w:pStyle w:val="TableFigText"/>
              <w:jc w:val="right"/>
            </w:pPr>
            <w:r w:rsidRPr="00C17582">
              <w:t>3.4</w:t>
            </w:r>
          </w:p>
        </w:tc>
        <w:tc>
          <w:tcPr>
            <w:tcW w:w="1068" w:type="dxa"/>
            <w:vAlign w:val="bottom"/>
          </w:tcPr>
          <w:p w:rsidR="00DD759E" w:rsidRPr="00C17582" w:rsidRDefault="00DD759E" w:rsidP="000031E2">
            <w:pPr>
              <w:pStyle w:val="TableFigText"/>
              <w:jc w:val="right"/>
            </w:pPr>
            <w:r w:rsidRPr="00C17582">
              <w:t>0.6</w:t>
            </w:r>
          </w:p>
        </w:tc>
        <w:tc>
          <w:tcPr>
            <w:tcW w:w="1059" w:type="dxa"/>
            <w:vAlign w:val="bottom"/>
          </w:tcPr>
          <w:p w:rsidR="00DD759E" w:rsidRPr="00C17582" w:rsidRDefault="00DD759E" w:rsidP="000031E2">
            <w:pPr>
              <w:pStyle w:val="TableFigText"/>
              <w:jc w:val="right"/>
            </w:pPr>
            <w:r w:rsidRPr="00C17582">
              <w:t>363.4</w:t>
            </w:r>
          </w:p>
        </w:tc>
      </w:tr>
      <w:tr w:rsidR="00DD759E" w:rsidRPr="00B476FB" w:rsidTr="00987128">
        <w:tc>
          <w:tcPr>
            <w:tcW w:w="2406" w:type="dxa"/>
          </w:tcPr>
          <w:p w:rsidR="00DD759E" w:rsidRPr="00B476FB" w:rsidRDefault="00DD759E" w:rsidP="00987128">
            <w:pPr>
              <w:pStyle w:val="TableFigText"/>
              <w:keepNext/>
              <w:rPr>
                <w:rFonts w:asciiTheme="minorHAnsi" w:hAnsiTheme="minorHAnsi" w:cstheme="minorHAnsi"/>
                <w:szCs w:val="22"/>
              </w:rPr>
            </w:pPr>
            <w:r w:rsidRPr="00B476FB">
              <w:rPr>
                <w:rFonts w:asciiTheme="minorHAnsi" w:hAnsiTheme="minorHAnsi" w:cstheme="minorHAnsi"/>
                <w:szCs w:val="22"/>
              </w:rPr>
              <w:t>Nurses</w:t>
            </w:r>
            <w:r w:rsidRPr="00B476FB">
              <w:rPr>
                <w:rFonts w:asciiTheme="minorHAnsi" w:hAnsiTheme="minorHAnsi" w:cstheme="minorHAnsi"/>
                <w:szCs w:val="22"/>
                <w:vertAlign w:val="superscript"/>
              </w:rPr>
              <w:t>(c)</w:t>
            </w:r>
          </w:p>
        </w:tc>
        <w:tc>
          <w:tcPr>
            <w:tcW w:w="1159" w:type="dxa"/>
            <w:vAlign w:val="bottom"/>
          </w:tcPr>
          <w:p w:rsidR="00DD759E" w:rsidRPr="00C17582" w:rsidRDefault="00DD759E" w:rsidP="000031E2">
            <w:pPr>
              <w:pStyle w:val="TableFigText"/>
              <w:jc w:val="right"/>
            </w:pPr>
            <w:r w:rsidRPr="00C17582">
              <w:t>1,187.5</w:t>
            </w:r>
          </w:p>
        </w:tc>
        <w:tc>
          <w:tcPr>
            <w:tcW w:w="1347" w:type="dxa"/>
            <w:vAlign w:val="bottom"/>
          </w:tcPr>
          <w:p w:rsidR="00DD759E" w:rsidRPr="00C17582" w:rsidRDefault="00DD759E" w:rsidP="000031E2">
            <w:pPr>
              <w:pStyle w:val="TableFigText"/>
              <w:jc w:val="right"/>
            </w:pPr>
            <w:r w:rsidRPr="00C17582">
              <w:t>15.2</w:t>
            </w:r>
          </w:p>
        </w:tc>
        <w:tc>
          <w:tcPr>
            <w:tcW w:w="1222" w:type="dxa"/>
            <w:vAlign w:val="bottom"/>
          </w:tcPr>
          <w:p w:rsidR="00DD759E" w:rsidRPr="00C17582" w:rsidRDefault="00DD759E" w:rsidP="000031E2">
            <w:pPr>
              <w:pStyle w:val="TableFigText"/>
              <w:jc w:val="right"/>
            </w:pPr>
            <w:r w:rsidRPr="00C17582">
              <w:t>32.1</w:t>
            </w:r>
          </w:p>
        </w:tc>
        <w:tc>
          <w:tcPr>
            <w:tcW w:w="1025" w:type="dxa"/>
            <w:vAlign w:val="bottom"/>
          </w:tcPr>
          <w:p w:rsidR="00DD759E" w:rsidRPr="00C17582" w:rsidRDefault="00DD759E" w:rsidP="000031E2">
            <w:pPr>
              <w:pStyle w:val="TableFigText"/>
              <w:jc w:val="right"/>
            </w:pPr>
            <w:r w:rsidRPr="00C17582">
              <w:t>7.9</w:t>
            </w:r>
          </w:p>
        </w:tc>
        <w:tc>
          <w:tcPr>
            <w:tcW w:w="1068" w:type="dxa"/>
            <w:vAlign w:val="bottom"/>
          </w:tcPr>
          <w:p w:rsidR="00DD759E" w:rsidRPr="00C17582" w:rsidRDefault="00DD759E" w:rsidP="000031E2">
            <w:pPr>
              <w:pStyle w:val="TableFigText"/>
              <w:jc w:val="right"/>
            </w:pPr>
            <w:r w:rsidRPr="00C17582">
              <w:t>0.0</w:t>
            </w:r>
          </w:p>
        </w:tc>
        <w:tc>
          <w:tcPr>
            <w:tcW w:w="1059" w:type="dxa"/>
            <w:vAlign w:val="bottom"/>
          </w:tcPr>
          <w:p w:rsidR="00DD759E" w:rsidRPr="00C17582" w:rsidRDefault="00DD759E" w:rsidP="000031E2">
            <w:pPr>
              <w:pStyle w:val="TableFigText"/>
              <w:jc w:val="right"/>
            </w:pPr>
            <w:r w:rsidRPr="00C17582">
              <w:t>1,242.7</w:t>
            </w:r>
          </w:p>
        </w:tc>
      </w:tr>
      <w:tr w:rsidR="00DD759E" w:rsidRPr="00B476FB" w:rsidTr="00987128">
        <w:tc>
          <w:tcPr>
            <w:tcW w:w="2406" w:type="dxa"/>
          </w:tcPr>
          <w:p w:rsidR="00DD759E" w:rsidRPr="00B476FB" w:rsidRDefault="00DD759E" w:rsidP="00987128">
            <w:pPr>
              <w:pStyle w:val="TableFigText"/>
              <w:keepNext/>
              <w:rPr>
                <w:rFonts w:asciiTheme="minorHAnsi" w:hAnsiTheme="minorHAnsi" w:cstheme="minorHAnsi"/>
                <w:szCs w:val="22"/>
              </w:rPr>
            </w:pPr>
            <w:r w:rsidRPr="00B476FB">
              <w:rPr>
                <w:rFonts w:asciiTheme="minorHAnsi" w:hAnsiTheme="minorHAnsi" w:cstheme="minorHAnsi"/>
                <w:szCs w:val="22"/>
              </w:rPr>
              <w:t>Carer workers</w:t>
            </w:r>
            <w:r w:rsidRPr="00B476FB">
              <w:rPr>
                <w:rFonts w:asciiTheme="minorHAnsi" w:hAnsiTheme="minorHAnsi" w:cstheme="minorHAnsi"/>
                <w:szCs w:val="22"/>
                <w:vertAlign w:val="superscript"/>
              </w:rPr>
              <w:t>(d)</w:t>
            </w:r>
          </w:p>
        </w:tc>
        <w:tc>
          <w:tcPr>
            <w:tcW w:w="1159" w:type="dxa"/>
            <w:vAlign w:val="bottom"/>
          </w:tcPr>
          <w:p w:rsidR="00DD759E" w:rsidRPr="00C17582" w:rsidRDefault="00DD759E" w:rsidP="000031E2">
            <w:pPr>
              <w:pStyle w:val="TableFigText"/>
              <w:jc w:val="right"/>
            </w:pPr>
            <w:r w:rsidRPr="00C17582">
              <w:t>1.8</w:t>
            </w:r>
          </w:p>
        </w:tc>
        <w:tc>
          <w:tcPr>
            <w:tcW w:w="1347" w:type="dxa"/>
            <w:vAlign w:val="bottom"/>
          </w:tcPr>
          <w:p w:rsidR="00DD759E" w:rsidRPr="00C17582" w:rsidRDefault="00DD759E" w:rsidP="000031E2">
            <w:pPr>
              <w:pStyle w:val="TableFigText"/>
              <w:jc w:val="right"/>
            </w:pPr>
            <w:r w:rsidRPr="00C17582">
              <w:t>0.0</w:t>
            </w:r>
          </w:p>
        </w:tc>
        <w:tc>
          <w:tcPr>
            <w:tcW w:w="1222" w:type="dxa"/>
            <w:vAlign w:val="bottom"/>
          </w:tcPr>
          <w:p w:rsidR="00DD759E" w:rsidRPr="00C17582" w:rsidRDefault="00DD759E" w:rsidP="000031E2">
            <w:pPr>
              <w:pStyle w:val="TableFigText"/>
              <w:jc w:val="right"/>
            </w:pPr>
            <w:r w:rsidRPr="00C17582">
              <w:t>0.0</w:t>
            </w:r>
          </w:p>
        </w:tc>
        <w:tc>
          <w:tcPr>
            <w:tcW w:w="1025" w:type="dxa"/>
            <w:vAlign w:val="bottom"/>
          </w:tcPr>
          <w:p w:rsidR="00DD759E" w:rsidRPr="00C17582" w:rsidRDefault="00DD759E" w:rsidP="000031E2">
            <w:pPr>
              <w:pStyle w:val="TableFigText"/>
              <w:jc w:val="right"/>
            </w:pPr>
            <w:r w:rsidRPr="00C17582">
              <w:t>0.0</w:t>
            </w:r>
          </w:p>
        </w:tc>
        <w:tc>
          <w:tcPr>
            <w:tcW w:w="1068" w:type="dxa"/>
            <w:vAlign w:val="bottom"/>
          </w:tcPr>
          <w:p w:rsidR="00DD759E" w:rsidRPr="00C17582" w:rsidRDefault="00DD759E" w:rsidP="000031E2">
            <w:pPr>
              <w:pStyle w:val="TableFigText"/>
              <w:jc w:val="right"/>
            </w:pPr>
            <w:r w:rsidRPr="00C17582">
              <w:t>0.0</w:t>
            </w:r>
          </w:p>
        </w:tc>
        <w:tc>
          <w:tcPr>
            <w:tcW w:w="1059" w:type="dxa"/>
            <w:vAlign w:val="bottom"/>
          </w:tcPr>
          <w:p w:rsidR="00DD759E" w:rsidRPr="00C17582" w:rsidRDefault="00DD759E" w:rsidP="000031E2">
            <w:pPr>
              <w:pStyle w:val="TableFigText"/>
              <w:jc w:val="right"/>
            </w:pPr>
            <w:r w:rsidRPr="00C17582">
              <w:t>1.8</w:t>
            </w:r>
          </w:p>
        </w:tc>
      </w:tr>
      <w:tr w:rsidR="00DD759E" w:rsidRPr="00B476FB" w:rsidTr="00987128">
        <w:tc>
          <w:tcPr>
            <w:tcW w:w="2406" w:type="dxa"/>
          </w:tcPr>
          <w:p w:rsidR="00DD759E" w:rsidRPr="00B476FB" w:rsidRDefault="00DD759E" w:rsidP="00987128">
            <w:pPr>
              <w:pStyle w:val="TableFigText"/>
              <w:keepNext/>
              <w:rPr>
                <w:rFonts w:asciiTheme="minorHAnsi" w:hAnsiTheme="minorHAnsi" w:cstheme="minorHAnsi"/>
                <w:szCs w:val="22"/>
              </w:rPr>
            </w:pPr>
            <w:r w:rsidRPr="00B476FB">
              <w:rPr>
                <w:rFonts w:asciiTheme="minorHAnsi" w:hAnsiTheme="minorHAnsi" w:cstheme="minorHAnsi"/>
                <w:szCs w:val="22"/>
              </w:rPr>
              <w:t>Consumer workers</w:t>
            </w:r>
            <w:r w:rsidRPr="00B476FB">
              <w:rPr>
                <w:rFonts w:asciiTheme="minorHAnsi" w:hAnsiTheme="minorHAnsi" w:cstheme="minorHAnsi"/>
                <w:szCs w:val="22"/>
                <w:vertAlign w:val="superscript"/>
              </w:rPr>
              <w:t>(d)</w:t>
            </w:r>
          </w:p>
        </w:tc>
        <w:tc>
          <w:tcPr>
            <w:tcW w:w="1159" w:type="dxa"/>
            <w:vAlign w:val="bottom"/>
          </w:tcPr>
          <w:p w:rsidR="00DD759E" w:rsidRPr="00C17582" w:rsidRDefault="00DD759E" w:rsidP="000031E2">
            <w:pPr>
              <w:pStyle w:val="TableFigText"/>
              <w:jc w:val="right"/>
            </w:pPr>
            <w:r w:rsidRPr="00C17582">
              <w:t>4.7</w:t>
            </w:r>
          </w:p>
        </w:tc>
        <w:tc>
          <w:tcPr>
            <w:tcW w:w="1347" w:type="dxa"/>
            <w:vAlign w:val="bottom"/>
          </w:tcPr>
          <w:p w:rsidR="00DD759E" w:rsidRPr="00C17582" w:rsidRDefault="00DD759E" w:rsidP="000031E2">
            <w:pPr>
              <w:pStyle w:val="TableFigText"/>
              <w:jc w:val="right"/>
            </w:pPr>
            <w:r w:rsidRPr="00C17582">
              <w:t>0.0</w:t>
            </w:r>
          </w:p>
        </w:tc>
        <w:tc>
          <w:tcPr>
            <w:tcW w:w="1222" w:type="dxa"/>
            <w:vAlign w:val="bottom"/>
          </w:tcPr>
          <w:p w:rsidR="00DD759E" w:rsidRPr="00C17582" w:rsidRDefault="00DD759E" w:rsidP="000031E2">
            <w:pPr>
              <w:pStyle w:val="TableFigText"/>
              <w:jc w:val="right"/>
            </w:pPr>
            <w:r w:rsidRPr="00C17582">
              <w:t>0.0</w:t>
            </w:r>
          </w:p>
        </w:tc>
        <w:tc>
          <w:tcPr>
            <w:tcW w:w="1025" w:type="dxa"/>
            <w:vAlign w:val="bottom"/>
          </w:tcPr>
          <w:p w:rsidR="00DD759E" w:rsidRPr="00C17582" w:rsidRDefault="00DD759E" w:rsidP="000031E2">
            <w:pPr>
              <w:pStyle w:val="TableFigText"/>
              <w:jc w:val="right"/>
            </w:pPr>
            <w:r w:rsidRPr="00C17582">
              <w:t>0.0</w:t>
            </w:r>
          </w:p>
        </w:tc>
        <w:tc>
          <w:tcPr>
            <w:tcW w:w="1068" w:type="dxa"/>
            <w:vAlign w:val="bottom"/>
          </w:tcPr>
          <w:p w:rsidR="00DD759E" w:rsidRPr="00C17582" w:rsidRDefault="00DD759E" w:rsidP="000031E2">
            <w:pPr>
              <w:pStyle w:val="TableFigText"/>
              <w:jc w:val="right"/>
            </w:pPr>
            <w:r w:rsidRPr="00C17582">
              <w:t>0.0</w:t>
            </w:r>
          </w:p>
        </w:tc>
        <w:tc>
          <w:tcPr>
            <w:tcW w:w="1059" w:type="dxa"/>
            <w:vAlign w:val="bottom"/>
          </w:tcPr>
          <w:p w:rsidR="00DD759E" w:rsidRPr="00C17582" w:rsidRDefault="00DD759E" w:rsidP="000031E2">
            <w:pPr>
              <w:pStyle w:val="TableFigText"/>
              <w:jc w:val="right"/>
            </w:pPr>
            <w:r w:rsidRPr="00C17582">
              <w:t>4.7</w:t>
            </w:r>
          </w:p>
        </w:tc>
      </w:tr>
      <w:tr w:rsidR="00DD759E" w:rsidRPr="00B476FB" w:rsidTr="00987128">
        <w:tc>
          <w:tcPr>
            <w:tcW w:w="2406" w:type="dxa"/>
          </w:tcPr>
          <w:p w:rsidR="00DD759E" w:rsidRPr="00B476FB" w:rsidRDefault="00DD759E" w:rsidP="00987128">
            <w:pPr>
              <w:pStyle w:val="TableFigText"/>
              <w:keepNext/>
              <w:rPr>
                <w:rFonts w:asciiTheme="minorHAnsi" w:hAnsiTheme="minorHAnsi" w:cstheme="minorHAnsi"/>
                <w:szCs w:val="22"/>
              </w:rPr>
            </w:pPr>
            <w:r w:rsidRPr="00B476FB">
              <w:rPr>
                <w:rFonts w:asciiTheme="minorHAnsi" w:hAnsiTheme="minorHAnsi" w:cstheme="minorHAnsi"/>
                <w:szCs w:val="22"/>
              </w:rPr>
              <w:t>Other personal care</w:t>
            </w:r>
            <w:r w:rsidRPr="00B476FB">
              <w:rPr>
                <w:rFonts w:asciiTheme="minorHAnsi" w:hAnsiTheme="minorHAnsi" w:cstheme="minorHAnsi"/>
                <w:szCs w:val="22"/>
                <w:vertAlign w:val="superscript"/>
              </w:rPr>
              <w:t>(e)</w:t>
            </w:r>
          </w:p>
        </w:tc>
        <w:tc>
          <w:tcPr>
            <w:tcW w:w="1159" w:type="dxa"/>
            <w:vAlign w:val="bottom"/>
          </w:tcPr>
          <w:p w:rsidR="00DD759E" w:rsidRPr="00C17582" w:rsidRDefault="00DD759E" w:rsidP="000031E2">
            <w:pPr>
              <w:pStyle w:val="TableFigText"/>
              <w:jc w:val="right"/>
            </w:pPr>
            <w:r w:rsidRPr="00C17582">
              <w:t>14.1</w:t>
            </w:r>
          </w:p>
        </w:tc>
        <w:tc>
          <w:tcPr>
            <w:tcW w:w="1347" w:type="dxa"/>
            <w:vAlign w:val="bottom"/>
          </w:tcPr>
          <w:p w:rsidR="00DD759E" w:rsidRPr="00C17582" w:rsidRDefault="00DD759E" w:rsidP="000031E2">
            <w:pPr>
              <w:pStyle w:val="TableFigText"/>
              <w:jc w:val="right"/>
            </w:pPr>
            <w:r w:rsidRPr="00C17582">
              <w:t>3.1</w:t>
            </w:r>
          </w:p>
        </w:tc>
        <w:tc>
          <w:tcPr>
            <w:tcW w:w="1222" w:type="dxa"/>
            <w:vAlign w:val="bottom"/>
          </w:tcPr>
          <w:p w:rsidR="00DD759E" w:rsidRPr="00C17582" w:rsidRDefault="00DD759E" w:rsidP="000031E2">
            <w:pPr>
              <w:pStyle w:val="TableFigText"/>
              <w:jc w:val="right"/>
            </w:pPr>
            <w:r w:rsidRPr="00C17582">
              <w:t>5.9</w:t>
            </w:r>
          </w:p>
        </w:tc>
        <w:tc>
          <w:tcPr>
            <w:tcW w:w="1025" w:type="dxa"/>
            <w:vAlign w:val="bottom"/>
          </w:tcPr>
          <w:p w:rsidR="00DD759E" w:rsidRPr="00C17582" w:rsidRDefault="00DD759E" w:rsidP="000031E2">
            <w:pPr>
              <w:pStyle w:val="TableFigText"/>
              <w:jc w:val="right"/>
            </w:pPr>
            <w:r w:rsidRPr="00C17582">
              <w:t>0.0</w:t>
            </w:r>
          </w:p>
        </w:tc>
        <w:tc>
          <w:tcPr>
            <w:tcW w:w="1068" w:type="dxa"/>
            <w:vAlign w:val="bottom"/>
          </w:tcPr>
          <w:p w:rsidR="00DD759E" w:rsidRPr="00C17582" w:rsidRDefault="00DD759E" w:rsidP="000031E2">
            <w:pPr>
              <w:pStyle w:val="TableFigText"/>
              <w:jc w:val="right"/>
            </w:pPr>
            <w:r w:rsidRPr="00C17582">
              <w:t>0.0</w:t>
            </w:r>
          </w:p>
        </w:tc>
        <w:tc>
          <w:tcPr>
            <w:tcW w:w="1059" w:type="dxa"/>
            <w:vAlign w:val="bottom"/>
          </w:tcPr>
          <w:p w:rsidR="00DD759E" w:rsidRPr="00C17582" w:rsidRDefault="00DD759E" w:rsidP="000031E2">
            <w:pPr>
              <w:pStyle w:val="TableFigText"/>
              <w:jc w:val="right"/>
            </w:pPr>
            <w:r w:rsidRPr="00C17582">
              <w:t>23.1</w:t>
            </w:r>
          </w:p>
        </w:tc>
      </w:tr>
      <w:tr w:rsidR="00DD759E" w:rsidRPr="00B476FB" w:rsidTr="00987128">
        <w:tc>
          <w:tcPr>
            <w:tcW w:w="2406" w:type="dxa"/>
          </w:tcPr>
          <w:p w:rsidR="00DD759E" w:rsidRPr="00B476FB" w:rsidRDefault="00DD759E" w:rsidP="00987128">
            <w:pPr>
              <w:pStyle w:val="TableFigText"/>
              <w:keepNext/>
              <w:rPr>
                <w:rFonts w:asciiTheme="minorHAnsi" w:hAnsiTheme="minorHAnsi" w:cstheme="minorHAnsi"/>
                <w:szCs w:val="22"/>
              </w:rPr>
            </w:pPr>
            <w:r w:rsidRPr="00B476FB">
              <w:rPr>
                <w:rFonts w:asciiTheme="minorHAnsi" w:hAnsiTheme="minorHAnsi" w:cstheme="minorHAnsi"/>
                <w:szCs w:val="22"/>
              </w:rPr>
              <w:t>Other staffing categories</w:t>
            </w:r>
            <w:r w:rsidRPr="00B476FB">
              <w:rPr>
                <w:rFonts w:asciiTheme="minorHAnsi" w:hAnsiTheme="minorHAnsi" w:cstheme="minorHAnsi"/>
                <w:szCs w:val="22"/>
                <w:vertAlign w:val="superscript"/>
              </w:rPr>
              <w:t>(f)</w:t>
            </w:r>
          </w:p>
        </w:tc>
        <w:tc>
          <w:tcPr>
            <w:tcW w:w="1159" w:type="dxa"/>
            <w:vAlign w:val="bottom"/>
          </w:tcPr>
          <w:p w:rsidR="00DD759E" w:rsidRPr="00C17582" w:rsidRDefault="00DD759E" w:rsidP="000031E2">
            <w:pPr>
              <w:pStyle w:val="TableFigText"/>
              <w:jc w:val="right"/>
            </w:pPr>
            <w:r w:rsidRPr="00C17582">
              <w:t>469.5</w:t>
            </w:r>
          </w:p>
        </w:tc>
        <w:tc>
          <w:tcPr>
            <w:tcW w:w="1347" w:type="dxa"/>
            <w:vAlign w:val="bottom"/>
          </w:tcPr>
          <w:p w:rsidR="00DD759E" w:rsidRPr="00C17582" w:rsidRDefault="00DD759E" w:rsidP="000031E2">
            <w:pPr>
              <w:pStyle w:val="TableFigText"/>
              <w:jc w:val="right"/>
            </w:pPr>
            <w:r w:rsidRPr="00C17582">
              <w:t>5.6</w:t>
            </w:r>
          </w:p>
        </w:tc>
        <w:tc>
          <w:tcPr>
            <w:tcW w:w="1222" w:type="dxa"/>
            <w:vAlign w:val="bottom"/>
          </w:tcPr>
          <w:p w:rsidR="00DD759E" w:rsidRPr="00C17582" w:rsidRDefault="00DD759E" w:rsidP="000031E2">
            <w:pPr>
              <w:pStyle w:val="TableFigText"/>
              <w:jc w:val="right"/>
            </w:pPr>
            <w:r w:rsidRPr="00C17582">
              <w:t>5.5</w:t>
            </w:r>
          </w:p>
        </w:tc>
        <w:tc>
          <w:tcPr>
            <w:tcW w:w="1025" w:type="dxa"/>
            <w:vAlign w:val="bottom"/>
          </w:tcPr>
          <w:p w:rsidR="00DD759E" w:rsidRPr="00C17582" w:rsidRDefault="00DD759E" w:rsidP="000031E2">
            <w:pPr>
              <w:pStyle w:val="TableFigText"/>
              <w:jc w:val="right"/>
            </w:pPr>
            <w:r w:rsidRPr="00C17582">
              <w:t>3.0</w:t>
            </w:r>
          </w:p>
        </w:tc>
        <w:tc>
          <w:tcPr>
            <w:tcW w:w="1068" w:type="dxa"/>
            <w:vAlign w:val="bottom"/>
          </w:tcPr>
          <w:p w:rsidR="00DD759E" w:rsidRPr="00C17582" w:rsidRDefault="00DD759E" w:rsidP="000031E2">
            <w:pPr>
              <w:pStyle w:val="TableFigText"/>
              <w:jc w:val="right"/>
            </w:pPr>
            <w:r w:rsidRPr="00C17582">
              <w:t>0.0</w:t>
            </w:r>
          </w:p>
        </w:tc>
        <w:tc>
          <w:tcPr>
            <w:tcW w:w="1059" w:type="dxa"/>
            <w:vAlign w:val="bottom"/>
          </w:tcPr>
          <w:p w:rsidR="00DD759E" w:rsidRPr="00C17582" w:rsidRDefault="00DD759E" w:rsidP="000031E2">
            <w:pPr>
              <w:pStyle w:val="TableFigText"/>
              <w:jc w:val="right"/>
            </w:pPr>
            <w:r w:rsidRPr="00C17582">
              <w:t>483.6</w:t>
            </w:r>
          </w:p>
        </w:tc>
      </w:tr>
      <w:tr w:rsidR="00DD759E" w:rsidRPr="00B476FB" w:rsidTr="00987128">
        <w:tc>
          <w:tcPr>
            <w:tcW w:w="2406" w:type="dxa"/>
          </w:tcPr>
          <w:p w:rsidR="00DD759E" w:rsidRPr="00B476FB" w:rsidRDefault="00DD759E" w:rsidP="00987128">
            <w:pPr>
              <w:pStyle w:val="TableFigText"/>
              <w:keepNext/>
              <w:rPr>
                <w:rFonts w:asciiTheme="minorHAnsi" w:hAnsiTheme="minorHAnsi" w:cstheme="minorHAnsi"/>
                <w:b/>
                <w:szCs w:val="22"/>
              </w:rPr>
            </w:pPr>
            <w:r w:rsidRPr="00B476FB">
              <w:rPr>
                <w:rFonts w:asciiTheme="minorHAnsi" w:hAnsiTheme="minorHAnsi" w:cstheme="minorHAnsi"/>
                <w:b/>
                <w:szCs w:val="22"/>
              </w:rPr>
              <w:t>Total</w:t>
            </w:r>
            <w:r w:rsidRPr="00B476FB">
              <w:rPr>
                <w:rFonts w:asciiTheme="minorHAnsi" w:hAnsiTheme="minorHAnsi" w:cstheme="minorHAnsi"/>
                <w:b/>
                <w:szCs w:val="22"/>
                <w:vertAlign w:val="superscript"/>
              </w:rPr>
              <w:t>(a)</w:t>
            </w:r>
          </w:p>
        </w:tc>
        <w:tc>
          <w:tcPr>
            <w:tcW w:w="1159" w:type="dxa"/>
            <w:vAlign w:val="bottom"/>
          </w:tcPr>
          <w:p w:rsidR="00DD759E" w:rsidRPr="000031E2" w:rsidRDefault="00DD759E" w:rsidP="000031E2">
            <w:pPr>
              <w:pStyle w:val="TableFigText"/>
              <w:jc w:val="right"/>
              <w:rPr>
                <w:b/>
              </w:rPr>
            </w:pPr>
            <w:r w:rsidRPr="000031E2">
              <w:rPr>
                <w:b/>
              </w:rPr>
              <w:t>2,333.3</w:t>
            </w:r>
          </w:p>
        </w:tc>
        <w:tc>
          <w:tcPr>
            <w:tcW w:w="1347" w:type="dxa"/>
            <w:vAlign w:val="bottom"/>
          </w:tcPr>
          <w:p w:rsidR="00DD759E" w:rsidRPr="000031E2" w:rsidRDefault="00DD759E" w:rsidP="000031E2">
            <w:pPr>
              <w:pStyle w:val="TableFigText"/>
              <w:jc w:val="right"/>
              <w:rPr>
                <w:b/>
              </w:rPr>
            </w:pPr>
            <w:r w:rsidRPr="000031E2">
              <w:rPr>
                <w:b/>
              </w:rPr>
              <w:t>34.6</w:t>
            </w:r>
          </w:p>
        </w:tc>
        <w:tc>
          <w:tcPr>
            <w:tcW w:w="1222" w:type="dxa"/>
            <w:vAlign w:val="bottom"/>
          </w:tcPr>
          <w:p w:rsidR="00DD759E" w:rsidRPr="000031E2" w:rsidRDefault="00DD759E" w:rsidP="000031E2">
            <w:pPr>
              <w:pStyle w:val="TableFigText"/>
              <w:jc w:val="right"/>
              <w:rPr>
                <w:b/>
              </w:rPr>
            </w:pPr>
            <w:r w:rsidRPr="000031E2">
              <w:rPr>
                <w:b/>
              </w:rPr>
              <w:t>62.0</w:t>
            </w:r>
          </w:p>
        </w:tc>
        <w:tc>
          <w:tcPr>
            <w:tcW w:w="1025" w:type="dxa"/>
            <w:vAlign w:val="bottom"/>
          </w:tcPr>
          <w:p w:rsidR="00DD759E" w:rsidRPr="000031E2" w:rsidRDefault="00DD759E" w:rsidP="000031E2">
            <w:pPr>
              <w:pStyle w:val="TableFigText"/>
              <w:jc w:val="right"/>
              <w:rPr>
                <w:b/>
              </w:rPr>
            </w:pPr>
            <w:r w:rsidRPr="000031E2">
              <w:rPr>
                <w:b/>
              </w:rPr>
              <w:t>16.3</w:t>
            </w:r>
          </w:p>
        </w:tc>
        <w:tc>
          <w:tcPr>
            <w:tcW w:w="1068" w:type="dxa"/>
            <w:vAlign w:val="bottom"/>
          </w:tcPr>
          <w:p w:rsidR="00DD759E" w:rsidRPr="000031E2" w:rsidRDefault="00DD759E" w:rsidP="000031E2">
            <w:pPr>
              <w:pStyle w:val="TableFigText"/>
              <w:jc w:val="right"/>
              <w:rPr>
                <w:b/>
              </w:rPr>
            </w:pPr>
            <w:r w:rsidRPr="000031E2">
              <w:rPr>
                <w:b/>
              </w:rPr>
              <w:t>0.6</w:t>
            </w:r>
          </w:p>
        </w:tc>
        <w:tc>
          <w:tcPr>
            <w:tcW w:w="1059" w:type="dxa"/>
            <w:vAlign w:val="bottom"/>
          </w:tcPr>
          <w:p w:rsidR="00DD759E" w:rsidRPr="000031E2" w:rsidRDefault="00DD759E" w:rsidP="000031E2">
            <w:pPr>
              <w:pStyle w:val="TableFigText"/>
              <w:jc w:val="right"/>
              <w:rPr>
                <w:b/>
              </w:rPr>
            </w:pPr>
            <w:r w:rsidRPr="000031E2">
              <w:rPr>
                <w:b/>
              </w:rPr>
              <w:t>2,446.8</w:t>
            </w:r>
          </w:p>
        </w:tc>
      </w:tr>
    </w:tbl>
    <w:p w:rsidR="00DD759E" w:rsidRPr="00FA0B63" w:rsidRDefault="00DD759E" w:rsidP="00540186">
      <w:pPr>
        <w:pStyle w:val="TableFigNotesnumbered"/>
        <w:numPr>
          <w:ilvl w:val="0"/>
          <w:numId w:val="87"/>
        </w:numPr>
        <w:rPr>
          <w:rStyle w:val="table-note"/>
        </w:rPr>
      </w:pPr>
      <w:r w:rsidRPr="00FA0B63">
        <w:rPr>
          <w:rStyle w:val="table-note"/>
        </w:rPr>
        <w:t>Totals may not add due to rounding.</w:t>
      </w:r>
    </w:p>
    <w:p w:rsidR="00DD759E" w:rsidRPr="00FA0B63" w:rsidRDefault="00DD759E" w:rsidP="00540186">
      <w:pPr>
        <w:pStyle w:val="TableFigNotesnumbered"/>
        <w:numPr>
          <w:ilvl w:val="0"/>
          <w:numId w:val="87"/>
        </w:numPr>
        <w:rPr>
          <w:rStyle w:val="table-note"/>
        </w:rPr>
      </w:pPr>
      <w:r w:rsidRPr="00FA0B63">
        <w:rPr>
          <w:rStyle w:val="table-note"/>
        </w:rPr>
        <w:t>Diagnostic and health professionals includes qualified staff (other than qualified medical or nursing staff) engaged in duties of a diagnostic, professional or technical nature and covers all allied health professionals and laboratory technicians, including Social Workers, Occupational Therapists and others  (</w:t>
      </w:r>
      <w:proofErr w:type="spellStart"/>
      <w:r w:rsidRPr="00FA0B63">
        <w:rPr>
          <w:rStyle w:val="table-note"/>
        </w:rPr>
        <w:t>METeOR</w:t>
      </w:r>
      <w:proofErr w:type="spellEnd"/>
      <w:r w:rsidRPr="00FA0B63">
        <w:rPr>
          <w:rStyle w:val="table-note"/>
        </w:rPr>
        <w:t xml:space="preserve"> identifier 287611).</w:t>
      </w:r>
    </w:p>
    <w:p w:rsidR="00DD759E" w:rsidRPr="00FA0B63" w:rsidRDefault="00DD759E" w:rsidP="00540186">
      <w:pPr>
        <w:pStyle w:val="TableFigNotesnumbered"/>
        <w:numPr>
          <w:ilvl w:val="0"/>
          <w:numId w:val="87"/>
        </w:numPr>
        <w:rPr>
          <w:rStyle w:val="table-note"/>
        </w:rPr>
      </w:pPr>
      <w:r w:rsidRPr="00FA0B63">
        <w:rPr>
          <w:rStyle w:val="table-note"/>
        </w:rPr>
        <w:t>Includes registered and enrolled nurses.</w:t>
      </w:r>
    </w:p>
    <w:p w:rsidR="00DD759E" w:rsidRPr="00FA0B63" w:rsidRDefault="00DD759E" w:rsidP="00540186">
      <w:pPr>
        <w:pStyle w:val="TableFigNotesnumbered"/>
        <w:numPr>
          <w:ilvl w:val="0"/>
          <w:numId w:val="87"/>
        </w:numPr>
        <w:rPr>
          <w:rStyle w:val="table-note"/>
        </w:rPr>
      </w:pPr>
      <w:r w:rsidRPr="00FA0B63">
        <w:rPr>
          <w:rStyle w:val="table-note"/>
        </w:rPr>
        <w:t xml:space="preserve">The definition of these categories was modified from 'consultants' to 'mental health workers' for the 2010–11 collection, in order to capture a variety of contemporary roles. </w:t>
      </w:r>
    </w:p>
    <w:p w:rsidR="00DD759E" w:rsidRPr="00FA0B63" w:rsidRDefault="00DD759E" w:rsidP="00540186">
      <w:pPr>
        <w:pStyle w:val="TableFigNotesnumbered"/>
        <w:numPr>
          <w:ilvl w:val="0"/>
          <w:numId w:val="87"/>
        </w:numPr>
        <w:rPr>
          <w:rStyle w:val="table-note"/>
        </w:rPr>
      </w:pPr>
      <w:r w:rsidRPr="00FA0B63">
        <w:rPr>
          <w:rStyle w:val="table-note"/>
        </w:rPr>
        <w:lastRenderedPageBreak/>
        <w:t>Other personal care staff includes staff engaged primarily in the provision of personal care to patients or residents, not formally qualified, for example attendants, assistants of home assistance, home companions, family aides, ward helpers, warders, orderlies, ward assistants and nursing assistants (</w:t>
      </w:r>
      <w:proofErr w:type="spellStart"/>
      <w:r w:rsidRPr="00FA0B63">
        <w:rPr>
          <w:rStyle w:val="table-note"/>
        </w:rPr>
        <w:t>METeOR</w:t>
      </w:r>
      <w:proofErr w:type="spellEnd"/>
      <w:r w:rsidRPr="00FA0B63">
        <w:rPr>
          <w:rStyle w:val="table-note"/>
        </w:rPr>
        <w:t xml:space="preserve"> 270171).</w:t>
      </w:r>
    </w:p>
    <w:p w:rsidR="00DD759E" w:rsidRPr="00FA0B63" w:rsidRDefault="00DD759E" w:rsidP="00540186">
      <w:pPr>
        <w:pStyle w:val="TableFigNotesnumbered"/>
        <w:numPr>
          <w:ilvl w:val="0"/>
          <w:numId w:val="87"/>
        </w:numPr>
        <w:rPr>
          <w:rStyle w:val="table-note"/>
        </w:rPr>
      </w:pPr>
      <w:r w:rsidRPr="00FA0B63">
        <w:rPr>
          <w:rStyle w:val="table-note"/>
        </w:rPr>
        <w:t xml:space="preserve">Other </w:t>
      </w:r>
      <w:proofErr w:type="gramStart"/>
      <w:r w:rsidRPr="00FA0B63">
        <w:rPr>
          <w:rStyle w:val="table-note"/>
        </w:rPr>
        <w:t>staff</w:t>
      </w:r>
      <w:proofErr w:type="gramEnd"/>
      <w:r w:rsidRPr="00FA0B63">
        <w:rPr>
          <w:rStyle w:val="table-note"/>
        </w:rPr>
        <w:t xml:space="preserve"> includes administrative and clerical and domestic and other staff categories. </w:t>
      </w:r>
    </w:p>
    <w:p w:rsidR="00DD759E" w:rsidRPr="00207B28" w:rsidRDefault="00DD759E" w:rsidP="00DD759E">
      <w:pPr>
        <w:spacing w:before="0" w:after="0" w:line="240" w:lineRule="auto"/>
        <w:rPr>
          <w:rFonts w:asciiTheme="minorHAnsi" w:hAnsiTheme="minorHAnsi" w:cstheme="minorHAnsi"/>
        </w:rPr>
      </w:pPr>
    </w:p>
    <w:p w:rsidR="00DD759E" w:rsidRPr="00FA0B63" w:rsidRDefault="00DD759E" w:rsidP="00DD759E">
      <w:pPr>
        <w:spacing w:before="0" w:after="0" w:line="240" w:lineRule="auto"/>
        <w:rPr>
          <w:rStyle w:val="table-note"/>
          <w:rFonts w:ascii="Arial" w:hAnsi="Arial"/>
        </w:rPr>
      </w:pPr>
      <w:r w:rsidRPr="00FA0B63">
        <w:rPr>
          <w:rStyle w:val="table-note"/>
          <w:rFonts w:ascii="Arial" w:hAnsi="Arial"/>
          <w:sz w:val="14"/>
          <w:szCs w:val="20"/>
          <w:lang w:eastAsia="en-US"/>
        </w:rPr>
        <w:t>Notes:</w:t>
      </w:r>
      <w:r w:rsidRPr="00FA0B63">
        <w:rPr>
          <w:rStyle w:val="table-note"/>
          <w:rFonts w:ascii="Arial" w:hAnsi="Arial"/>
        </w:rPr>
        <w:tab/>
      </w:r>
    </w:p>
    <w:p w:rsidR="00DD759E" w:rsidRPr="00FA0B63" w:rsidRDefault="00DD759E" w:rsidP="00540186">
      <w:pPr>
        <w:pStyle w:val="ListParagraph"/>
        <w:numPr>
          <w:ilvl w:val="0"/>
          <w:numId w:val="88"/>
        </w:numPr>
        <w:spacing w:after="0" w:line="240" w:lineRule="auto"/>
        <w:rPr>
          <w:rStyle w:val="table-note"/>
        </w:rPr>
      </w:pPr>
      <w:r w:rsidRPr="00540186">
        <w:rPr>
          <w:rStyle w:val="table-note"/>
          <w:rFonts w:ascii="Arial" w:eastAsia="Times New Roman" w:hAnsi="Arial" w:cs="Times New Roman"/>
          <w:sz w:val="14"/>
          <w:szCs w:val="20"/>
          <w:lang w:eastAsia="en-US"/>
        </w:rPr>
        <w:t>Includes consumer and carer workers and staff employed at a higher organisational level. Excludes staff employed at regional or state level in mental health policy units of the associated relevant health department or equivalent.</w:t>
      </w:r>
      <w:r w:rsidRPr="00FA0B63">
        <w:rPr>
          <w:rStyle w:val="table-note"/>
        </w:rPr>
        <w:t xml:space="preserve"> </w:t>
      </w:r>
    </w:p>
    <w:p w:rsidR="00DD759E" w:rsidRPr="00E7560F" w:rsidRDefault="00DD759E" w:rsidP="00DD759E">
      <w:pPr>
        <w:spacing w:before="0" w:after="0" w:line="240" w:lineRule="auto"/>
        <w:rPr>
          <w:rFonts w:asciiTheme="minorHAnsi" w:hAnsiTheme="minorHAnsi" w:cstheme="minorHAnsi"/>
        </w:rPr>
      </w:pPr>
    </w:p>
    <w:p w:rsidR="00DD759E" w:rsidRPr="000E0677" w:rsidRDefault="000E0677" w:rsidP="00DD759E">
      <w:pPr>
        <w:pStyle w:val="TableCaption"/>
        <w:rPr>
          <w:rStyle w:val="table-note"/>
        </w:rPr>
      </w:pPr>
      <w:r w:rsidRPr="000E0677">
        <w:rPr>
          <w:rStyle w:val="table-note"/>
        </w:rPr>
        <w:t xml:space="preserve">Table 49: </w:t>
      </w:r>
      <w:r w:rsidR="00DD759E" w:rsidRPr="000E0677">
        <w:rPr>
          <w:rStyle w:val="table-note"/>
        </w:rPr>
        <w:t>SA: Full-time-equivalent staff, state and territory specialised mental health care facilities, by staffing category, 2011–12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A: Full-time-equivalent staff, state and territory specialised mental health care facilities, by staffing category, 2011–12"/>
        <w:tblDescription w:val="Table showing, in 2011-12, the number of full-time-equivalent (FTE) staff in specialised mental health care facilities across SA region types.  Major cities have the highest number of all types of FTE staff at 2,221.9 and very remote have the least with 0.0 FTE. Nurses were the highest FTE staff type overall, across all region types, at 1,258.3."/>
      </w:tblPr>
      <w:tblGrid>
        <w:gridCol w:w="2406"/>
        <w:gridCol w:w="1159"/>
        <w:gridCol w:w="1347"/>
        <w:gridCol w:w="1222"/>
        <w:gridCol w:w="1025"/>
        <w:gridCol w:w="1068"/>
        <w:gridCol w:w="1059"/>
      </w:tblGrid>
      <w:tr w:rsidR="00DD759E" w:rsidRPr="00B476FB" w:rsidTr="000C3DEA">
        <w:trPr>
          <w:tblHeader/>
        </w:trPr>
        <w:tc>
          <w:tcPr>
            <w:tcW w:w="2406" w:type="dxa"/>
          </w:tcPr>
          <w:p w:rsidR="00DD759E" w:rsidRPr="00B476FB" w:rsidRDefault="00DD759E" w:rsidP="00987128">
            <w:pPr>
              <w:pStyle w:val="TableFigText"/>
              <w:keepNext/>
              <w:rPr>
                <w:rFonts w:asciiTheme="minorHAnsi" w:hAnsiTheme="minorHAnsi" w:cstheme="minorHAnsi"/>
                <w:szCs w:val="22"/>
              </w:rPr>
            </w:pPr>
          </w:p>
        </w:tc>
        <w:tc>
          <w:tcPr>
            <w:tcW w:w="1159" w:type="dxa"/>
          </w:tcPr>
          <w:p w:rsidR="00DD759E" w:rsidRPr="00B476FB" w:rsidRDefault="00DD759E" w:rsidP="00987128">
            <w:pPr>
              <w:pStyle w:val="TableFigText"/>
              <w:keepNext/>
              <w:jc w:val="right"/>
              <w:rPr>
                <w:rFonts w:asciiTheme="minorHAnsi" w:hAnsiTheme="minorHAnsi" w:cstheme="minorHAnsi"/>
                <w:b/>
                <w:szCs w:val="22"/>
              </w:rPr>
            </w:pPr>
            <w:r w:rsidRPr="00B476FB">
              <w:rPr>
                <w:rFonts w:asciiTheme="minorHAnsi" w:hAnsiTheme="minorHAnsi" w:cstheme="minorHAnsi"/>
                <w:b/>
                <w:szCs w:val="22"/>
              </w:rPr>
              <w:t>Major cities</w:t>
            </w:r>
          </w:p>
        </w:tc>
        <w:tc>
          <w:tcPr>
            <w:tcW w:w="1347" w:type="dxa"/>
          </w:tcPr>
          <w:p w:rsidR="00DD759E" w:rsidRPr="00B476FB" w:rsidRDefault="00DD759E" w:rsidP="00987128">
            <w:pPr>
              <w:pStyle w:val="TableFigText"/>
              <w:keepNext/>
              <w:jc w:val="right"/>
              <w:rPr>
                <w:rFonts w:asciiTheme="minorHAnsi" w:hAnsiTheme="minorHAnsi" w:cstheme="minorHAnsi"/>
                <w:b/>
                <w:szCs w:val="22"/>
              </w:rPr>
            </w:pPr>
            <w:r w:rsidRPr="00B476FB">
              <w:rPr>
                <w:rFonts w:asciiTheme="minorHAnsi" w:hAnsiTheme="minorHAnsi" w:cstheme="minorHAnsi"/>
                <w:b/>
                <w:szCs w:val="22"/>
              </w:rPr>
              <w:t>Inner regional</w:t>
            </w:r>
          </w:p>
        </w:tc>
        <w:tc>
          <w:tcPr>
            <w:tcW w:w="1222" w:type="dxa"/>
          </w:tcPr>
          <w:p w:rsidR="00DD759E" w:rsidRPr="00B476FB" w:rsidRDefault="00DD759E" w:rsidP="00987128">
            <w:pPr>
              <w:pStyle w:val="TableFigText"/>
              <w:keepNext/>
              <w:jc w:val="right"/>
              <w:rPr>
                <w:rFonts w:asciiTheme="minorHAnsi" w:hAnsiTheme="minorHAnsi" w:cstheme="minorHAnsi"/>
                <w:b/>
                <w:szCs w:val="22"/>
              </w:rPr>
            </w:pPr>
            <w:r w:rsidRPr="00B476FB">
              <w:rPr>
                <w:rFonts w:asciiTheme="minorHAnsi" w:hAnsiTheme="minorHAnsi" w:cstheme="minorHAnsi"/>
                <w:b/>
                <w:szCs w:val="22"/>
              </w:rPr>
              <w:t>Outer regional</w:t>
            </w:r>
          </w:p>
        </w:tc>
        <w:tc>
          <w:tcPr>
            <w:tcW w:w="1025" w:type="dxa"/>
          </w:tcPr>
          <w:p w:rsidR="00DD759E" w:rsidRPr="00B476FB" w:rsidRDefault="00DD759E" w:rsidP="00987128">
            <w:pPr>
              <w:pStyle w:val="TableFigText"/>
              <w:keepNext/>
              <w:jc w:val="right"/>
              <w:rPr>
                <w:rFonts w:asciiTheme="minorHAnsi" w:hAnsiTheme="minorHAnsi" w:cstheme="minorHAnsi"/>
                <w:b/>
                <w:szCs w:val="22"/>
              </w:rPr>
            </w:pPr>
            <w:r w:rsidRPr="00B476FB">
              <w:rPr>
                <w:rFonts w:asciiTheme="minorHAnsi" w:hAnsiTheme="minorHAnsi" w:cstheme="minorHAnsi"/>
                <w:b/>
                <w:szCs w:val="22"/>
              </w:rPr>
              <w:t>Remote</w:t>
            </w:r>
          </w:p>
        </w:tc>
        <w:tc>
          <w:tcPr>
            <w:tcW w:w="1068" w:type="dxa"/>
          </w:tcPr>
          <w:p w:rsidR="00DD759E" w:rsidRPr="00B476FB" w:rsidRDefault="00DD759E" w:rsidP="00987128">
            <w:pPr>
              <w:pStyle w:val="TableFigText"/>
              <w:keepNext/>
              <w:jc w:val="right"/>
              <w:rPr>
                <w:rFonts w:asciiTheme="minorHAnsi" w:hAnsiTheme="minorHAnsi" w:cstheme="minorHAnsi"/>
                <w:b/>
                <w:szCs w:val="22"/>
              </w:rPr>
            </w:pPr>
            <w:r w:rsidRPr="00B476FB">
              <w:rPr>
                <w:rFonts w:asciiTheme="minorHAnsi" w:hAnsiTheme="minorHAnsi" w:cstheme="minorHAnsi"/>
                <w:b/>
                <w:szCs w:val="22"/>
              </w:rPr>
              <w:t>Very remote</w:t>
            </w:r>
          </w:p>
        </w:tc>
        <w:tc>
          <w:tcPr>
            <w:tcW w:w="1059" w:type="dxa"/>
          </w:tcPr>
          <w:p w:rsidR="00DD759E" w:rsidRPr="00B476FB" w:rsidRDefault="00DD759E" w:rsidP="00987128">
            <w:pPr>
              <w:pStyle w:val="TableFigText"/>
              <w:keepNext/>
              <w:jc w:val="right"/>
              <w:rPr>
                <w:rFonts w:asciiTheme="minorHAnsi" w:hAnsiTheme="minorHAnsi" w:cstheme="minorHAnsi"/>
                <w:b/>
                <w:szCs w:val="22"/>
              </w:rPr>
            </w:pPr>
            <w:r w:rsidRPr="00B476FB">
              <w:rPr>
                <w:rFonts w:asciiTheme="minorHAnsi" w:hAnsiTheme="minorHAnsi" w:cstheme="minorHAnsi"/>
                <w:b/>
                <w:szCs w:val="22"/>
              </w:rPr>
              <w:t>Total</w:t>
            </w:r>
            <w:r w:rsidRPr="00E86D05">
              <w:rPr>
                <w:rFonts w:asciiTheme="minorHAnsi" w:hAnsiTheme="minorHAnsi" w:cstheme="minorHAnsi"/>
                <w:b/>
                <w:szCs w:val="22"/>
                <w:vertAlign w:val="superscript"/>
              </w:rPr>
              <w:t>(a)</w:t>
            </w:r>
          </w:p>
        </w:tc>
      </w:tr>
      <w:tr w:rsidR="00DD759E" w:rsidRPr="00B476FB" w:rsidTr="00987128">
        <w:tc>
          <w:tcPr>
            <w:tcW w:w="2406" w:type="dxa"/>
          </w:tcPr>
          <w:p w:rsidR="00DD759E" w:rsidRPr="00B476FB" w:rsidRDefault="00DD759E" w:rsidP="00987128">
            <w:pPr>
              <w:pStyle w:val="TableFigText"/>
              <w:keepNext/>
              <w:rPr>
                <w:rFonts w:asciiTheme="minorHAnsi" w:hAnsiTheme="minorHAnsi" w:cstheme="minorHAnsi"/>
                <w:szCs w:val="22"/>
              </w:rPr>
            </w:pPr>
            <w:r w:rsidRPr="00B476FB">
              <w:rPr>
                <w:rFonts w:asciiTheme="minorHAnsi" w:hAnsiTheme="minorHAnsi" w:cstheme="minorHAnsi"/>
                <w:szCs w:val="22"/>
              </w:rPr>
              <w:t>Consultant psychiatrists and psychiatrists</w:t>
            </w:r>
          </w:p>
        </w:tc>
        <w:tc>
          <w:tcPr>
            <w:tcW w:w="1159" w:type="dxa"/>
            <w:vAlign w:val="bottom"/>
          </w:tcPr>
          <w:p w:rsidR="00DD759E" w:rsidRPr="00C17582" w:rsidRDefault="00DD759E" w:rsidP="000031E2">
            <w:pPr>
              <w:pStyle w:val="TableFigText"/>
              <w:jc w:val="right"/>
            </w:pPr>
            <w:r w:rsidRPr="00C17582">
              <w:t>116.9</w:t>
            </w:r>
          </w:p>
        </w:tc>
        <w:tc>
          <w:tcPr>
            <w:tcW w:w="1347" w:type="dxa"/>
            <w:vAlign w:val="bottom"/>
          </w:tcPr>
          <w:p w:rsidR="00DD759E" w:rsidRPr="00C17582" w:rsidRDefault="00DD759E" w:rsidP="000031E2">
            <w:pPr>
              <w:pStyle w:val="TableFigText"/>
              <w:jc w:val="right"/>
            </w:pPr>
            <w:r w:rsidRPr="00C17582">
              <w:t>0.0</w:t>
            </w:r>
          </w:p>
        </w:tc>
        <w:tc>
          <w:tcPr>
            <w:tcW w:w="1222" w:type="dxa"/>
            <w:vAlign w:val="bottom"/>
          </w:tcPr>
          <w:p w:rsidR="00DD759E" w:rsidRPr="00C17582" w:rsidRDefault="00DD759E" w:rsidP="000031E2">
            <w:pPr>
              <w:pStyle w:val="TableFigText"/>
              <w:jc w:val="right"/>
            </w:pPr>
            <w:r w:rsidRPr="00C17582">
              <w:t>0.0</w:t>
            </w:r>
          </w:p>
        </w:tc>
        <w:tc>
          <w:tcPr>
            <w:tcW w:w="1025" w:type="dxa"/>
            <w:vAlign w:val="bottom"/>
          </w:tcPr>
          <w:p w:rsidR="00DD759E" w:rsidRPr="00C17582" w:rsidRDefault="00DD759E" w:rsidP="000031E2">
            <w:pPr>
              <w:pStyle w:val="TableFigText"/>
              <w:jc w:val="right"/>
            </w:pPr>
            <w:r w:rsidRPr="00C17582">
              <w:t>0.0</w:t>
            </w:r>
          </w:p>
        </w:tc>
        <w:tc>
          <w:tcPr>
            <w:tcW w:w="1068" w:type="dxa"/>
            <w:vAlign w:val="bottom"/>
          </w:tcPr>
          <w:p w:rsidR="00DD759E" w:rsidRPr="00C17582" w:rsidRDefault="00DD759E" w:rsidP="000031E2">
            <w:pPr>
              <w:pStyle w:val="TableFigText"/>
              <w:jc w:val="right"/>
            </w:pPr>
            <w:r w:rsidRPr="00C17582">
              <w:t>0.0</w:t>
            </w:r>
          </w:p>
        </w:tc>
        <w:tc>
          <w:tcPr>
            <w:tcW w:w="1059" w:type="dxa"/>
            <w:vAlign w:val="bottom"/>
          </w:tcPr>
          <w:p w:rsidR="00DD759E" w:rsidRPr="00C17582" w:rsidRDefault="00DD759E" w:rsidP="000031E2">
            <w:pPr>
              <w:pStyle w:val="TableFigText"/>
              <w:jc w:val="right"/>
            </w:pPr>
            <w:r w:rsidRPr="00C17582">
              <w:t>116.9</w:t>
            </w:r>
          </w:p>
        </w:tc>
      </w:tr>
      <w:tr w:rsidR="00DD759E" w:rsidRPr="00B476FB" w:rsidTr="00987128">
        <w:tc>
          <w:tcPr>
            <w:tcW w:w="2406" w:type="dxa"/>
          </w:tcPr>
          <w:p w:rsidR="00DD759E" w:rsidRPr="00B476FB" w:rsidRDefault="00DD759E" w:rsidP="00987128">
            <w:pPr>
              <w:pStyle w:val="TableFigText"/>
              <w:keepNext/>
              <w:rPr>
                <w:rFonts w:asciiTheme="minorHAnsi" w:hAnsiTheme="minorHAnsi" w:cstheme="minorHAnsi"/>
                <w:szCs w:val="22"/>
              </w:rPr>
            </w:pPr>
            <w:r w:rsidRPr="00B476FB">
              <w:rPr>
                <w:rFonts w:asciiTheme="minorHAnsi" w:hAnsiTheme="minorHAnsi" w:cstheme="minorHAnsi"/>
                <w:szCs w:val="22"/>
              </w:rPr>
              <w:t>Psychiatry registrars and trainees</w:t>
            </w:r>
          </w:p>
        </w:tc>
        <w:tc>
          <w:tcPr>
            <w:tcW w:w="1159" w:type="dxa"/>
            <w:vAlign w:val="bottom"/>
          </w:tcPr>
          <w:p w:rsidR="00DD759E" w:rsidRPr="00C17582" w:rsidRDefault="00DD759E" w:rsidP="000031E2">
            <w:pPr>
              <w:pStyle w:val="TableFigText"/>
              <w:jc w:val="right"/>
            </w:pPr>
            <w:r w:rsidRPr="00C17582">
              <w:t>101.9</w:t>
            </w:r>
          </w:p>
        </w:tc>
        <w:tc>
          <w:tcPr>
            <w:tcW w:w="1347" w:type="dxa"/>
            <w:vAlign w:val="bottom"/>
          </w:tcPr>
          <w:p w:rsidR="00DD759E" w:rsidRPr="00C17582" w:rsidRDefault="00DD759E" w:rsidP="000031E2">
            <w:pPr>
              <w:pStyle w:val="TableFigText"/>
              <w:jc w:val="right"/>
            </w:pPr>
            <w:r w:rsidRPr="00C17582">
              <w:t>0.0</w:t>
            </w:r>
          </w:p>
        </w:tc>
        <w:tc>
          <w:tcPr>
            <w:tcW w:w="1222" w:type="dxa"/>
            <w:vAlign w:val="bottom"/>
          </w:tcPr>
          <w:p w:rsidR="00DD759E" w:rsidRPr="00C17582" w:rsidRDefault="00DD759E" w:rsidP="000031E2">
            <w:pPr>
              <w:pStyle w:val="TableFigText"/>
              <w:jc w:val="right"/>
            </w:pPr>
            <w:r w:rsidRPr="00C17582">
              <w:t>0.0</w:t>
            </w:r>
          </w:p>
        </w:tc>
        <w:tc>
          <w:tcPr>
            <w:tcW w:w="1025" w:type="dxa"/>
            <w:vAlign w:val="bottom"/>
          </w:tcPr>
          <w:p w:rsidR="00DD759E" w:rsidRPr="00C17582" w:rsidRDefault="00DD759E" w:rsidP="000031E2">
            <w:pPr>
              <w:pStyle w:val="TableFigText"/>
              <w:jc w:val="right"/>
            </w:pPr>
            <w:r w:rsidRPr="00C17582">
              <w:t>0.0</w:t>
            </w:r>
          </w:p>
        </w:tc>
        <w:tc>
          <w:tcPr>
            <w:tcW w:w="1068" w:type="dxa"/>
            <w:vAlign w:val="bottom"/>
          </w:tcPr>
          <w:p w:rsidR="00DD759E" w:rsidRPr="00C17582" w:rsidRDefault="00DD759E" w:rsidP="000031E2">
            <w:pPr>
              <w:pStyle w:val="TableFigText"/>
              <w:jc w:val="right"/>
            </w:pPr>
            <w:r w:rsidRPr="00C17582">
              <w:t>0.0</w:t>
            </w:r>
          </w:p>
        </w:tc>
        <w:tc>
          <w:tcPr>
            <w:tcW w:w="1059" w:type="dxa"/>
            <w:vAlign w:val="bottom"/>
          </w:tcPr>
          <w:p w:rsidR="00DD759E" w:rsidRPr="00C17582" w:rsidRDefault="00DD759E" w:rsidP="000031E2">
            <w:pPr>
              <w:pStyle w:val="TableFigText"/>
              <w:jc w:val="right"/>
            </w:pPr>
            <w:r w:rsidRPr="00C17582">
              <w:t>101.9</w:t>
            </w:r>
          </w:p>
        </w:tc>
      </w:tr>
      <w:tr w:rsidR="00DD759E" w:rsidRPr="00B476FB" w:rsidTr="00987128">
        <w:tc>
          <w:tcPr>
            <w:tcW w:w="2406" w:type="dxa"/>
          </w:tcPr>
          <w:p w:rsidR="00DD759E" w:rsidRPr="00B476FB" w:rsidRDefault="00DD759E" w:rsidP="00987128">
            <w:pPr>
              <w:pStyle w:val="TableFigText"/>
              <w:keepNext/>
              <w:rPr>
                <w:rFonts w:asciiTheme="minorHAnsi" w:hAnsiTheme="minorHAnsi" w:cstheme="minorHAnsi"/>
                <w:szCs w:val="22"/>
              </w:rPr>
            </w:pPr>
            <w:r w:rsidRPr="00B476FB">
              <w:rPr>
                <w:rFonts w:asciiTheme="minorHAnsi" w:hAnsiTheme="minorHAnsi" w:cstheme="minorHAnsi"/>
                <w:szCs w:val="22"/>
              </w:rPr>
              <w:t>Other medical officers</w:t>
            </w:r>
          </w:p>
        </w:tc>
        <w:tc>
          <w:tcPr>
            <w:tcW w:w="1159" w:type="dxa"/>
            <w:vAlign w:val="bottom"/>
          </w:tcPr>
          <w:p w:rsidR="00DD759E" w:rsidRPr="00C17582" w:rsidRDefault="00DD759E" w:rsidP="000031E2">
            <w:pPr>
              <w:pStyle w:val="TableFigText"/>
              <w:jc w:val="right"/>
            </w:pPr>
            <w:r w:rsidRPr="00C17582">
              <w:t>5.2</w:t>
            </w:r>
          </w:p>
        </w:tc>
        <w:tc>
          <w:tcPr>
            <w:tcW w:w="1347" w:type="dxa"/>
            <w:vAlign w:val="bottom"/>
          </w:tcPr>
          <w:p w:rsidR="00DD759E" w:rsidRPr="00C17582" w:rsidRDefault="00DD759E" w:rsidP="000031E2">
            <w:pPr>
              <w:pStyle w:val="TableFigText"/>
              <w:jc w:val="right"/>
            </w:pPr>
            <w:r w:rsidRPr="00C17582">
              <w:t>0.0</w:t>
            </w:r>
          </w:p>
        </w:tc>
        <w:tc>
          <w:tcPr>
            <w:tcW w:w="1222" w:type="dxa"/>
            <w:vAlign w:val="bottom"/>
          </w:tcPr>
          <w:p w:rsidR="00DD759E" w:rsidRPr="00C17582" w:rsidRDefault="00DD759E" w:rsidP="000031E2">
            <w:pPr>
              <w:pStyle w:val="TableFigText"/>
              <w:jc w:val="right"/>
            </w:pPr>
            <w:r w:rsidRPr="00C17582">
              <w:t>0.0</w:t>
            </w:r>
          </w:p>
        </w:tc>
        <w:tc>
          <w:tcPr>
            <w:tcW w:w="1025" w:type="dxa"/>
            <w:vAlign w:val="bottom"/>
          </w:tcPr>
          <w:p w:rsidR="00DD759E" w:rsidRPr="00C17582" w:rsidRDefault="00DD759E" w:rsidP="000031E2">
            <w:pPr>
              <w:pStyle w:val="TableFigText"/>
              <w:jc w:val="right"/>
            </w:pPr>
            <w:r w:rsidRPr="00C17582">
              <w:t>0.0</w:t>
            </w:r>
          </w:p>
        </w:tc>
        <w:tc>
          <w:tcPr>
            <w:tcW w:w="1068" w:type="dxa"/>
            <w:vAlign w:val="bottom"/>
          </w:tcPr>
          <w:p w:rsidR="00DD759E" w:rsidRPr="00C17582" w:rsidRDefault="00DD759E" w:rsidP="000031E2">
            <w:pPr>
              <w:pStyle w:val="TableFigText"/>
              <w:jc w:val="right"/>
            </w:pPr>
            <w:r w:rsidRPr="00C17582">
              <w:t>0.0</w:t>
            </w:r>
          </w:p>
        </w:tc>
        <w:tc>
          <w:tcPr>
            <w:tcW w:w="1059" w:type="dxa"/>
            <w:vAlign w:val="bottom"/>
          </w:tcPr>
          <w:p w:rsidR="00DD759E" w:rsidRPr="00C17582" w:rsidRDefault="00DD759E" w:rsidP="000031E2">
            <w:pPr>
              <w:pStyle w:val="TableFigText"/>
              <w:jc w:val="right"/>
            </w:pPr>
            <w:r w:rsidRPr="00C17582">
              <w:t>5.2</w:t>
            </w:r>
          </w:p>
        </w:tc>
      </w:tr>
      <w:tr w:rsidR="00DD759E" w:rsidRPr="00B476FB" w:rsidTr="00987128">
        <w:tc>
          <w:tcPr>
            <w:tcW w:w="2406" w:type="dxa"/>
          </w:tcPr>
          <w:p w:rsidR="00DD759E" w:rsidRPr="00B476FB" w:rsidRDefault="00DD759E" w:rsidP="00987128">
            <w:pPr>
              <w:pStyle w:val="TableFigText"/>
              <w:keepNext/>
              <w:rPr>
                <w:rFonts w:asciiTheme="minorHAnsi" w:hAnsiTheme="minorHAnsi" w:cstheme="minorHAnsi"/>
                <w:szCs w:val="22"/>
              </w:rPr>
            </w:pPr>
            <w:r w:rsidRPr="00B476FB">
              <w:rPr>
                <w:rFonts w:asciiTheme="minorHAnsi" w:hAnsiTheme="minorHAnsi" w:cstheme="minorHAnsi"/>
                <w:szCs w:val="22"/>
              </w:rPr>
              <w:t>Psychologists</w:t>
            </w:r>
          </w:p>
        </w:tc>
        <w:tc>
          <w:tcPr>
            <w:tcW w:w="1159" w:type="dxa"/>
            <w:vAlign w:val="bottom"/>
          </w:tcPr>
          <w:p w:rsidR="00DD759E" w:rsidRPr="00C17582" w:rsidRDefault="00DD759E" w:rsidP="000031E2">
            <w:pPr>
              <w:pStyle w:val="TableFigText"/>
              <w:jc w:val="right"/>
            </w:pPr>
            <w:r w:rsidRPr="00C17582">
              <w:t>94.6</w:t>
            </w:r>
          </w:p>
        </w:tc>
        <w:tc>
          <w:tcPr>
            <w:tcW w:w="1347" w:type="dxa"/>
            <w:vAlign w:val="bottom"/>
          </w:tcPr>
          <w:p w:rsidR="00DD759E" w:rsidRPr="00C17582" w:rsidRDefault="00DD759E" w:rsidP="000031E2">
            <w:pPr>
              <w:pStyle w:val="TableFigText"/>
              <w:jc w:val="right"/>
            </w:pPr>
            <w:r w:rsidRPr="00C17582">
              <w:t>0.0</w:t>
            </w:r>
          </w:p>
        </w:tc>
        <w:tc>
          <w:tcPr>
            <w:tcW w:w="1222" w:type="dxa"/>
            <w:vAlign w:val="bottom"/>
          </w:tcPr>
          <w:p w:rsidR="00DD759E" w:rsidRPr="00C17582" w:rsidRDefault="00DD759E" w:rsidP="000031E2">
            <w:pPr>
              <w:pStyle w:val="TableFigText"/>
              <w:jc w:val="right"/>
            </w:pPr>
            <w:r w:rsidRPr="00C17582">
              <w:t>1.7</w:t>
            </w:r>
          </w:p>
        </w:tc>
        <w:tc>
          <w:tcPr>
            <w:tcW w:w="1025" w:type="dxa"/>
            <w:vAlign w:val="bottom"/>
          </w:tcPr>
          <w:p w:rsidR="00DD759E" w:rsidRPr="00C17582" w:rsidRDefault="00DD759E" w:rsidP="000031E2">
            <w:pPr>
              <w:pStyle w:val="TableFigText"/>
              <w:jc w:val="right"/>
            </w:pPr>
            <w:r w:rsidRPr="00C17582">
              <w:t>0.3</w:t>
            </w:r>
          </w:p>
        </w:tc>
        <w:tc>
          <w:tcPr>
            <w:tcW w:w="1068" w:type="dxa"/>
            <w:vAlign w:val="bottom"/>
          </w:tcPr>
          <w:p w:rsidR="00DD759E" w:rsidRPr="00C17582" w:rsidRDefault="00DD759E" w:rsidP="000031E2">
            <w:pPr>
              <w:pStyle w:val="TableFigText"/>
              <w:jc w:val="right"/>
            </w:pPr>
            <w:r w:rsidRPr="00C17582">
              <w:t>0.0</w:t>
            </w:r>
          </w:p>
        </w:tc>
        <w:tc>
          <w:tcPr>
            <w:tcW w:w="1059" w:type="dxa"/>
            <w:vAlign w:val="bottom"/>
          </w:tcPr>
          <w:p w:rsidR="00DD759E" w:rsidRPr="00C17582" w:rsidRDefault="00DD759E" w:rsidP="000031E2">
            <w:pPr>
              <w:pStyle w:val="TableFigText"/>
              <w:jc w:val="right"/>
            </w:pPr>
            <w:r w:rsidRPr="00C17582">
              <w:t>96.6</w:t>
            </w:r>
          </w:p>
        </w:tc>
      </w:tr>
      <w:tr w:rsidR="00DD759E" w:rsidRPr="00B476FB" w:rsidTr="00987128">
        <w:tc>
          <w:tcPr>
            <w:tcW w:w="2406" w:type="dxa"/>
          </w:tcPr>
          <w:p w:rsidR="00DD759E" w:rsidRPr="00B476FB" w:rsidRDefault="00DD759E" w:rsidP="00987128">
            <w:pPr>
              <w:pStyle w:val="TableFigText"/>
              <w:keepNext/>
              <w:rPr>
                <w:rFonts w:asciiTheme="minorHAnsi" w:hAnsiTheme="minorHAnsi" w:cstheme="minorHAnsi"/>
                <w:szCs w:val="22"/>
              </w:rPr>
            </w:pPr>
            <w:r w:rsidRPr="00B476FB">
              <w:rPr>
                <w:rFonts w:asciiTheme="minorHAnsi" w:hAnsiTheme="minorHAnsi" w:cstheme="minorHAnsi"/>
                <w:szCs w:val="22"/>
              </w:rPr>
              <w:t>Diagnostic and health professionals</w:t>
            </w:r>
            <w:r w:rsidRPr="00B476FB">
              <w:rPr>
                <w:rFonts w:asciiTheme="minorHAnsi" w:hAnsiTheme="minorHAnsi" w:cstheme="minorHAnsi"/>
                <w:szCs w:val="22"/>
                <w:vertAlign w:val="superscript"/>
              </w:rPr>
              <w:t>(b)</w:t>
            </w:r>
          </w:p>
        </w:tc>
        <w:tc>
          <w:tcPr>
            <w:tcW w:w="1159" w:type="dxa"/>
            <w:vAlign w:val="bottom"/>
          </w:tcPr>
          <w:p w:rsidR="00DD759E" w:rsidRPr="00C17582" w:rsidRDefault="00DD759E" w:rsidP="000031E2">
            <w:pPr>
              <w:pStyle w:val="TableFigText"/>
              <w:jc w:val="right"/>
            </w:pPr>
            <w:r w:rsidRPr="00C17582">
              <w:t>296.5</w:t>
            </w:r>
          </w:p>
        </w:tc>
        <w:tc>
          <w:tcPr>
            <w:tcW w:w="1347" w:type="dxa"/>
            <w:vAlign w:val="bottom"/>
          </w:tcPr>
          <w:p w:rsidR="00DD759E" w:rsidRPr="00C17582" w:rsidRDefault="00DD759E" w:rsidP="000031E2">
            <w:pPr>
              <w:pStyle w:val="TableFigText"/>
              <w:jc w:val="right"/>
            </w:pPr>
            <w:r w:rsidRPr="00C17582">
              <w:t>8.7</w:t>
            </w:r>
          </w:p>
        </w:tc>
        <w:tc>
          <w:tcPr>
            <w:tcW w:w="1222" w:type="dxa"/>
            <w:vAlign w:val="bottom"/>
          </w:tcPr>
          <w:p w:rsidR="00DD759E" w:rsidRPr="00C17582" w:rsidRDefault="00DD759E" w:rsidP="000031E2">
            <w:pPr>
              <w:pStyle w:val="TableFigText"/>
              <w:jc w:val="right"/>
            </w:pPr>
            <w:r w:rsidRPr="00C17582">
              <w:t>20.4</w:t>
            </w:r>
          </w:p>
        </w:tc>
        <w:tc>
          <w:tcPr>
            <w:tcW w:w="1025" w:type="dxa"/>
            <w:vAlign w:val="bottom"/>
          </w:tcPr>
          <w:p w:rsidR="00DD759E" w:rsidRPr="00C17582" w:rsidRDefault="00DD759E" w:rsidP="000031E2">
            <w:pPr>
              <w:pStyle w:val="TableFigText"/>
              <w:jc w:val="right"/>
            </w:pPr>
            <w:r w:rsidRPr="00C17582">
              <w:t>6.3</w:t>
            </w:r>
          </w:p>
        </w:tc>
        <w:tc>
          <w:tcPr>
            <w:tcW w:w="1068" w:type="dxa"/>
            <w:vAlign w:val="bottom"/>
          </w:tcPr>
          <w:p w:rsidR="00DD759E" w:rsidRPr="00C17582" w:rsidRDefault="00DD759E" w:rsidP="000031E2">
            <w:pPr>
              <w:pStyle w:val="TableFigText"/>
              <w:jc w:val="right"/>
            </w:pPr>
            <w:r w:rsidRPr="00C17582">
              <w:t>0.0</w:t>
            </w:r>
          </w:p>
        </w:tc>
        <w:tc>
          <w:tcPr>
            <w:tcW w:w="1059" w:type="dxa"/>
            <w:vAlign w:val="bottom"/>
          </w:tcPr>
          <w:p w:rsidR="00DD759E" w:rsidRPr="00C17582" w:rsidRDefault="00DD759E" w:rsidP="000031E2">
            <w:pPr>
              <w:pStyle w:val="TableFigText"/>
              <w:jc w:val="right"/>
            </w:pPr>
            <w:r w:rsidRPr="00C17582">
              <w:t>331.8</w:t>
            </w:r>
          </w:p>
        </w:tc>
      </w:tr>
      <w:tr w:rsidR="00DD759E" w:rsidRPr="00B476FB" w:rsidTr="00987128">
        <w:tc>
          <w:tcPr>
            <w:tcW w:w="2406" w:type="dxa"/>
          </w:tcPr>
          <w:p w:rsidR="00DD759E" w:rsidRPr="00B476FB" w:rsidRDefault="00DD759E" w:rsidP="00987128">
            <w:pPr>
              <w:pStyle w:val="TableFigText"/>
              <w:keepNext/>
              <w:rPr>
                <w:rFonts w:asciiTheme="minorHAnsi" w:hAnsiTheme="minorHAnsi" w:cstheme="minorHAnsi"/>
                <w:szCs w:val="22"/>
              </w:rPr>
            </w:pPr>
            <w:r w:rsidRPr="00B476FB">
              <w:rPr>
                <w:rFonts w:asciiTheme="minorHAnsi" w:hAnsiTheme="minorHAnsi" w:cstheme="minorHAnsi"/>
                <w:szCs w:val="22"/>
              </w:rPr>
              <w:t>Nurses</w:t>
            </w:r>
            <w:r w:rsidRPr="00B476FB">
              <w:rPr>
                <w:rFonts w:asciiTheme="minorHAnsi" w:hAnsiTheme="minorHAnsi" w:cstheme="minorHAnsi"/>
                <w:szCs w:val="22"/>
                <w:vertAlign w:val="superscript"/>
              </w:rPr>
              <w:t>(c)</w:t>
            </w:r>
          </w:p>
        </w:tc>
        <w:tc>
          <w:tcPr>
            <w:tcW w:w="1159" w:type="dxa"/>
            <w:vAlign w:val="bottom"/>
          </w:tcPr>
          <w:p w:rsidR="00DD759E" w:rsidRPr="00C17582" w:rsidRDefault="00DD759E" w:rsidP="000031E2">
            <w:pPr>
              <w:pStyle w:val="TableFigText"/>
              <w:jc w:val="right"/>
            </w:pPr>
            <w:r w:rsidRPr="00C17582">
              <w:t>1,183.4</w:t>
            </w:r>
          </w:p>
        </w:tc>
        <w:tc>
          <w:tcPr>
            <w:tcW w:w="1347" w:type="dxa"/>
            <w:vAlign w:val="bottom"/>
          </w:tcPr>
          <w:p w:rsidR="00DD759E" w:rsidRPr="00C17582" w:rsidRDefault="00DD759E" w:rsidP="000031E2">
            <w:pPr>
              <w:pStyle w:val="TableFigText"/>
              <w:jc w:val="right"/>
            </w:pPr>
            <w:r w:rsidRPr="00C17582">
              <w:t>16.2</w:t>
            </w:r>
          </w:p>
        </w:tc>
        <w:tc>
          <w:tcPr>
            <w:tcW w:w="1222" w:type="dxa"/>
            <w:vAlign w:val="bottom"/>
          </w:tcPr>
          <w:p w:rsidR="00DD759E" w:rsidRPr="00C17582" w:rsidRDefault="00DD759E" w:rsidP="000031E2">
            <w:pPr>
              <w:pStyle w:val="TableFigText"/>
              <w:jc w:val="right"/>
            </w:pPr>
            <w:r w:rsidRPr="00C17582">
              <w:t>45.3</w:t>
            </w:r>
          </w:p>
        </w:tc>
        <w:tc>
          <w:tcPr>
            <w:tcW w:w="1025" w:type="dxa"/>
            <w:vAlign w:val="bottom"/>
          </w:tcPr>
          <w:p w:rsidR="00DD759E" w:rsidRPr="00C17582" w:rsidRDefault="00DD759E" w:rsidP="000031E2">
            <w:pPr>
              <w:pStyle w:val="TableFigText"/>
              <w:jc w:val="right"/>
            </w:pPr>
            <w:r w:rsidRPr="00C17582">
              <w:t>13.5</w:t>
            </w:r>
          </w:p>
        </w:tc>
        <w:tc>
          <w:tcPr>
            <w:tcW w:w="1068" w:type="dxa"/>
            <w:vAlign w:val="bottom"/>
          </w:tcPr>
          <w:p w:rsidR="00DD759E" w:rsidRPr="00C17582" w:rsidRDefault="00DD759E" w:rsidP="000031E2">
            <w:pPr>
              <w:pStyle w:val="TableFigText"/>
              <w:jc w:val="right"/>
            </w:pPr>
            <w:r w:rsidRPr="00C17582">
              <w:t>0.0</w:t>
            </w:r>
          </w:p>
        </w:tc>
        <w:tc>
          <w:tcPr>
            <w:tcW w:w="1059" w:type="dxa"/>
            <w:vAlign w:val="bottom"/>
          </w:tcPr>
          <w:p w:rsidR="00DD759E" w:rsidRPr="00C17582" w:rsidRDefault="00DD759E" w:rsidP="000031E2">
            <w:pPr>
              <w:pStyle w:val="TableFigText"/>
              <w:jc w:val="right"/>
            </w:pPr>
            <w:r w:rsidRPr="00C17582">
              <w:t>1,258.3</w:t>
            </w:r>
          </w:p>
        </w:tc>
      </w:tr>
      <w:tr w:rsidR="00DD759E" w:rsidRPr="00B476FB" w:rsidTr="00987128">
        <w:tc>
          <w:tcPr>
            <w:tcW w:w="2406" w:type="dxa"/>
          </w:tcPr>
          <w:p w:rsidR="00DD759E" w:rsidRPr="00B476FB" w:rsidRDefault="00DD759E" w:rsidP="00987128">
            <w:pPr>
              <w:pStyle w:val="TableFigText"/>
              <w:keepNext/>
              <w:rPr>
                <w:rFonts w:asciiTheme="minorHAnsi" w:hAnsiTheme="minorHAnsi" w:cstheme="minorHAnsi"/>
                <w:szCs w:val="22"/>
              </w:rPr>
            </w:pPr>
            <w:r w:rsidRPr="00B476FB">
              <w:rPr>
                <w:rFonts w:asciiTheme="minorHAnsi" w:hAnsiTheme="minorHAnsi" w:cstheme="minorHAnsi"/>
                <w:szCs w:val="22"/>
              </w:rPr>
              <w:t>Carer workers</w:t>
            </w:r>
            <w:r w:rsidRPr="00B476FB">
              <w:rPr>
                <w:rFonts w:asciiTheme="minorHAnsi" w:hAnsiTheme="minorHAnsi" w:cstheme="minorHAnsi"/>
                <w:szCs w:val="22"/>
                <w:vertAlign w:val="superscript"/>
              </w:rPr>
              <w:t>(d)</w:t>
            </w:r>
          </w:p>
        </w:tc>
        <w:tc>
          <w:tcPr>
            <w:tcW w:w="1159" w:type="dxa"/>
            <w:vAlign w:val="bottom"/>
          </w:tcPr>
          <w:p w:rsidR="00DD759E" w:rsidRPr="00C17582" w:rsidRDefault="00DD759E" w:rsidP="000031E2">
            <w:pPr>
              <w:pStyle w:val="TableFigText"/>
              <w:jc w:val="right"/>
            </w:pPr>
            <w:r w:rsidRPr="00C17582">
              <w:t>3.8</w:t>
            </w:r>
          </w:p>
        </w:tc>
        <w:tc>
          <w:tcPr>
            <w:tcW w:w="1347" w:type="dxa"/>
            <w:vAlign w:val="bottom"/>
          </w:tcPr>
          <w:p w:rsidR="00DD759E" w:rsidRPr="00C17582" w:rsidRDefault="00DD759E" w:rsidP="000031E2">
            <w:pPr>
              <w:pStyle w:val="TableFigText"/>
              <w:jc w:val="right"/>
            </w:pPr>
            <w:r w:rsidRPr="00C17582">
              <w:t>0.1</w:t>
            </w:r>
          </w:p>
        </w:tc>
        <w:tc>
          <w:tcPr>
            <w:tcW w:w="1222" w:type="dxa"/>
            <w:vAlign w:val="bottom"/>
          </w:tcPr>
          <w:p w:rsidR="00DD759E" w:rsidRPr="00C17582" w:rsidRDefault="00DD759E" w:rsidP="000031E2">
            <w:pPr>
              <w:pStyle w:val="TableFigText"/>
              <w:jc w:val="right"/>
            </w:pPr>
            <w:r w:rsidRPr="00C17582">
              <w:t>0.3</w:t>
            </w:r>
          </w:p>
        </w:tc>
        <w:tc>
          <w:tcPr>
            <w:tcW w:w="1025" w:type="dxa"/>
            <w:vAlign w:val="bottom"/>
          </w:tcPr>
          <w:p w:rsidR="00DD759E" w:rsidRPr="00C17582" w:rsidRDefault="00DD759E" w:rsidP="000031E2">
            <w:pPr>
              <w:pStyle w:val="TableFigText"/>
              <w:jc w:val="right"/>
            </w:pPr>
            <w:r w:rsidRPr="00C17582">
              <w:t>0.1</w:t>
            </w:r>
          </w:p>
        </w:tc>
        <w:tc>
          <w:tcPr>
            <w:tcW w:w="1068" w:type="dxa"/>
            <w:vAlign w:val="bottom"/>
          </w:tcPr>
          <w:p w:rsidR="00DD759E" w:rsidRPr="00C17582" w:rsidRDefault="00DD759E" w:rsidP="000031E2">
            <w:pPr>
              <w:pStyle w:val="TableFigText"/>
              <w:jc w:val="right"/>
            </w:pPr>
            <w:r w:rsidRPr="00C17582">
              <w:t>0.0</w:t>
            </w:r>
          </w:p>
        </w:tc>
        <w:tc>
          <w:tcPr>
            <w:tcW w:w="1059" w:type="dxa"/>
            <w:vAlign w:val="bottom"/>
          </w:tcPr>
          <w:p w:rsidR="00DD759E" w:rsidRPr="00C17582" w:rsidRDefault="00DD759E" w:rsidP="000031E2">
            <w:pPr>
              <w:pStyle w:val="TableFigText"/>
              <w:jc w:val="right"/>
            </w:pPr>
            <w:r w:rsidRPr="00C17582">
              <w:t>4.2</w:t>
            </w:r>
          </w:p>
        </w:tc>
      </w:tr>
      <w:tr w:rsidR="00DD759E" w:rsidRPr="00B476FB" w:rsidTr="00987128">
        <w:tc>
          <w:tcPr>
            <w:tcW w:w="2406" w:type="dxa"/>
          </w:tcPr>
          <w:p w:rsidR="00DD759E" w:rsidRPr="00B476FB" w:rsidRDefault="00DD759E" w:rsidP="00987128">
            <w:pPr>
              <w:pStyle w:val="TableFigText"/>
              <w:keepNext/>
              <w:rPr>
                <w:rFonts w:asciiTheme="minorHAnsi" w:hAnsiTheme="minorHAnsi" w:cstheme="minorHAnsi"/>
                <w:szCs w:val="22"/>
              </w:rPr>
            </w:pPr>
            <w:r w:rsidRPr="00B476FB">
              <w:rPr>
                <w:rFonts w:asciiTheme="minorHAnsi" w:hAnsiTheme="minorHAnsi" w:cstheme="minorHAnsi"/>
                <w:szCs w:val="22"/>
              </w:rPr>
              <w:t>Consumer workers</w:t>
            </w:r>
            <w:r w:rsidRPr="00B476FB">
              <w:rPr>
                <w:rFonts w:asciiTheme="minorHAnsi" w:hAnsiTheme="minorHAnsi" w:cstheme="minorHAnsi"/>
                <w:szCs w:val="22"/>
                <w:vertAlign w:val="superscript"/>
              </w:rPr>
              <w:t>(d)</w:t>
            </w:r>
          </w:p>
        </w:tc>
        <w:tc>
          <w:tcPr>
            <w:tcW w:w="1159" w:type="dxa"/>
            <w:vAlign w:val="bottom"/>
          </w:tcPr>
          <w:p w:rsidR="00DD759E" w:rsidRPr="00C17582" w:rsidRDefault="00DD759E" w:rsidP="000031E2">
            <w:pPr>
              <w:pStyle w:val="TableFigText"/>
              <w:jc w:val="right"/>
            </w:pPr>
            <w:r w:rsidRPr="00C17582">
              <w:t>7.7</w:t>
            </w:r>
          </w:p>
        </w:tc>
        <w:tc>
          <w:tcPr>
            <w:tcW w:w="1347" w:type="dxa"/>
            <w:vAlign w:val="bottom"/>
          </w:tcPr>
          <w:p w:rsidR="00DD759E" w:rsidRPr="00C17582" w:rsidRDefault="00DD759E" w:rsidP="000031E2">
            <w:pPr>
              <w:pStyle w:val="TableFigText"/>
              <w:jc w:val="right"/>
            </w:pPr>
            <w:r w:rsidRPr="00C17582">
              <w:t>0.1</w:t>
            </w:r>
          </w:p>
        </w:tc>
        <w:tc>
          <w:tcPr>
            <w:tcW w:w="1222" w:type="dxa"/>
            <w:vAlign w:val="bottom"/>
          </w:tcPr>
          <w:p w:rsidR="00DD759E" w:rsidRPr="00C17582" w:rsidRDefault="00DD759E" w:rsidP="000031E2">
            <w:pPr>
              <w:pStyle w:val="TableFigText"/>
              <w:jc w:val="right"/>
            </w:pPr>
            <w:r w:rsidRPr="00C17582">
              <w:t>0.3</w:t>
            </w:r>
          </w:p>
        </w:tc>
        <w:tc>
          <w:tcPr>
            <w:tcW w:w="1025" w:type="dxa"/>
            <w:vAlign w:val="bottom"/>
          </w:tcPr>
          <w:p w:rsidR="00DD759E" w:rsidRPr="00C17582" w:rsidRDefault="00DD759E" w:rsidP="000031E2">
            <w:pPr>
              <w:pStyle w:val="TableFigText"/>
              <w:jc w:val="right"/>
            </w:pPr>
            <w:r w:rsidRPr="00C17582">
              <w:t>0.1</w:t>
            </w:r>
          </w:p>
        </w:tc>
        <w:tc>
          <w:tcPr>
            <w:tcW w:w="1068" w:type="dxa"/>
            <w:vAlign w:val="bottom"/>
          </w:tcPr>
          <w:p w:rsidR="00DD759E" w:rsidRPr="00C17582" w:rsidRDefault="00DD759E" w:rsidP="000031E2">
            <w:pPr>
              <w:pStyle w:val="TableFigText"/>
              <w:jc w:val="right"/>
            </w:pPr>
            <w:r w:rsidRPr="00C17582">
              <w:t>0.0</w:t>
            </w:r>
          </w:p>
        </w:tc>
        <w:tc>
          <w:tcPr>
            <w:tcW w:w="1059" w:type="dxa"/>
            <w:vAlign w:val="bottom"/>
          </w:tcPr>
          <w:p w:rsidR="00DD759E" w:rsidRPr="00C17582" w:rsidRDefault="00DD759E" w:rsidP="000031E2">
            <w:pPr>
              <w:pStyle w:val="TableFigText"/>
              <w:jc w:val="right"/>
            </w:pPr>
            <w:r w:rsidRPr="00C17582">
              <w:t>8.2</w:t>
            </w:r>
          </w:p>
        </w:tc>
      </w:tr>
      <w:tr w:rsidR="00DD759E" w:rsidRPr="00B476FB" w:rsidTr="00987128">
        <w:tc>
          <w:tcPr>
            <w:tcW w:w="2406" w:type="dxa"/>
          </w:tcPr>
          <w:p w:rsidR="00DD759E" w:rsidRPr="00B476FB" w:rsidRDefault="00DD759E" w:rsidP="00987128">
            <w:pPr>
              <w:pStyle w:val="TableFigText"/>
              <w:keepNext/>
              <w:rPr>
                <w:rFonts w:asciiTheme="minorHAnsi" w:hAnsiTheme="minorHAnsi" w:cstheme="minorHAnsi"/>
                <w:szCs w:val="22"/>
              </w:rPr>
            </w:pPr>
            <w:r w:rsidRPr="00B476FB">
              <w:rPr>
                <w:rFonts w:asciiTheme="minorHAnsi" w:hAnsiTheme="minorHAnsi" w:cstheme="minorHAnsi"/>
                <w:szCs w:val="22"/>
              </w:rPr>
              <w:t>Other personal care</w:t>
            </w:r>
            <w:r w:rsidRPr="00B476FB">
              <w:rPr>
                <w:rFonts w:asciiTheme="minorHAnsi" w:hAnsiTheme="minorHAnsi" w:cstheme="minorHAnsi"/>
                <w:szCs w:val="22"/>
                <w:vertAlign w:val="superscript"/>
              </w:rPr>
              <w:t>(e)</w:t>
            </w:r>
          </w:p>
        </w:tc>
        <w:tc>
          <w:tcPr>
            <w:tcW w:w="1159" w:type="dxa"/>
            <w:vAlign w:val="bottom"/>
          </w:tcPr>
          <w:p w:rsidR="00DD759E" w:rsidRPr="00C17582" w:rsidRDefault="00DD759E" w:rsidP="000031E2">
            <w:pPr>
              <w:pStyle w:val="TableFigText"/>
              <w:jc w:val="right"/>
            </w:pPr>
            <w:r w:rsidRPr="00C17582">
              <w:t>110.7</w:t>
            </w:r>
          </w:p>
        </w:tc>
        <w:tc>
          <w:tcPr>
            <w:tcW w:w="1347" w:type="dxa"/>
            <w:vAlign w:val="bottom"/>
          </w:tcPr>
          <w:p w:rsidR="00DD759E" w:rsidRPr="00C17582" w:rsidRDefault="00DD759E" w:rsidP="000031E2">
            <w:pPr>
              <w:pStyle w:val="TableFigText"/>
              <w:jc w:val="right"/>
            </w:pPr>
            <w:r w:rsidRPr="00C17582">
              <w:t>1.7</w:t>
            </w:r>
          </w:p>
        </w:tc>
        <w:tc>
          <w:tcPr>
            <w:tcW w:w="1222" w:type="dxa"/>
            <w:vAlign w:val="bottom"/>
          </w:tcPr>
          <w:p w:rsidR="00DD759E" w:rsidRPr="00C17582" w:rsidRDefault="00DD759E" w:rsidP="000031E2">
            <w:pPr>
              <w:pStyle w:val="TableFigText"/>
              <w:jc w:val="right"/>
            </w:pPr>
            <w:r w:rsidRPr="00C17582">
              <w:t>8.1</w:t>
            </w:r>
          </w:p>
        </w:tc>
        <w:tc>
          <w:tcPr>
            <w:tcW w:w="1025" w:type="dxa"/>
            <w:vAlign w:val="bottom"/>
          </w:tcPr>
          <w:p w:rsidR="00DD759E" w:rsidRPr="00C17582" w:rsidRDefault="00DD759E" w:rsidP="000031E2">
            <w:pPr>
              <w:pStyle w:val="TableFigText"/>
              <w:jc w:val="right"/>
            </w:pPr>
            <w:r w:rsidRPr="00C17582">
              <w:t>2.0</w:t>
            </w:r>
          </w:p>
        </w:tc>
        <w:tc>
          <w:tcPr>
            <w:tcW w:w="1068" w:type="dxa"/>
            <w:vAlign w:val="bottom"/>
          </w:tcPr>
          <w:p w:rsidR="00DD759E" w:rsidRPr="00C17582" w:rsidRDefault="00DD759E" w:rsidP="000031E2">
            <w:pPr>
              <w:pStyle w:val="TableFigText"/>
              <w:jc w:val="right"/>
            </w:pPr>
            <w:r w:rsidRPr="00C17582">
              <w:t>0.0</w:t>
            </w:r>
          </w:p>
        </w:tc>
        <w:tc>
          <w:tcPr>
            <w:tcW w:w="1059" w:type="dxa"/>
            <w:vAlign w:val="bottom"/>
          </w:tcPr>
          <w:p w:rsidR="00DD759E" w:rsidRPr="00C17582" w:rsidRDefault="00DD759E" w:rsidP="000031E2">
            <w:pPr>
              <w:pStyle w:val="TableFigText"/>
              <w:jc w:val="right"/>
            </w:pPr>
            <w:r w:rsidRPr="00C17582">
              <w:t>122.5</w:t>
            </w:r>
          </w:p>
        </w:tc>
      </w:tr>
      <w:tr w:rsidR="00DD759E" w:rsidRPr="00B476FB" w:rsidTr="00987128">
        <w:tc>
          <w:tcPr>
            <w:tcW w:w="2406" w:type="dxa"/>
          </w:tcPr>
          <w:p w:rsidR="00DD759E" w:rsidRPr="00B476FB" w:rsidRDefault="00DD759E" w:rsidP="00987128">
            <w:pPr>
              <w:pStyle w:val="TableFigText"/>
              <w:keepNext/>
              <w:rPr>
                <w:rFonts w:asciiTheme="minorHAnsi" w:hAnsiTheme="minorHAnsi" w:cstheme="minorHAnsi"/>
                <w:szCs w:val="22"/>
              </w:rPr>
            </w:pPr>
            <w:r w:rsidRPr="00B476FB">
              <w:rPr>
                <w:rFonts w:asciiTheme="minorHAnsi" w:hAnsiTheme="minorHAnsi" w:cstheme="minorHAnsi"/>
                <w:szCs w:val="22"/>
              </w:rPr>
              <w:t>Other staffing categories</w:t>
            </w:r>
            <w:r w:rsidRPr="00B476FB">
              <w:rPr>
                <w:rFonts w:asciiTheme="minorHAnsi" w:hAnsiTheme="minorHAnsi" w:cstheme="minorHAnsi"/>
                <w:szCs w:val="22"/>
                <w:vertAlign w:val="superscript"/>
              </w:rPr>
              <w:t>(f)</w:t>
            </w:r>
          </w:p>
        </w:tc>
        <w:tc>
          <w:tcPr>
            <w:tcW w:w="1159" w:type="dxa"/>
            <w:vAlign w:val="bottom"/>
          </w:tcPr>
          <w:p w:rsidR="00DD759E" w:rsidRPr="00C17582" w:rsidRDefault="00DD759E" w:rsidP="000031E2">
            <w:pPr>
              <w:pStyle w:val="TableFigText"/>
              <w:jc w:val="right"/>
            </w:pPr>
            <w:r w:rsidRPr="00C17582">
              <w:t>301.3</w:t>
            </w:r>
          </w:p>
        </w:tc>
        <w:tc>
          <w:tcPr>
            <w:tcW w:w="1347" w:type="dxa"/>
            <w:vAlign w:val="bottom"/>
          </w:tcPr>
          <w:p w:rsidR="00DD759E" w:rsidRPr="00C17582" w:rsidRDefault="00DD759E" w:rsidP="000031E2">
            <w:pPr>
              <w:pStyle w:val="TableFigText"/>
              <w:jc w:val="right"/>
            </w:pPr>
            <w:r w:rsidRPr="00C17582">
              <w:t>2.7</w:t>
            </w:r>
          </w:p>
        </w:tc>
        <w:tc>
          <w:tcPr>
            <w:tcW w:w="1222" w:type="dxa"/>
            <w:vAlign w:val="bottom"/>
          </w:tcPr>
          <w:p w:rsidR="00DD759E" w:rsidRPr="00C17582" w:rsidRDefault="00DD759E" w:rsidP="000031E2">
            <w:pPr>
              <w:pStyle w:val="TableFigText"/>
              <w:jc w:val="right"/>
            </w:pPr>
            <w:r w:rsidRPr="00C17582">
              <w:t>8.2</w:t>
            </w:r>
          </w:p>
        </w:tc>
        <w:tc>
          <w:tcPr>
            <w:tcW w:w="1025" w:type="dxa"/>
            <w:vAlign w:val="bottom"/>
          </w:tcPr>
          <w:p w:rsidR="00DD759E" w:rsidRPr="00C17582" w:rsidRDefault="00DD759E" w:rsidP="000031E2">
            <w:pPr>
              <w:pStyle w:val="TableFigText"/>
              <w:jc w:val="right"/>
            </w:pPr>
            <w:r w:rsidRPr="00C17582">
              <w:t>2.3</w:t>
            </w:r>
          </w:p>
        </w:tc>
        <w:tc>
          <w:tcPr>
            <w:tcW w:w="1068" w:type="dxa"/>
            <w:vAlign w:val="bottom"/>
          </w:tcPr>
          <w:p w:rsidR="00DD759E" w:rsidRPr="00C17582" w:rsidRDefault="00DD759E" w:rsidP="000031E2">
            <w:pPr>
              <w:pStyle w:val="TableFigText"/>
              <w:jc w:val="right"/>
            </w:pPr>
            <w:r w:rsidRPr="00C17582">
              <w:t>0.0</w:t>
            </w:r>
          </w:p>
        </w:tc>
        <w:tc>
          <w:tcPr>
            <w:tcW w:w="1059" w:type="dxa"/>
            <w:vAlign w:val="bottom"/>
          </w:tcPr>
          <w:p w:rsidR="00DD759E" w:rsidRPr="00C17582" w:rsidRDefault="00DD759E" w:rsidP="000031E2">
            <w:pPr>
              <w:pStyle w:val="TableFigText"/>
              <w:jc w:val="right"/>
            </w:pPr>
            <w:r w:rsidRPr="00C17582">
              <w:t>314.5</w:t>
            </w:r>
          </w:p>
        </w:tc>
      </w:tr>
      <w:tr w:rsidR="00DD759E" w:rsidRPr="00B476FB" w:rsidTr="00987128">
        <w:tc>
          <w:tcPr>
            <w:tcW w:w="2406" w:type="dxa"/>
          </w:tcPr>
          <w:p w:rsidR="00DD759E" w:rsidRPr="00B476FB" w:rsidRDefault="00DD759E" w:rsidP="00987128">
            <w:pPr>
              <w:pStyle w:val="TableFigText"/>
              <w:keepNext/>
              <w:rPr>
                <w:rFonts w:asciiTheme="minorHAnsi" w:hAnsiTheme="minorHAnsi" w:cstheme="minorHAnsi"/>
                <w:b/>
                <w:szCs w:val="22"/>
              </w:rPr>
            </w:pPr>
            <w:r w:rsidRPr="00B476FB">
              <w:rPr>
                <w:rFonts w:asciiTheme="minorHAnsi" w:hAnsiTheme="minorHAnsi" w:cstheme="minorHAnsi"/>
                <w:b/>
                <w:szCs w:val="22"/>
              </w:rPr>
              <w:t>Total</w:t>
            </w:r>
            <w:r w:rsidRPr="00B476FB">
              <w:rPr>
                <w:rFonts w:asciiTheme="minorHAnsi" w:hAnsiTheme="minorHAnsi" w:cstheme="minorHAnsi"/>
                <w:b/>
                <w:szCs w:val="22"/>
                <w:vertAlign w:val="superscript"/>
              </w:rPr>
              <w:t>(a)</w:t>
            </w:r>
          </w:p>
        </w:tc>
        <w:tc>
          <w:tcPr>
            <w:tcW w:w="1159" w:type="dxa"/>
            <w:vAlign w:val="bottom"/>
          </w:tcPr>
          <w:p w:rsidR="00DD759E" w:rsidRPr="000031E2" w:rsidRDefault="00DD759E" w:rsidP="000031E2">
            <w:pPr>
              <w:pStyle w:val="TableFigText"/>
              <w:jc w:val="right"/>
              <w:rPr>
                <w:b/>
              </w:rPr>
            </w:pPr>
            <w:r w:rsidRPr="000031E2">
              <w:rPr>
                <w:b/>
              </w:rPr>
              <w:t>2,221.9</w:t>
            </w:r>
          </w:p>
        </w:tc>
        <w:tc>
          <w:tcPr>
            <w:tcW w:w="1347" w:type="dxa"/>
            <w:vAlign w:val="bottom"/>
          </w:tcPr>
          <w:p w:rsidR="00DD759E" w:rsidRPr="000031E2" w:rsidRDefault="00DD759E" w:rsidP="000031E2">
            <w:pPr>
              <w:pStyle w:val="TableFigText"/>
              <w:jc w:val="right"/>
              <w:rPr>
                <w:b/>
              </w:rPr>
            </w:pPr>
            <w:r w:rsidRPr="000031E2">
              <w:rPr>
                <w:b/>
              </w:rPr>
              <w:t>29.4</w:t>
            </w:r>
          </w:p>
        </w:tc>
        <w:tc>
          <w:tcPr>
            <w:tcW w:w="1222" w:type="dxa"/>
            <w:vAlign w:val="bottom"/>
          </w:tcPr>
          <w:p w:rsidR="00DD759E" w:rsidRPr="000031E2" w:rsidRDefault="00DD759E" w:rsidP="000031E2">
            <w:pPr>
              <w:pStyle w:val="TableFigText"/>
              <w:jc w:val="right"/>
              <w:rPr>
                <w:b/>
              </w:rPr>
            </w:pPr>
            <w:r w:rsidRPr="000031E2">
              <w:rPr>
                <w:b/>
              </w:rPr>
              <w:t>84.2</w:t>
            </w:r>
          </w:p>
        </w:tc>
        <w:tc>
          <w:tcPr>
            <w:tcW w:w="1025" w:type="dxa"/>
            <w:vAlign w:val="bottom"/>
          </w:tcPr>
          <w:p w:rsidR="00DD759E" w:rsidRPr="000031E2" w:rsidRDefault="00DD759E" w:rsidP="000031E2">
            <w:pPr>
              <w:pStyle w:val="TableFigText"/>
              <w:jc w:val="right"/>
              <w:rPr>
                <w:b/>
              </w:rPr>
            </w:pPr>
            <w:r w:rsidRPr="000031E2">
              <w:rPr>
                <w:b/>
              </w:rPr>
              <w:t>24.6</w:t>
            </w:r>
          </w:p>
        </w:tc>
        <w:tc>
          <w:tcPr>
            <w:tcW w:w="1068" w:type="dxa"/>
            <w:vAlign w:val="bottom"/>
          </w:tcPr>
          <w:p w:rsidR="00DD759E" w:rsidRPr="000031E2" w:rsidRDefault="00DD759E" w:rsidP="000031E2">
            <w:pPr>
              <w:pStyle w:val="TableFigText"/>
              <w:jc w:val="right"/>
              <w:rPr>
                <w:b/>
              </w:rPr>
            </w:pPr>
            <w:r w:rsidRPr="000031E2">
              <w:rPr>
                <w:b/>
              </w:rPr>
              <w:t>0.0</w:t>
            </w:r>
          </w:p>
        </w:tc>
        <w:tc>
          <w:tcPr>
            <w:tcW w:w="1059" w:type="dxa"/>
            <w:vAlign w:val="bottom"/>
          </w:tcPr>
          <w:p w:rsidR="00DD759E" w:rsidRPr="000031E2" w:rsidRDefault="00DD759E" w:rsidP="000031E2">
            <w:pPr>
              <w:pStyle w:val="TableFigText"/>
              <w:jc w:val="right"/>
              <w:rPr>
                <w:b/>
              </w:rPr>
            </w:pPr>
            <w:r w:rsidRPr="000031E2">
              <w:rPr>
                <w:b/>
              </w:rPr>
              <w:t>2,360.1</w:t>
            </w:r>
          </w:p>
        </w:tc>
      </w:tr>
    </w:tbl>
    <w:p w:rsidR="00DD759E" w:rsidRPr="00540186" w:rsidRDefault="00DD759E" w:rsidP="00540186">
      <w:pPr>
        <w:pStyle w:val="TableFigNotesnumbered"/>
        <w:numPr>
          <w:ilvl w:val="0"/>
          <w:numId w:val="89"/>
        </w:numPr>
        <w:rPr>
          <w:rStyle w:val="table-note"/>
        </w:rPr>
      </w:pPr>
      <w:r w:rsidRPr="00540186">
        <w:rPr>
          <w:rStyle w:val="table-note"/>
        </w:rPr>
        <w:t>Totals may not add due to rounding.</w:t>
      </w:r>
    </w:p>
    <w:p w:rsidR="00DD759E" w:rsidRPr="00540186" w:rsidRDefault="00DD759E" w:rsidP="00540186">
      <w:pPr>
        <w:pStyle w:val="TableFigNotesnumbered"/>
        <w:numPr>
          <w:ilvl w:val="0"/>
          <w:numId w:val="89"/>
        </w:numPr>
        <w:rPr>
          <w:rStyle w:val="table-note"/>
        </w:rPr>
      </w:pPr>
      <w:r w:rsidRPr="00540186">
        <w:rPr>
          <w:rStyle w:val="table-note"/>
        </w:rPr>
        <w:t>Diagnostic and health professionals includes qualified staff (other than qualified medical or nursing staff) engaged in duties of a diagnostic, professional or technical nature and covers all allied health professionals and laboratory technicians, including Social Workers, Occupational Therapists and others  (</w:t>
      </w:r>
      <w:proofErr w:type="spellStart"/>
      <w:r w:rsidRPr="00540186">
        <w:rPr>
          <w:rStyle w:val="table-note"/>
        </w:rPr>
        <w:t>METeOR</w:t>
      </w:r>
      <w:proofErr w:type="spellEnd"/>
      <w:r w:rsidRPr="00540186">
        <w:rPr>
          <w:rStyle w:val="table-note"/>
        </w:rPr>
        <w:t xml:space="preserve"> identifier 287611).</w:t>
      </w:r>
    </w:p>
    <w:p w:rsidR="00DD759E" w:rsidRPr="00540186" w:rsidRDefault="00DD759E" w:rsidP="00540186">
      <w:pPr>
        <w:pStyle w:val="TableFigNotesnumbered"/>
        <w:numPr>
          <w:ilvl w:val="0"/>
          <w:numId w:val="89"/>
        </w:numPr>
        <w:rPr>
          <w:rStyle w:val="table-note"/>
        </w:rPr>
      </w:pPr>
      <w:r w:rsidRPr="00540186">
        <w:rPr>
          <w:rStyle w:val="table-note"/>
        </w:rPr>
        <w:t>Includes registered and enrolled nurses.</w:t>
      </w:r>
    </w:p>
    <w:p w:rsidR="00DD759E" w:rsidRPr="00540186" w:rsidRDefault="00DD759E" w:rsidP="00540186">
      <w:pPr>
        <w:pStyle w:val="TableFigNotesnumbered"/>
        <w:numPr>
          <w:ilvl w:val="0"/>
          <w:numId w:val="89"/>
        </w:numPr>
        <w:rPr>
          <w:rStyle w:val="table-note"/>
        </w:rPr>
      </w:pPr>
      <w:r w:rsidRPr="00540186">
        <w:rPr>
          <w:rStyle w:val="table-note"/>
        </w:rPr>
        <w:t xml:space="preserve">The definition of these categories was modified from 'consultants' to 'mental health workers' for the 2010–11 collection, in order to capture a variety of contemporary roles. </w:t>
      </w:r>
    </w:p>
    <w:p w:rsidR="00DD759E" w:rsidRPr="00540186" w:rsidRDefault="00DD759E" w:rsidP="00540186">
      <w:pPr>
        <w:pStyle w:val="TableFigNotesnumbered"/>
        <w:numPr>
          <w:ilvl w:val="0"/>
          <w:numId w:val="89"/>
        </w:numPr>
        <w:rPr>
          <w:rStyle w:val="table-note"/>
        </w:rPr>
      </w:pPr>
      <w:r w:rsidRPr="00540186">
        <w:rPr>
          <w:rStyle w:val="table-note"/>
        </w:rPr>
        <w:t>Other personal care staff includes staff engaged primarily in the provision of personal care to patients or residents, not formally qualified, for example attendants, assistants of home assistance, home companions, family aides, ward helpers, warders, orderlies, ward assistants and nursing assistants (</w:t>
      </w:r>
      <w:proofErr w:type="spellStart"/>
      <w:r w:rsidRPr="00540186">
        <w:rPr>
          <w:rStyle w:val="table-note"/>
        </w:rPr>
        <w:t>METeOR</w:t>
      </w:r>
      <w:proofErr w:type="spellEnd"/>
      <w:r w:rsidRPr="00540186">
        <w:rPr>
          <w:rStyle w:val="table-note"/>
        </w:rPr>
        <w:t xml:space="preserve"> 270171).</w:t>
      </w:r>
    </w:p>
    <w:p w:rsidR="00DD759E" w:rsidRPr="00540186" w:rsidRDefault="00DD759E" w:rsidP="00540186">
      <w:pPr>
        <w:pStyle w:val="TableFigNotesnumbered"/>
        <w:numPr>
          <w:ilvl w:val="0"/>
          <w:numId w:val="89"/>
        </w:numPr>
        <w:rPr>
          <w:rStyle w:val="table-note"/>
        </w:rPr>
      </w:pPr>
      <w:r w:rsidRPr="00540186">
        <w:rPr>
          <w:rStyle w:val="table-note"/>
        </w:rPr>
        <w:t xml:space="preserve">Other </w:t>
      </w:r>
      <w:proofErr w:type="gramStart"/>
      <w:r w:rsidRPr="00540186">
        <w:rPr>
          <w:rStyle w:val="table-note"/>
        </w:rPr>
        <w:t>staff</w:t>
      </w:r>
      <w:proofErr w:type="gramEnd"/>
      <w:r w:rsidRPr="00540186">
        <w:rPr>
          <w:rStyle w:val="table-note"/>
        </w:rPr>
        <w:t xml:space="preserve"> includes administrative and clerical and domestic and other staff categories. </w:t>
      </w:r>
    </w:p>
    <w:p w:rsidR="00DD759E" w:rsidRPr="00207B28" w:rsidRDefault="00DD759E" w:rsidP="00DD759E">
      <w:pPr>
        <w:spacing w:before="0" w:after="0" w:line="240" w:lineRule="auto"/>
        <w:rPr>
          <w:rFonts w:asciiTheme="minorHAnsi" w:hAnsiTheme="minorHAnsi" w:cstheme="minorHAnsi"/>
        </w:rPr>
      </w:pPr>
    </w:p>
    <w:p w:rsidR="00DD759E" w:rsidRPr="008C2A85" w:rsidRDefault="00DD759E" w:rsidP="00DD759E">
      <w:pPr>
        <w:spacing w:before="0" w:after="0" w:line="240" w:lineRule="auto"/>
        <w:rPr>
          <w:rFonts w:asciiTheme="minorHAnsi" w:hAnsiTheme="minorHAnsi" w:cstheme="minorHAnsi"/>
          <w:sz w:val="14"/>
          <w:szCs w:val="20"/>
          <w:lang w:eastAsia="en-US"/>
        </w:rPr>
      </w:pPr>
      <w:r w:rsidRPr="00540186">
        <w:rPr>
          <w:rStyle w:val="table-note"/>
          <w:rFonts w:ascii="Arial" w:hAnsi="Arial"/>
          <w:sz w:val="14"/>
          <w:szCs w:val="20"/>
          <w:lang w:eastAsia="en-US"/>
        </w:rPr>
        <w:t>Notes:</w:t>
      </w:r>
      <w:r w:rsidRPr="008C2A85">
        <w:rPr>
          <w:rFonts w:asciiTheme="minorHAnsi" w:hAnsiTheme="minorHAnsi" w:cstheme="minorHAnsi"/>
          <w:sz w:val="14"/>
          <w:szCs w:val="20"/>
          <w:lang w:eastAsia="en-US"/>
        </w:rPr>
        <w:tab/>
      </w:r>
    </w:p>
    <w:p w:rsidR="00DD759E" w:rsidRPr="00540186" w:rsidRDefault="00DD759E" w:rsidP="00540186">
      <w:pPr>
        <w:pStyle w:val="ListParagraph"/>
        <w:numPr>
          <w:ilvl w:val="0"/>
          <w:numId w:val="26"/>
        </w:numPr>
        <w:spacing w:after="0" w:line="240" w:lineRule="auto"/>
        <w:rPr>
          <w:rStyle w:val="table-note"/>
          <w:rFonts w:ascii="Arial" w:eastAsia="Times New Roman" w:hAnsi="Arial" w:cs="Times New Roman"/>
          <w:sz w:val="14"/>
          <w:szCs w:val="20"/>
          <w:lang w:eastAsia="en-US"/>
        </w:rPr>
      </w:pPr>
      <w:r w:rsidRPr="00540186">
        <w:rPr>
          <w:rStyle w:val="table-note"/>
          <w:rFonts w:ascii="Arial" w:eastAsia="Times New Roman" w:hAnsi="Arial" w:cs="Times New Roman"/>
          <w:sz w:val="14"/>
          <w:szCs w:val="20"/>
          <w:lang w:eastAsia="en-US"/>
        </w:rPr>
        <w:t xml:space="preserve">Includes consumer and carer workers and staff employed at a higher organisational level. Excludes staff employed at regional or state level in mental health policy units of the associated relevant health department or equivalent. </w:t>
      </w:r>
    </w:p>
    <w:p w:rsidR="00DD759E" w:rsidRPr="000E0677" w:rsidRDefault="000E0677" w:rsidP="00DD759E">
      <w:pPr>
        <w:pStyle w:val="TableCaption"/>
        <w:rPr>
          <w:rStyle w:val="table-note"/>
        </w:rPr>
      </w:pPr>
      <w:r w:rsidRPr="000E0677">
        <w:rPr>
          <w:rStyle w:val="table-note"/>
        </w:rPr>
        <w:t xml:space="preserve">Table 50: </w:t>
      </w:r>
      <w:r w:rsidR="00DD759E" w:rsidRPr="000E0677">
        <w:rPr>
          <w:rStyle w:val="table-note"/>
        </w:rPr>
        <w:t xml:space="preserve">SA: State and territory specialised mental health service activity, by service type, 2007–08 </w:t>
      </w:r>
    </w:p>
    <w:tbl>
      <w:tblPr>
        <w:tblStyle w:val="TableGrid"/>
        <w:tblW w:w="9322" w:type="dxa"/>
        <w:tblLook w:val="04A0" w:firstRow="1" w:lastRow="0" w:firstColumn="1" w:lastColumn="0" w:noHBand="0" w:noVBand="1"/>
        <w:tblCaption w:val="Table 50: SA: State and territory specialised mental health service activity, by service type, 2007–08 "/>
        <w:tblDescription w:val="Table showing that, in 2007-08, community mental health care contacts was the highest specialised mental health service activity type recorded across all region types in SA at 454,280 followed by hospital days at 197,644 and residential mental health care days at 17,301. "/>
      </w:tblPr>
      <w:tblGrid>
        <w:gridCol w:w="2345"/>
        <w:gridCol w:w="1070"/>
        <w:gridCol w:w="1403"/>
        <w:gridCol w:w="1265"/>
        <w:gridCol w:w="987"/>
        <w:gridCol w:w="1125"/>
        <w:gridCol w:w="1127"/>
      </w:tblGrid>
      <w:tr w:rsidR="00DD759E" w:rsidRPr="00856F57" w:rsidTr="000C3DEA">
        <w:trPr>
          <w:tblHeader/>
        </w:trPr>
        <w:tc>
          <w:tcPr>
            <w:tcW w:w="2376" w:type="dxa"/>
          </w:tcPr>
          <w:p w:rsidR="00DD759E" w:rsidRPr="00856F57" w:rsidRDefault="00DD759E" w:rsidP="00987128">
            <w:pPr>
              <w:pStyle w:val="TableFigText"/>
              <w:keepNext/>
              <w:rPr>
                <w:rFonts w:asciiTheme="minorHAnsi" w:hAnsiTheme="minorHAnsi" w:cstheme="minorHAnsi"/>
                <w:szCs w:val="22"/>
              </w:rPr>
            </w:pPr>
          </w:p>
        </w:tc>
        <w:tc>
          <w:tcPr>
            <w:tcW w:w="1077" w:type="dxa"/>
          </w:tcPr>
          <w:p w:rsidR="00DD759E" w:rsidRPr="00856F57" w:rsidRDefault="00DD759E" w:rsidP="00D3443B">
            <w:pPr>
              <w:pStyle w:val="TableFigText"/>
              <w:keepNext/>
              <w:ind w:right="-108"/>
              <w:jc w:val="center"/>
              <w:rPr>
                <w:rFonts w:asciiTheme="minorHAnsi" w:hAnsiTheme="minorHAnsi" w:cstheme="minorHAnsi"/>
                <w:b/>
                <w:szCs w:val="22"/>
              </w:rPr>
            </w:pPr>
            <w:r w:rsidRPr="00856F57">
              <w:rPr>
                <w:rFonts w:asciiTheme="minorHAnsi" w:hAnsiTheme="minorHAnsi" w:cstheme="minorHAnsi"/>
                <w:b/>
                <w:szCs w:val="22"/>
              </w:rPr>
              <w:t>Major cit</w:t>
            </w:r>
            <w:r w:rsidR="00D3443B">
              <w:rPr>
                <w:rFonts w:asciiTheme="minorHAnsi" w:hAnsiTheme="minorHAnsi" w:cstheme="minorHAnsi"/>
                <w:b/>
                <w:szCs w:val="22"/>
              </w:rPr>
              <w:t>ies</w:t>
            </w:r>
          </w:p>
        </w:tc>
        <w:tc>
          <w:tcPr>
            <w:tcW w:w="1417" w:type="dxa"/>
          </w:tcPr>
          <w:p w:rsidR="00DD759E" w:rsidRPr="00856F57" w:rsidRDefault="00DD759E" w:rsidP="00987128">
            <w:pPr>
              <w:pStyle w:val="TableFigText"/>
              <w:keepNext/>
              <w:jc w:val="right"/>
              <w:rPr>
                <w:rFonts w:asciiTheme="minorHAnsi" w:hAnsiTheme="minorHAnsi" w:cstheme="minorHAnsi"/>
                <w:b/>
                <w:szCs w:val="22"/>
              </w:rPr>
            </w:pPr>
            <w:r w:rsidRPr="00856F57">
              <w:rPr>
                <w:rFonts w:asciiTheme="minorHAnsi" w:hAnsiTheme="minorHAnsi" w:cstheme="minorHAnsi"/>
                <w:b/>
                <w:szCs w:val="22"/>
              </w:rPr>
              <w:t>Inner regional</w:t>
            </w:r>
          </w:p>
        </w:tc>
        <w:tc>
          <w:tcPr>
            <w:tcW w:w="1276" w:type="dxa"/>
          </w:tcPr>
          <w:p w:rsidR="00DD759E" w:rsidRPr="00856F57" w:rsidRDefault="00DD759E" w:rsidP="00987128">
            <w:pPr>
              <w:pStyle w:val="TableFigText"/>
              <w:keepNext/>
              <w:jc w:val="right"/>
              <w:rPr>
                <w:rFonts w:asciiTheme="minorHAnsi" w:hAnsiTheme="minorHAnsi" w:cstheme="minorHAnsi"/>
                <w:b/>
                <w:szCs w:val="22"/>
              </w:rPr>
            </w:pPr>
            <w:r w:rsidRPr="00856F57">
              <w:rPr>
                <w:rFonts w:asciiTheme="minorHAnsi" w:hAnsiTheme="minorHAnsi" w:cstheme="minorHAnsi"/>
                <w:b/>
                <w:szCs w:val="22"/>
              </w:rPr>
              <w:t>Outer regional</w:t>
            </w:r>
          </w:p>
        </w:tc>
        <w:tc>
          <w:tcPr>
            <w:tcW w:w="992" w:type="dxa"/>
          </w:tcPr>
          <w:p w:rsidR="00DD759E" w:rsidRPr="00856F57" w:rsidRDefault="00DD759E" w:rsidP="00987128">
            <w:pPr>
              <w:pStyle w:val="TableFigText"/>
              <w:keepNext/>
              <w:jc w:val="right"/>
              <w:rPr>
                <w:rFonts w:asciiTheme="minorHAnsi" w:hAnsiTheme="minorHAnsi" w:cstheme="minorHAnsi"/>
                <w:b/>
                <w:szCs w:val="22"/>
              </w:rPr>
            </w:pPr>
            <w:r w:rsidRPr="00856F57">
              <w:rPr>
                <w:rFonts w:asciiTheme="minorHAnsi" w:hAnsiTheme="minorHAnsi" w:cstheme="minorHAnsi"/>
                <w:b/>
                <w:szCs w:val="22"/>
              </w:rPr>
              <w:t>Remote</w:t>
            </w:r>
          </w:p>
        </w:tc>
        <w:tc>
          <w:tcPr>
            <w:tcW w:w="1134" w:type="dxa"/>
          </w:tcPr>
          <w:p w:rsidR="00DD759E" w:rsidRPr="00856F57" w:rsidRDefault="00DD759E" w:rsidP="00987128">
            <w:pPr>
              <w:pStyle w:val="TableFigText"/>
              <w:keepNext/>
              <w:jc w:val="right"/>
              <w:rPr>
                <w:rFonts w:asciiTheme="minorHAnsi" w:hAnsiTheme="minorHAnsi" w:cstheme="minorHAnsi"/>
                <w:b/>
                <w:szCs w:val="22"/>
              </w:rPr>
            </w:pPr>
            <w:r w:rsidRPr="00856F57">
              <w:rPr>
                <w:rFonts w:asciiTheme="minorHAnsi" w:hAnsiTheme="minorHAnsi" w:cstheme="minorHAnsi"/>
                <w:b/>
                <w:szCs w:val="22"/>
              </w:rPr>
              <w:t>Very remote</w:t>
            </w:r>
          </w:p>
        </w:tc>
        <w:tc>
          <w:tcPr>
            <w:tcW w:w="1134" w:type="dxa"/>
          </w:tcPr>
          <w:p w:rsidR="00DD759E" w:rsidRPr="00856F57" w:rsidRDefault="00DD759E" w:rsidP="00987128">
            <w:pPr>
              <w:pStyle w:val="TableFigText"/>
              <w:keepNext/>
              <w:jc w:val="right"/>
              <w:rPr>
                <w:rFonts w:asciiTheme="minorHAnsi" w:hAnsiTheme="minorHAnsi" w:cstheme="minorHAnsi"/>
                <w:b/>
                <w:szCs w:val="22"/>
              </w:rPr>
            </w:pPr>
            <w:r w:rsidRPr="00856F57">
              <w:rPr>
                <w:rFonts w:asciiTheme="minorHAnsi" w:hAnsiTheme="minorHAnsi" w:cstheme="minorHAnsi"/>
                <w:b/>
                <w:szCs w:val="22"/>
              </w:rPr>
              <w:t>Total</w:t>
            </w:r>
          </w:p>
        </w:tc>
      </w:tr>
      <w:tr w:rsidR="00DD759E" w:rsidRPr="00856F57" w:rsidTr="00D3443B">
        <w:tc>
          <w:tcPr>
            <w:tcW w:w="2376" w:type="dxa"/>
          </w:tcPr>
          <w:p w:rsidR="00DD759E" w:rsidRPr="00856F57" w:rsidRDefault="00DD759E" w:rsidP="00987128">
            <w:pPr>
              <w:pStyle w:val="TableFigText"/>
              <w:keepNext/>
              <w:rPr>
                <w:rFonts w:asciiTheme="minorHAnsi" w:hAnsiTheme="minorHAnsi" w:cstheme="minorHAnsi"/>
                <w:szCs w:val="22"/>
              </w:rPr>
            </w:pPr>
            <w:r w:rsidRPr="00856F57">
              <w:rPr>
                <w:rFonts w:asciiTheme="minorHAnsi" w:hAnsiTheme="minorHAnsi" w:cstheme="minorHAnsi"/>
                <w:szCs w:val="22"/>
              </w:rPr>
              <w:t>Hospital days</w:t>
            </w:r>
            <w:r w:rsidRPr="00856F57">
              <w:rPr>
                <w:rFonts w:asciiTheme="minorHAnsi" w:hAnsiTheme="minorHAnsi" w:cstheme="minorHAnsi"/>
                <w:szCs w:val="22"/>
                <w:vertAlign w:val="superscript"/>
              </w:rPr>
              <w:t>(a)</w:t>
            </w:r>
          </w:p>
        </w:tc>
        <w:tc>
          <w:tcPr>
            <w:tcW w:w="1077" w:type="dxa"/>
            <w:vAlign w:val="center"/>
          </w:tcPr>
          <w:p w:rsidR="00DD759E" w:rsidRPr="00C17582" w:rsidRDefault="00DD759E" w:rsidP="00937F0D">
            <w:pPr>
              <w:pStyle w:val="TableFigText"/>
              <w:jc w:val="right"/>
            </w:pPr>
            <w:r w:rsidRPr="00C17582">
              <w:t>197,644</w:t>
            </w:r>
          </w:p>
        </w:tc>
        <w:tc>
          <w:tcPr>
            <w:tcW w:w="1417" w:type="dxa"/>
            <w:vAlign w:val="center"/>
          </w:tcPr>
          <w:p w:rsidR="00DD759E" w:rsidRPr="00C17582" w:rsidRDefault="00DD759E" w:rsidP="00937F0D">
            <w:pPr>
              <w:pStyle w:val="TableFigText"/>
              <w:jc w:val="right"/>
            </w:pPr>
            <w:r w:rsidRPr="00C17582">
              <w:t>0</w:t>
            </w:r>
          </w:p>
        </w:tc>
        <w:tc>
          <w:tcPr>
            <w:tcW w:w="1276" w:type="dxa"/>
            <w:vAlign w:val="center"/>
          </w:tcPr>
          <w:p w:rsidR="00DD759E" w:rsidRPr="00C17582" w:rsidRDefault="00DD759E" w:rsidP="00937F0D">
            <w:pPr>
              <w:pStyle w:val="TableFigText"/>
              <w:jc w:val="right"/>
            </w:pPr>
            <w:r w:rsidRPr="00C17582">
              <w:t>0</w:t>
            </w:r>
          </w:p>
        </w:tc>
        <w:tc>
          <w:tcPr>
            <w:tcW w:w="992" w:type="dxa"/>
            <w:vAlign w:val="center"/>
          </w:tcPr>
          <w:p w:rsidR="00DD759E" w:rsidRPr="00C17582" w:rsidRDefault="00DD759E" w:rsidP="00937F0D">
            <w:pPr>
              <w:pStyle w:val="TableFigText"/>
              <w:jc w:val="right"/>
            </w:pPr>
            <w:r w:rsidRPr="00C17582">
              <w:t>0</w:t>
            </w:r>
          </w:p>
        </w:tc>
        <w:tc>
          <w:tcPr>
            <w:tcW w:w="1134" w:type="dxa"/>
            <w:vAlign w:val="center"/>
          </w:tcPr>
          <w:p w:rsidR="00DD759E" w:rsidRPr="00C17582" w:rsidRDefault="00DD759E" w:rsidP="00937F0D">
            <w:pPr>
              <w:pStyle w:val="TableFigText"/>
              <w:jc w:val="right"/>
            </w:pPr>
            <w:r w:rsidRPr="00C17582">
              <w:t>0</w:t>
            </w:r>
          </w:p>
        </w:tc>
        <w:tc>
          <w:tcPr>
            <w:tcW w:w="1134" w:type="dxa"/>
            <w:vAlign w:val="center"/>
          </w:tcPr>
          <w:p w:rsidR="00DD759E" w:rsidRPr="00C17582" w:rsidRDefault="00DD759E" w:rsidP="00937F0D">
            <w:pPr>
              <w:pStyle w:val="TableFigText"/>
              <w:jc w:val="right"/>
            </w:pPr>
            <w:r w:rsidRPr="00C17582">
              <w:t>197,644</w:t>
            </w:r>
          </w:p>
        </w:tc>
      </w:tr>
      <w:tr w:rsidR="00DD759E" w:rsidRPr="00856F57" w:rsidTr="00D3443B">
        <w:tc>
          <w:tcPr>
            <w:tcW w:w="2376" w:type="dxa"/>
          </w:tcPr>
          <w:p w:rsidR="00DD759E" w:rsidRPr="00856F57" w:rsidRDefault="00DD759E" w:rsidP="00987128">
            <w:pPr>
              <w:pStyle w:val="TableFigText"/>
              <w:keepNext/>
              <w:rPr>
                <w:rFonts w:asciiTheme="minorHAnsi" w:hAnsiTheme="minorHAnsi" w:cstheme="minorHAnsi"/>
                <w:szCs w:val="22"/>
              </w:rPr>
            </w:pPr>
            <w:r w:rsidRPr="00856F57">
              <w:rPr>
                <w:rFonts w:asciiTheme="minorHAnsi" w:hAnsiTheme="minorHAnsi" w:cstheme="minorHAnsi"/>
                <w:szCs w:val="22"/>
              </w:rPr>
              <w:t>Community mental health care contacts</w:t>
            </w:r>
            <w:r w:rsidRPr="00856F57">
              <w:rPr>
                <w:rFonts w:asciiTheme="minorHAnsi" w:hAnsiTheme="minorHAnsi" w:cstheme="minorHAnsi"/>
                <w:szCs w:val="22"/>
                <w:vertAlign w:val="superscript"/>
              </w:rPr>
              <w:t>(b)</w:t>
            </w:r>
            <w:r w:rsidRPr="00856F57">
              <w:rPr>
                <w:rFonts w:asciiTheme="minorHAnsi" w:hAnsiTheme="minorHAnsi" w:cstheme="minorHAnsi"/>
                <w:szCs w:val="22"/>
              </w:rPr>
              <w:t xml:space="preserve"> </w:t>
            </w:r>
          </w:p>
        </w:tc>
        <w:tc>
          <w:tcPr>
            <w:tcW w:w="1077" w:type="dxa"/>
            <w:vAlign w:val="center"/>
          </w:tcPr>
          <w:p w:rsidR="00DD759E" w:rsidRPr="00C17582" w:rsidRDefault="00DD759E" w:rsidP="00937F0D">
            <w:pPr>
              <w:pStyle w:val="TableFigText"/>
              <w:jc w:val="right"/>
            </w:pPr>
            <w:r w:rsidRPr="00C17582">
              <w:t>405,839</w:t>
            </w:r>
          </w:p>
        </w:tc>
        <w:tc>
          <w:tcPr>
            <w:tcW w:w="1417" w:type="dxa"/>
            <w:vAlign w:val="center"/>
          </w:tcPr>
          <w:p w:rsidR="00DD759E" w:rsidRPr="00C17582" w:rsidRDefault="00DD759E" w:rsidP="00937F0D">
            <w:pPr>
              <w:pStyle w:val="TableFigText"/>
              <w:jc w:val="right"/>
            </w:pPr>
            <w:r w:rsidRPr="00C17582">
              <w:t>13,476</w:t>
            </w:r>
          </w:p>
        </w:tc>
        <w:tc>
          <w:tcPr>
            <w:tcW w:w="1276" w:type="dxa"/>
            <w:vAlign w:val="center"/>
          </w:tcPr>
          <w:p w:rsidR="00DD759E" w:rsidRPr="00C17582" w:rsidRDefault="00DD759E" w:rsidP="00937F0D">
            <w:pPr>
              <w:pStyle w:val="TableFigText"/>
              <w:jc w:val="right"/>
            </w:pPr>
            <w:r w:rsidRPr="00C17582">
              <w:t>28,571</w:t>
            </w:r>
          </w:p>
        </w:tc>
        <w:tc>
          <w:tcPr>
            <w:tcW w:w="992" w:type="dxa"/>
            <w:vAlign w:val="center"/>
          </w:tcPr>
          <w:p w:rsidR="00DD759E" w:rsidRPr="00C17582" w:rsidRDefault="00DD759E" w:rsidP="00937F0D">
            <w:pPr>
              <w:pStyle w:val="TableFigText"/>
              <w:jc w:val="right"/>
            </w:pPr>
            <w:r w:rsidRPr="00C17582">
              <w:t>5,207</w:t>
            </w:r>
          </w:p>
        </w:tc>
        <w:tc>
          <w:tcPr>
            <w:tcW w:w="1134" w:type="dxa"/>
            <w:vAlign w:val="center"/>
          </w:tcPr>
          <w:p w:rsidR="00DD759E" w:rsidRPr="00C17582" w:rsidRDefault="00DD759E" w:rsidP="00937F0D">
            <w:pPr>
              <w:pStyle w:val="TableFigText"/>
              <w:jc w:val="right"/>
            </w:pPr>
            <w:r w:rsidRPr="00C17582">
              <w:t>1,187</w:t>
            </w:r>
          </w:p>
        </w:tc>
        <w:tc>
          <w:tcPr>
            <w:tcW w:w="1134" w:type="dxa"/>
            <w:vAlign w:val="center"/>
          </w:tcPr>
          <w:p w:rsidR="00DD759E" w:rsidRPr="00C17582" w:rsidRDefault="00DD759E" w:rsidP="00937F0D">
            <w:pPr>
              <w:pStyle w:val="TableFigText"/>
              <w:jc w:val="right"/>
            </w:pPr>
            <w:r w:rsidRPr="00C17582">
              <w:t>454,280</w:t>
            </w:r>
          </w:p>
        </w:tc>
      </w:tr>
      <w:tr w:rsidR="00DD759E" w:rsidRPr="00856F57" w:rsidTr="00D3443B">
        <w:tc>
          <w:tcPr>
            <w:tcW w:w="2376" w:type="dxa"/>
          </w:tcPr>
          <w:p w:rsidR="00DD759E" w:rsidRPr="00856F57" w:rsidRDefault="00DD759E" w:rsidP="00987128">
            <w:pPr>
              <w:pStyle w:val="TableFigText"/>
              <w:keepNext/>
              <w:rPr>
                <w:rFonts w:asciiTheme="minorHAnsi" w:hAnsiTheme="minorHAnsi" w:cstheme="minorHAnsi"/>
                <w:szCs w:val="22"/>
              </w:rPr>
            </w:pPr>
            <w:r w:rsidRPr="00856F57">
              <w:rPr>
                <w:rFonts w:asciiTheme="minorHAnsi" w:hAnsiTheme="minorHAnsi" w:cstheme="minorHAnsi"/>
                <w:szCs w:val="22"/>
              </w:rPr>
              <w:t>Residential mental health care days</w:t>
            </w:r>
            <w:r w:rsidRPr="00856F57">
              <w:rPr>
                <w:rFonts w:asciiTheme="minorHAnsi" w:hAnsiTheme="minorHAnsi" w:cstheme="minorHAnsi"/>
                <w:szCs w:val="22"/>
                <w:vertAlign w:val="superscript"/>
              </w:rPr>
              <w:t>(c)</w:t>
            </w:r>
          </w:p>
        </w:tc>
        <w:tc>
          <w:tcPr>
            <w:tcW w:w="1077" w:type="dxa"/>
            <w:vAlign w:val="center"/>
          </w:tcPr>
          <w:p w:rsidR="00DD759E" w:rsidRPr="00C17582" w:rsidRDefault="00DD759E" w:rsidP="00937F0D">
            <w:pPr>
              <w:pStyle w:val="TableFigText"/>
              <w:jc w:val="right"/>
            </w:pPr>
            <w:r w:rsidRPr="00C17582">
              <w:t>17,301</w:t>
            </w:r>
          </w:p>
        </w:tc>
        <w:tc>
          <w:tcPr>
            <w:tcW w:w="1417" w:type="dxa"/>
            <w:vAlign w:val="center"/>
          </w:tcPr>
          <w:p w:rsidR="00DD759E" w:rsidRPr="00C17582" w:rsidRDefault="00DD759E" w:rsidP="00937F0D">
            <w:pPr>
              <w:pStyle w:val="TableFigText"/>
              <w:jc w:val="right"/>
            </w:pPr>
            <w:r w:rsidRPr="00C17582">
              <w:t>0</w:t>
            </w:r>
          </w:p>
        </w:tc>
        <w:tc>
          <w:tcPr>
            <w:tcW w:w="1276" w:type="dxa"/>
            <w:vAlign w:val="center"/>
          </w:tcPr>
          <w:p w:rsidR="00DD759E" w:rsidRPr="00C17582" w:rsidRDefault="00DD759E" w:rsidP="00937F0D">
            <w:pPr>
              <w:pStyle w:val="TableFigText"/>
              <w:jc w:val="right"/>
            </w:pPr>
            <w:r w:rsidRPr="00C17582">
              <w:t>0</w:t>
            </w:r>
          </w:p>
        </w:tc>
        <w:tc>
          <w:tcPr>
            <w:tcW w:w="992" w:type="dxa"/>
            <w:vAlign w:val="center"/>
          </w:tcPr>
          <w:p w:rsidR="00DD759E" w:rsidRPr="00C17582" w:rsidRDefault="00DD759E" w:rsidP="00937F0D">
            <w:pPr>
              <w:pStyle w:val="TableFigText"/>
              <w:jc w:val="right"/>
            </w:pPr>
            <w:r w:rsidRPr="00C17582">
              <w:t>0</w:t>
            </w:r>
          </w:p>
        </w:tc>
        <w:tc>
          <w:tcPr>
            <w:tcW w:w="1134" w:type="dxa"/>
            <w:vAlign w:val="center"/>
          </w:tcPr>
          <w:p w:rsidR="00DD759E" w:rsidRPr="00C17582" w:rsidRDefault="00DD759E" w:rsidP="00937F0D">
            <w:pPr>
              <w:pStyle w:val="TableFigText"/>
              <w:jc w:val="right"/>
            </w:pPr>
            <w:r w:rsidRPr="00C17582">
              <w:t>0</w:t>
            </w:r>
          </w:p>
        </w:tc>
        <w:tc>
          <w:tcPr>
            <w:tcW w:w="1134" w:type="dxa"/>
            <w:vAlign w:val="center"/>
          </w:tcPr>
          <w:p w:rsidR="00DD759E" w:rsidRPr="00C17582" w:rsidRDefault="00DD759E" w:rsidP="00937F0D">
            <w:pPr>
              <w:pStyle w:val="TableFigText"/>
              <w:jc w:val="right"/>
            </w:pPr>
            <w:r w:rsidRPr="00C17582">
              <w:t>17,301</w:t>
            </w:r>
          </w:p>
        </w:tc>
      </w:tr>
    </w:tbl>
    <w:p w:rsidR="00DD759E" w:rsidRPr="00540186" w:rsidRDefault="00DD759E" w:rsidP="00540186">
      <w:pPr>
        <w:pStyle w:val="TableFigNotesnumbered"/>
        <w:numPr>
          <w:ilvl w:val="0"/>
          <w:numId w:val="90"/>
        </w:numPr>
        <w:rPr>
          <w:rStyle w:val="table-note"/>
        </w:rPr>
      </w:pPr>
      <w:r w:rsidRPr="00540186">
        <w:rPr>
          <w:rStyle w:val="table-note"/>
        </w:rPr>
        <w:t xml:space="preserve">Hospital days, also known as accrued mental health care days for public hospital services, will not equal figures reported from the National hospital morbidity database due to scope differences between the two collections.  </w:t>
      </w:r>
    </w:p>
    <w:p w:rsidR="00DD759E" w:rsidRPr="00540186" w:rsidRDefault="00DD759E" w:rsidP="00540186">
      <w:pPr>
        <w:pStyle w:val="TableFigNotesnumbered"/>
        <w:numPr>
          <w:ilvl w:val="0"/>
          <w:numId w:val="90"/>
        </w:numPr>
        <w:rPr>
          <w:rStyle w:val="table-note"/>
        </w:rPr>
      </w:pPr>
      <w:r w:rsidRPr="00540186">
        <w:rPr>
          <w:rStyle w:val="table-note"/>
        </w:rPr>
        <w:lastRenderedPageBreak/>
        <w:t xml:space="preserve">Community mental health care contacts will not equate to those reported from the Community mental health care database due to differing scope. </w:t>
      </w:r>
    </w:p>
    <w:p w:rsidR="00DD759E" w:rsidRPr="00540186" w:rsidRDefault="00DD759E" w:rsidP="00540186">
      <w:pPr>
        <w:pStyle w:val="TableFigNotesnumbered"/>
        <w:numPr>
          <w:ilvl w:val="0"/>
          <w:numId w:val="90"/>
        </w:numPr>
        <w:rPr>
          <w:rStyle w:val="table-note"/>
        </w:rPr>
      </w:pPr>
      <w:proofErr w:type="gramStart"/>
      <w:r w:rsidRPr="00540186">
        <w:rPr>
          <w:rStyle w:val="table-note"/>
        </w:rPr>
        <w:t>Residential mental health care days comprises</w:t>
      </w:r>
      <w:proofErr w:type="gramEnd"/>
      <w:r w:rsidRPr="00540186">
        <w:rPr>
          <w:rStyle w:val="table-note"/>
        </w:rPr>
        <w:t xml:space="preserve"> the number of care days provided by all services, including government and non-government operated services, and 24-hour and non-24-hour staffed services. Figures will not equate to those reported from the Residential mental health care database due to differing collection scopes.</w:t>
      </w:r>
    </w:p>
    <w:p w:rsidR="00DD759E" w:rsidRPr="000E0677" w:rsidRDefault="000E0677" w:rsidP="00DD759E">
      <w:pPr>
        <w:pStyle w:val="TableCaption"/>
        <w:rPr>
          <w:rStyle w:val="table-note"/>
        </w:rPr>
      </w:pPr>
      <w:r w:rsidRPr="000E0677">
        <w:rPr>
          <w:rStyle w:val="table-note"/>
        </w:rPr>
        <w:t xml:space="preserve">Table 51: </w:t>
      </w:r>
      <w:r w:rsidR="00DD759E" w:rsidRPr="000E0677">
        <w:rPr>
          <w:rStyle w:val="table-note"/>
        </w:rPr>
        <w:t>SA: State and territory specialised mental health service activity, by service type, 2011–12</w:t>
      </w:r>
    </w:p>
    <w:tbl>
      <w:tblPr>
        <w:tblStyle w:val="TableGrid"/>
        <w:tblW w:w="0" w:type="auto"/>
        <w:tblLook w:val="04A0" w:firstRow="1" w:lastRow="0" w:firstColumn="1" w:lastColumn="0" w:noHBand="0" w:noVBand="1"/>
        <w:tblCaption w:val="SA: State and territory specialised mental health service activity, by service type, 2011–12"/>
        <w:tblDescription w:val="Table showing that, in 2011-12, community mental health care contacts was the highest specialised mental health service activity type recorded across all region types in SA at 611,381, followed by hospital days at 161,797 and residential mental health care days at 39,809. "/>
      </w:tblPr>
      <w:tblGrid>
        <w:gridCol w:w="2382"/>
        <w:gridCol w:w="1059"/>
        <w:gridCol w:w="1379"/>
        <w:gridCol w:w="1251"/>
        <w:gridCol w:w="1047"/>
        <w:gridCol w:w="1093"/>
        <w:gridCol w:w="1075"/>
      </w:tblGrid>
      <w:tr w:rsidR="00DD759E" w:rsidRPr="00856F57" w:rsidTr="000C3DEA">
        <w:trPr>
          <w:tblHeader/>
        </w:trPr>
        <w:tc>
          <w:tcPr>
            <w:tcW w:w="2490" w:type="dxa"/>
          </w:tcPr>
          <w:p w:rsidR="00DD759E" w:rsidRPr="00856F57" w:rsidRDefault="00DD759E" w:rsidP="00987128">
            <w:pPr>
              <w:pStyle w:val="TableFigText"/>
              <w:rPr>
                <w:rFonts w:asciiTheme="minorHAnsi" w:hAnsiTheme="minorHAnsi" w:cstheme="minorHAnsi"/>
                <w:szCs w:val="22"/>
              </w:rPr>
            </w:pPr>
          </w:p>
        </w:tc>
        <w:tc>
          <w:tcPr>
            <w:tcW w:w="1079" w:type="dxa"/>
          </w:tcPr>
          <w:p w:rsidR="00DD759E" w:rsidRPr="00856F57" w:rsidRDefault="00DD759E" w:rsidP="00987128">
            <w:pPr>
              <w:pStyle w:val="TableFigText"/>
              <w:jc w:val="right"/>
              <w:rPr>
                <w:rFonts w:asciiTheme="minorHAnsi" w:hAnsiTheme="minorHAnsi" w:cstheme="minorHAnsi"/>
                <w:b/>
                <w:szCs w:val="22"/>
              </w:rPr>
            </w:pPr>
            <w:r w:rsidRPr="00856F57">
              <w:rPr>
                <w:rFonts w:asciiTheme="minorHAnsi" w:hAnsiTheme="minorHAnsi" w:cstheme="minorHAnsi"/>
                <w:b/>
                <w:szCs w:val="22"/>
              </w:rPr>
              <w:t>Major cities</w:t>
            </w:r>
          </w:p>
        </w:tc>
        <w:tc>
          <w:tcPr>
            <w:tcW w:w="1427" w:type="dxa"/>
          </w:tcPr>
          <w:p w:rsidR="00DD759E" w:rsidRPr="00856F57" w:rsidRDefault="00DD759E" w:rsidP="00987128">
            <w:pPr>
              <w:pStyle w:val="TableFigText"/>
              <w:jc w:val="right"/>
              <w:rPr>
                <w:rFonts w:asciiTheme="minorHAnsi" w:hAnsiTheme="minorHAnsi" w:cstheme="minorHAnsi"/>
                <w:b/>
                <w:szCs w:val="22"/>
              </w:rPr>
            </w:pPr>
            <w:r w:rsidRPr="00856F57">
              <w:rPr>
                <w:rFonts w:asciiTheme="minorHAnsi" w:hAnsiTheme="minorHAnsi" w:cstheme="minorHAnsi"/>
                <w:b/>
                <w:szCs w:val="22"/>
              </w:rPr>
              <w:t>Inner regional</w:t>
            </w:r>
          </w:p>
        </w:tc>
        <w:tc>
          <w:tcPr>
            <w:tcW w:w="1289" w:type="dxa"/>
          </w:tcPr>
          <w:p w:rsidR="00DD759E" w:rsidRPr="00856F57" w:rsidRDefault="00DD759E" w:rsidP="00987128">
            <w:pPr>
              <w:pStyle w:val="TableFigText"/>
              <w:jc w:val="right"/>
              <w:rPr>
                <w:rFonts w:asciiTheme="minorHAnsi" w:hAnsiTheme="minorHAnsi" w:cstheme="minorHAnsi"/>
                <w:b/>
                <w:szCs w:val="22"/>
              </w:rPr>
            </w:pPr>
            <w:r w:rsidRPr="00856F57">
              <w:rPr>
                <w:rFonts w:asciiTheme="minorHAnsi" w:hAnsiTheme="minorHAnsi" w:cstheme="minorHAnsi"/>
                <w:b/>
                <w:szCs w:val="22"/>
              </w:rPr>
              <w:t>Outer regional</w:t>
            </w:r>
          </w:p>
        </w:tc>
        <w:tc>
          <w:tcPr>
            <w:tcW w:w="1071" w:type="dxa"/>
          </w:tcPr>
          <w:p w:rsidR="00DD759E" w:rsidRPr="00856F57" w:rsidRDefault="00DD759E" w:rsidP="00987128">
            <w:pPr>
              <w:pStyle w:val="TableFigText"/>
              <w:jc w:val="right"/>
              <w:rPr>
                <w:rFonts w:asciiTheme="minorHAnsi" w:hAnsiTheme="minorHAnsi" w:cstheme="minorHAnsi"/>
                <w:b/>
                <w:szCs w:val="22"/>
              </w:rPr>
            </w:pPr>
            <w:r w:rsidRPr="00856F57">
              <w:rPr>
                <w:rFonts w:asciiTheme="minorHAnsi" w:hAnsiTheme="minorHAnsi" w:cstheme="minorHAnsi"/>
                <w:b/>
                <w:szCs w:val="22"/>
              </w:rPr>
              <w:t>Remote</w:t>
            </w:r>
          </w:p>
        </w:tc>
        <w:tc>
          <w:tcPr>
            <w:tcW w:w="1123" w:type="dxa"/>
          </w:tcPr>
          <w:p w:rsidR="00DD759E" w:rsidRPr="00856F57" w:rsidRDefault="00DD759E" w:rsidP="00987128">
            <w:pPr>
              <w:pStyle w:val="TableFigText"/>
              <w:jc w:val="right"/>
              <w:rPr>
                <w:rFonts w:asciiTheme="minorHAnsi" w:hAnsiTheme="minorHAnsi" w:cstheme="minorHAnsi"/>
                <w:b/>
                <w:szCs w:val="22"/>
              </w:rPr>
            </w:pPr>
            <w:r w:rsidRPr="00856F57">
              <w:rPr>
                <w:rFonts w:asciiTheme="minorHAnsi" w:hAnsiTheme="minorHAnsi" w:cstheme="minorHAnsi"/>
                <w:b/>
                <w:szCs w:val="22"/>
              </w:rPr>
              <w:t>Very remote</w:t>
            </w:r>
          </w:p>
        </w:tc>
        <w:tc>
          <w:tcPr>
            <w:tcW w:w="1097" w:type="dxa"/>
          </w:tcPr>
          <w:p w:rsidR="00DD759E" w:rsidRPr="00856F57" w:rsidRDefault="00DD759E" w:rsidP="00987128">
            <w:pPr>
              <w:pStyle w:val="TableFigText"/>
              <w:jc w:val="right"/>
              <w:rPr>
                <w:rFonts w:asciiTheme="minorHAnsi" w:hAnsiTheme="minorHAnsi" w:cstheme="minorHAnsi"/>
                <w:b/>
                <w:szCs w:val="22"/>
              </w:rPr>
            </w:pPr>
            <w:r w:rsidRPr="00856F57">
              <w:rPr>
                <w:rFonts w:asciiTheme="minorHAnsi" w:hAnsiTheme="minorHAnsi" w:cstheme="minorHAnsi"/>
                <w:b/>
                <w:szCs w:val="22"/>
              </w:rPr>
              <w:t>Total</w:t>
            </w:r>
          </w:p>
        </w:tc>
      </w:tr>
      <w:tr w:rsidR="00DD759E" w:rsidRPr="00856F57" w:rsidTr="00987128">
        <w:tc>
          <w:tcPr>
            <w:tcW w:w="2490" w:type="dxa"/>
          </w:tcPr>
          <w:p w:rsidR="00DD759E" w:rsidRPr="00856F57" w:rsidRDefault="00DD759E" w:rsidP="00987128">
            <w:pPr>
              <w:pStyle w:val="TableFigText"/>
              <w:rPr>
                <w:rFonts w:asciiTheme="minorHAnsi" w:hAnsiTheme="minorHAnsi" w:cstheme="minorHAnsi"/>
                <w:szCs w:val="22"/>
              </w:rPr>
            </w:pPr>
            <w:r w:rsidRPr="00856F57">
              <w:rPr>
                <w:rFonts w:asciiTheme="minorHAnsi" w:hAnsiTheme="minorHAnsi" w:cstheme="minorHAnsi"/>
                <w:szCs w:val="22"/>
              </w:rPr>
              <w:t>Hospital days</w:t>
            </w:r>
            <w:r w:rsidRPr="00856F57">
              <w:rPr>
                <w:rFonts w:asciiTheme="minorHAnsi" w:hAnsiTheme="minorHAnsi" w:cstheme="minorHAnsi"/>
                <w:szCs w:val="22"/>
                <w:vertAlign w:val="superscript"/>
              </w:rPr>
              <w:t>(a)</w:t>
            </w:r>
          </w:p>
        </w:tc>
        <w:tc>
          <w:tcPr>
            <w:tcW w:w="1079" w:type="dxa"/>
            <w:vAlign w:val="center"/>
          </w:tcPr>
          <w:p w:rsidR="00DD759E" w:rsidRPr="00C17582" w:rsidRDefault="00DD759E" w:rsidP="00937F0D">
            <w:pPr>
              <w:pStyle w:val="TableFigText"/>
              <w:jc w:val="right"/>
            </w:pPr>
            <w:r w:rsidRPr="00C17582">
              <w:t>161,797</w:t>
            </w:r>
          </w:p>
        </w:tc>
        <w:tc>
          <w:tcPr>
            <w:tcW w:w="1427" w:type="dxa"/>
            <w:vAlign w:val="center"/>
          </w:tcPr>
          <w:p w:rsidR="00DD759E" w:rsidRPr="00C17582" w:rsidRDefault="00DD759E" w:rsidP="00937F0D">
            <w:pPr>
              <w:pStyle w:val="TableFigText"/>
              <w:jc w:val="right"/>
            </w:pPr>
            <w:r w:rsidRPr="00C17582">
              <w:t>0</w:t>
            </w:r>
          </w:p>
        </w:tc>
        <w:tc>
          <w:tcPr>
            <w:tcW w:w="1289" w:type="dxa"/>
            <w:vAlign w:val="center"/>
          </w:tcPr>
          <w:p w:rsidR="00DD759E" w:rsidRPr="00C17582" w:rsidRDefault="00DD759E" w:rsidP="00937F0D">
            <w:pPr>
              <w:pStyle w:val="TableFigText"/>
              <w:jc w:val="right"/>
            </w:pPr>
            <w:r w:rsidRPr="00C17582">
              <w:t>0</w:t>
            </w:r>
          </w:p>
        </w:tc>
        <w:tc>
          <w:tcPr>
            <w:tcW w:w="1071" w:type="dxa"/>
            <w:vAlign w:val="center"/>
          </w:tcPr>
          <w:p w:rsidR="00DD759E" w:rsidRPr="00C17582" w:rsidRDefault="00DD759E" w:rsidP="00937F0D">
            <w:pPr>
              <w:pStyle w:val="TableFigText"/>
              <w:jc w:val="right"/>
            </w:pPr>
            <w:r w:rsidRPr="00C17582">
              <w:t>0</w:t>
            </w:r>
          </w:p>
        </w:tc>
        <w:tc>
          <w:tcPr>
            <w:tcW w:w="1123" w:type="dxa"/>
            <w:vAlign w:val="center"/>
          </w:tcPr>
          <w:p w:rsidR="00DD759E" w:rsidRPr="00C17582" w:rsidRDefault="00DD759E" w:rsidP="00937F0D">
            <w:pPr>
              <w:pStyle w:val="TableFigText"/>
              <w:jc w:val="right"/>
            </w:pPr>
            <w:r w:rsidRPr="00C17582">
              <w:t>0</w:t>
            </w:r>
          </w:p>
        </w:tc>
        <w:tc>
          <w:tcPr>
            <w:tcW w:w="1097" w:type="dxa"/>
            <w:vAlign w:val="center"/>
          </w:tcPr>
          <w:p w:rsidR="00DD759E" w:rsidRPr="00C17582" w:rsidRDefault="00DD759E" w:rsidP="00937F0D">
            <w:pPr>
              <w:pStyle w:val="TableFigText"/>
              <w:jc w:val="right"/>
            </w:pPr>
            <w:r w:rsidRPr="00C17582">
              <w:t>161,797</w:t>
            </w:r>
          </w:p>
        </w:tc>
      </w:tr>
      <w:tr w:rsidR="00DD759E" w:rsidRPr="00856F57" w:rsidTr="00987128">
        <w:tc>
          <w:tcPr>
            <w:tcW w:w="2490" w:type="dxa"/>
          </w:tcPr>
          <w:p w:rsidR="00DD759E" w:rsidRPr="00856F57" w:rsidRDefault="00DD759E" w:rsidP="00987128">
            <w:pPr>
              <w:pStyle w:val="TableFigText"/>
              <w:rPr>
                <w:rFonts w:asciiTheme="minorHAnsi" w:hAnsiTheme="minorHAnsi" w:cstheme="minorHAnsi"/>
                <w:szCs w:val="22"/>
              </w:rPr>
            </w:pPr>
            <w:r w:rsidRPr="00856F57">
              <w:rPr>
                <w:rFonts w:asciiTheme="minorHAnsi" w:hAnsiTheme="minorHAnsi" w:cstheme="minorHAnsi"/>
                <w:szCs w:val="22"/>
              </w:rPr>
              <w:t>Community mental health care contacts</w:t>
            </w:r>
            <w:r w:rsidRPr="00856F57">
              <w:rPr>
                <w:rFonts w:asciiTheme="minorHAnsi" w:hAnsiTheme="minorHAnsi" w:cstheme="minorHAnsi"/>
                <w:szCs w:val="22"/>
                <w:vertAlign w:val="superscript"/>
              </w:rPr>
              <w:t>(b)</w:t>
            </w:r>
            <w:r w:rsidRPr="00856F57">
              <w:rPr>
                <w:rFonts w:asciiTheme="minorHAnsi" w:hAnsiTheme="minorHAnsi" w:cstheme="minorHAnsi"/>
                <w:szCs w:val="22"/>
              </w:rPr>
              <w:t xml:space="preserve"> </w:t>
            </w:r>
          </w:p>
        </w:tc>
        <w:tc>
          <w:tcPr>
            <w:tcW w:w="1079" w:type="dxa"/>
            <w:vAlign w:val="center"/>
          </w:tcPr>
          <w:p w:rsidR="00DD759E" w:rsidRPr="00C17582" w:rsidRDefault="00DD759E" w:rsidP="00937F0D">
            <w:pPr>
              <w:pStyle w:val="TableFigText"/>
              <w:jc w:val="right"/>
            </w:pPr>
            <w:r w:rsidRPr="00C17582">
              <w:t>558,838</w:t>
            </w:r>
          </w:p>
        </w:tc>
        <w:tc>
          <w:tcPr>
            <w:tcW w:w="1427" w:type="dxa"/>
            <w:vAlign w:val="center"/>
          </w:tcPr>
          <w:p w:rsidR="00DD759E" w:rsidRPr="00C17582" w:rsidRDefault="00DD759E" w:rsidP="00937F0D">
            <w:pPr>
              <w:pStyle w:val="TableFigText"/>
              <w:jc w:val="right"/>
            </w:pPr>
            <w:r w:rsidRPr="00C17582">
              <w:t>13,562</w:t>
            </w:r>
          </w:p>
        </w:tc>
        <w:tc>
          <w:tcPr>
            <w:tcW w:w="1289" w:type="dxa"/>
            <w:vAlign w:val="center"/>
          </w:tcPr>
          <w:p w:rsidR="00DD759E" w:rsidRPr="00C17582" w:rsidRDefault="00DD759E" w:rsidP="00937F0D">
            <w:pPr>
              <w:pStyle w:val="TableFigText"/>
              <w:jc w:val="right"/>
            </w:pPr>
            <w:r w:rsidRPr="00C17582">
              <w:t>30,298</w:t>
            </w:r>
          </w:p>
        </w:tc>
        <w:tc>
          <w:tcPr>
            <w:tcW w:w="1071" w:type="dxa"/>
            <w:vAlign w:val="center"/>
          </w:tcPr>
          <w:p w:rsidR="00DD759E" w:rsidRPr="00C17582" w:rsidRDefault="00DD759E" w:rsidP="00937F0D">
            <w:pPr>
              <w:pStyle w:val="TableFigText"/>
              <w:jc w:val="right"/>
            </w:pPr>
            <w:r w:rsidRPr="00C17582">
              <w:t>8,683</w:t>
            </w:r>
          </w:p>
        </w:tc>
        <w:tc>
          <w:tcPr>
            <w:tcW w:w="1123" w:type="dxa"/>
            <w:vAlign w:val="center"/>
          </w:tcPr>
          <w:p w:rsidR="00DD759E" w:rsidRPr="00C17582" w:rsidRDefault="00DD759E" w:rsidP="00937F0D">
            <w:pPr>
              <w:pStyle w:val="TableFigText"/>
              <w:jc w:val="right"/>
            </w:pPr>
            <w:r w:rsidRPr="00C17582">
              <w:t>0</w:t>
            </w:r>
          </w:p>
        </w:tc>
        <w:tc>
          <w:tcPr>
            <w:tcW w:w="1097" w:type="dxa"/>
            <w:vAlign w:val="center"/>
          </w:tcPr>
          <w:p w:rsidR="00DD759E" w:rsidRPr="00C17582" w:rsidRDefault="00DD759E" w:rsidP="00937F0D">
            <w:pPr>
              <w:pStyle w:val="TableFigText"/>
              <w:jc w:val="right"/>
            </w:pPr>
            <w:r w:rsidRPr="00C17582">
              <w:t>611,381</w:t>
            </w:r>
          </w:p>
        </w:tc>
      </w:tr>
      <w:tr w:rsidR="00DD759E" w:rsidRPr="00856F57" w:rsidTr="00987128">
        <w:tc>
          <w:tcPr>
            <w:tcW w:w="2490" w:type="dxa"/>
          </w:tcPr>
          <w:p w:rsidR="00DD759E" w:rsidRPr="00856F57" w:rsidRDefault="00DD759E" w:rsidP="00987128">
            <w:pPr>
              <w:pStyle w:val="TableFigText"/>
              <w:rPr>
                <w:rFonts w:asciiTheme="minorHAnsi" w:hAnsiTheme="minorHAnsi" w:cstheme="minorHAnsi"/>
                <w:szCs w:val="22"/>
              </w:rPr>
            </w:pPr>
            <w:r w:rsidRPr="00856F57">
              <w:rPr>
                <w:rFonts w:asciiTheme="minorHAnsi" w:hAnsiTheme="minorHAnsi" w:cstheme="minorHAnsi"/>
                <w:szCs w:val="22"/>
              </w:rPr>
              <w:t>Residential mental health care days</w:t>
            </w:r>
            <w:r w:rsidRPr="00856F57">
              <w:rPr>
                <w:rFonts w:asciiTheme="minorHAnsi" w:hAnsiTheme="minorHAnsi" w:cstheme="minorHAnsi"/>
                <w:szCs w:val="22"/>
                <w:vertAlign w:val="superscript"/>
              </w:rPr>
              <w:t>(c)</w:t>
            </w:r>
          </w:p>
        </w:tc>
        <w:tc>
          <w:tcPr>
            <w:tcW w:w="1079" w:type="dxa"/>
            <w:vAlign w:val="center"/>
          </w:tcPr>
          <w:p w:rsidR="00DD759E" w:rsidRPr="00C17582" w:rsidRDefault="00DD759E" w:rsidP="00937F0D">
            <w:pPr>
              <w:pStyle w:val="TableFigText"/>
              <w:jc w:val="right"/>
            </w:pPr>
            <w:r w:rsidRPr="00C17582">
              <w:t>39,809</w:t>
            </w:r>
          </w:p>
        </w:tc>
        <w:tc>
          <w:tcPr>
            <w:tcW w:w="1427" w:type="dxa"/>
            <w:vAlign w:val="center"/>
          </w:tcPr>
          <w:p w:rsidR="00DD759E" w:rsidRPr="00C17582" w:rsidRDefault="00DD759E" w:rsidP="00937F0D">
            <w:pPr>
              <w:pStyle w:val="TableFigText"/>
              <w:jc w:val="right"/>
            </w:pPr>
            <w:r w:rsidRPr="00C17582">
              <w:t>0</w:t>
            </w:r>
          </w:p>
        </w:tc>
        <w:tc>
          <w:tcPr>
            <w:tcW w:w="1289" w:type="dxa"/>
            <w:vAlign w:val="center"/>
          </w:tcPr>
          <w:p w:rsidR="00DD759E" w:rsidRPr="00C17582" w:rsidRDefault="00DD759E" w:rsidP="00937F0D">
            <w:pPr>
              <w:pStyle w:val="TableFigText"/>
              <w:jc w:val="right"/>
            </w:pPr>
            <w:r w:rsidRPr="00C17582">
              <w:t>0</w:t>
            </w:r>
          </w:p>
        </w:tc>
        <w:tc>
          <w:tcPr>
            <w:tcW w:w="1071" w:type="dxa"/>
            <w:vAlign w:val="center"/>
          </w:tcPr>
          <w:p w:rsidR="00DD759E" w:rsidRPr="00C17582" w:rsidRDefault="00DD759E" w:rsidP="00937F0D">
            <w:pPr>
              <w:pStyle w:val="TableFigText"/>
              <w:jc w:val="right"/>
            </w:pPr>
            <w:r w:rsidRPr="00C17582">
              <w:t>0</w:t>
            </w:r>
          </w:p>
        </w:tc>
        <w:tc>
          <w:tcPr>
            <w:tcW w:w="1123" w:type="dxa"/>
            <w:vAlign w:val="center"/>
          </w:tcPr>
          <w:p w:rsidR="00DD759E" w:rsidRPr="00C17582" w:rsidRDefault="00DD759E" w:rsidP="00937F0D">
            <w:pPr>
              <w:pStyle w:val="TableFigText"/>
              <w:jc w:val="right"/>
            </w:pPr>
            <w:r w:rsidRPr="00C17582">
              <w:t>0</w:t>
            </w:r>
          </w:p>
        </w:tc>
        <w:tc>
          <w:tcPr>
            <w:tcW w:w="1097" w:type="dxa"/>
            <w:vAlign w:val="center"/>
          </w:tcPr>
          <w:p w:rsidR="00DD759E" w:rsidRPr="00856F57" w:rsidRDefault="00DD759E" w:rsidP="00937F0D">
            <w:pPr>
              <w:pStyle w:val="TableFigText"/>
              <w:jc w:val="right"/>
            </w:pPr>
            <w:r w:rsidRPr="00C17582">
              <w:t>39,809</w:t>
            </w:r>
          </w:p>
        </w:tc>
      </w:tr>
    </w:tbl>
    <w:p w:rsidR="00DD759E" w:rsidRPr="00540186" w:rsidRDefault="00DD759E" w:rsidP="00540186">
      <w:pPr>
        <w:pStyle w:val="TableFigNotesnumbered"/>
        <w:numPr>
          <w:ilvl w:val="0"/>
          <w:numId w:val="91"/>
        </w:numPr>
        <w:rPr>
          <w:rStyle w:val="table-note"/>
        </w:rPr>
      </w:pPr>
      <w:r w:rsidRPr="00540186">
        <w:rPr>
          <w:rStyle w:val="table-note"/>
        </w:rPr>
        <w:t xml:space="preserve">Hospital days, also known as accrued mental health care days for public hospital services, will not equal figures reported from the National hospital morbidity database due to scope differences between the two collections.  </w:t>
      </w:r>
    </w:p>
    <w:p w:rsidR="00DD759E" w:rsidRPr="00540186" w:rsidRDefault="00DD759E" w:rsidP="00540186">
      <w:pPr>
        <w:pStyle w:val="TableFigNotesnumbered"/>
        <w:numPr>
          <w:ilvl w:val="0"/>
          <w:numId w:val="91"/>
        </w:numPr>
        <w:rPr>
          <w:rStyle w:val="table-note"/>
        </w:rPr>
      </w:pPr>
      <w:r w:rsidRPr="00540186">
        <w:rPr>
          <w:rStyle w:val="table-note"/>
        </w:rPr>
        <w:t xml:space="preserve">Community mental health care contacts will not equate to those reported from the Community mental health care database due to differing scope. </w:t>
      </w:r>
    </w:p>
    <w:p w:rsidR="00DD759E" w:rsidRPr="00540186" w:rsidRDefault="00DD759E" w:rsidP="00540186">
      <w:pPr>
        <w:pStyle w:val="TableFigNotesnumbered"/>
        <w:numPr>
          <w:ilvl w:val="0"/>
          <w:numId w:val="91"/>
        </w:numPr>
        <w:rPr>
          <w:rStyle w:val="table-note"/>
        </w:rPr>
      </w:pPr>
      <w:proofErr w:type="gramStart"/>
      <w:r w:rsidRPr="00540186">
        <w:rPr>
          <w:rStyle w:val="table-note"/>
        </w:rPr>
        <w:t>Residential mental health care days comprises</w:t>
      </w:r>
      <w:proofErr w:type="gramEnd"/>
      <w:r w:rsidRPr="00540186">
        <w:rPr>
          <w:rStyle w:val="table-note"/>
        </w:rPr>
        <w:t xml:space="preserve"> the number of care days provided by all services, including government and non-government operated services, and 24-hour and non-24-hour staffed services. Figures will not equate to those reported from the Residential mental health care database due to differing collection scopes.</w:t>
      </w:r>
    </w:p>
    <w:p w:rsidR="002265C7" w:rsidRDefault="002265C7">
      <w:pPr>
        <w:spacing w:before="0" w:after="0" w:line="240" w:lineRule="auto"/>
      </w:pPr>
      <w:r>
        <w:br w:type="page"/>
      </w:r>
    </w:p>
    <w:p w:rsidR="002265C7" w:rsidRPr="008B7E34" w:rsidRDefault="002265C7" w:rsidP="002265C7">
      <w:pPr>
        <w:pStyle w:val="Heading3"/>
      </w:pPr>
      <w:bookmarkStart w:id="16" w:name="_Toc403057867"/>
      <w:r>
        <w:lastRenderedPageBreak/>
        <w:t>Tasmania</w:t>
      </w:r>
      <w:bookmarkEnd w:id="16"/>
    </w:p>
    <w:p w:rsidR="00E17C0A" w:rsidRDefault="00E17C0A" w:rsidP="00BC0B4B">
      <w:pPr>
        <w:pStyle w:val="Bullet1"/>
      </w:pPr>
      <w:r>
        <w:t xml:space="preserve">Tasmanian hospital services are mostly located in </w:t>
      </w:r>
      <w:r w:rsidRPr="00DF7680">
        <w:rPr>
          <w:i/>
        </w:rPr>
        <w:t>Inner regional</w:t>
      </w:r>
      <w:r>
        <w:t xml:space="preserve"> and </w:t>
      </w:r>
      <w:r w:rsidRPr="00DF7680">
        <w:rPr>
          <w:i/>
        </w:rPr>
        <w:t>Outer regional</w:t>
      </w:r>
      <w:r>
        <w:t xml:space="preserve"> areas, however, several services, namely the Psychiatric Intensive Care Unit, Roy Fagan Centre and Millbrook Rise, employ a model of care that accepts state</w:t>
      </w:r>
      <w:r w:rsidR="00BC0B4B">
        <w:t>-</w:t>
      </w:r>
      <w:r>
        <w:t xml:space="preserve">wide admissions. </w:t>
      </w:r>
      <w:r w:rsidRPr="00174D2C">
        <w:t xml:space="preserve"> </w:t>
      </w:r>
      <w:r>
        <w:t xml:space="preserve">See </w:t>
      </w:r>
      <w:hyperlink r:id="rId23" w:history="1">
        <w:r w:rsidRPr="00356AB8">
          <w:rPr>
            <w:rStyle w:val="Hyperlink"/>
          </w:rPr>
          <w:t>Tasmanian Department of Health and Human services, Inpatient and Extended Treatment Mental Health Services for more information</w:t>
        </w:r>
      </w:hyperlink>
      <w:r>
        <w:t>.</w:t>
      </w:r>
    </w:p>
    <w:p w:rsidR="00E17C0A" w:rsidRDefault="00E17C0A" w:rsidP="00BC0B4B">
      <w:pPr>
        <w:pStyle w:val="Bullet1"/>
      </w:pPr>
      <w:r w:rsidRPr="008C2A85">
        <w:t xml:space="preserve">The remoteness methodology contained in the general ‘Methodology and caveats’ has been altered for Tasmania with the remote concordance re-mapped to outer or inner regional as appropriate.  Inclusion of the remote category inappropriately allocated a small number of resources providing a misleading picture of resource allocation. </w:t>
      </w:r>
    </w:p>
    <w:p w:rsidR="00AF46B7" w:rsidRDefault="00AF46B7" w:rsidP="00AF46B7">
      <w:pPr>
        <w:rPr>
          <w:szCs w:val="20"/>
          <w:lang w:eastAsia="en-US"/>
        </w:rPr>
      </w:pPr>
    </w:p>
    <w:p w:rsidR="00AF46B7" w:rsidRDefault="00AF46B7">
      <w:pPr>
        <w:spacing w:before="0" w:after="0" w:line="240" w:lineRule="auto"/>
        <w:rPr>
          <w:szCs w:val="20"/>
          <w:lang w:eastAsia="en-US"/>
        </w:rPr>
      </w:pPr>
      <w:r>
        <w:br w:type="page"/>
      </w:r>
    </w:p>
    <w:p w:rsidR="00E17C0A" w:rsidRPr="000E0677" w:rsidRDefault="000E0677" w:rsidP="00E17C0A">
      <w:pPr>
        <w:pStyle w:val="TableCaption"/>
        <w:rPr>
          <w:rStyle w:val="table-note"/>
        </w:rPr>
      </w:pPr>
      <w:r w:rsidRPr="000E0677">
        <w:rPr>
          <w:rStyle w:val="table-note"/>
        </w:rPr>
        <w:lastRenderedPageBreak/>
        <w:t xml:space="preserve">Table 52: </w:t>
      </w:r>
      <w:r w:rsidR="00E17C0A" w:rsidRPr="000E0677">
        <w:rPr>
          <w:rStyle w:val="table-note"/>
        </w:rPr>
        <w:t xml:space="preserve">TAS: Recurrent </w:t>
      </w:r>
      <w:proofErr w:type="gramStart"/>
      <w:r w:rsidR="00E17C0A" w:rsidRPr="000E0677">
        <w:rPr>
          <w:rStyle w:val="table-note"/>
        </w:rPr>
        <w:t>expenditure</w:t>
      </w:r>
      <w:r w:rsidR="00E17C0A" w:rsidRPr="000E0677">
        <w:rPr>
          <w:rStyle w:val="table-note"/>
          <w:vertAlign w:val="superscript"/>
        </w:rPr>
        <w:t>(</w:t>
      </w:r>
      <w:proofErr w:type="gramEnd"/>
      <w:r w:rsidR="00E17C0A" w:rsidRPr="000E0677">
        <w:rPr>
          <w:rStyle w:val="table-note"/>
          <w:vertAlign w:val="superscript"/>
        </w:rPr>
        <w:t>a)(b)</w:t>
      </w:r>
      <w:r w:rsidR="00E17C0A" w:rsidRPr="000E0677">
        <w:rPr>
          <w:rStyle w:val="table-note"/>
        </w:rPr>
        <w:t xml:space="preserve"> ($’000) on state and territory specialised mental health services, by service type, 2007–08 (constant prices)</w:t>
      </w:r>
      <w:r w:rsidR="00E17C0A" w:rsidRPr="000E0677">
        <w:rPr>
          <w:rStyle w:val="table-note"/>
          <w:vertAlign w:val="superscript"/>
        </w:rPr>
        <w:t>(c)</w:t>
      </w:r>
      <w:r w:rsidR="00E17C0A" w:rsidRPr="000E0677">
        <w:rPr>
          <w:rStyle w:val="table-note"/>
        </w:rPr>
        <w:t xml:space="preserve"> </w:t>
      </w:r>
    </w:p>
    <w:tbl>
      <w:tblPr>
        <w:tblStyle w:val="TableGrid"/>
        <w:tblW w:w="0" w:type="auto"/>
        <w:tblLook w:val="04A0" w:firstRow="1" w:lastRow="0" w:firstColumn="1" w:lastColumn="0" w:noHBand="0" w:noVBand="1"/>
        <w:tblCaption w:val="TAS: Recurrent expenditure(a)(b) ($’000) on state and territory specialised mental health services, by service type, 2007–08 (constant prices)(c) "/>
        <w:tblDescription w:val="Table showing that, in 2007-2008, inner regional areas in Tas have the highest recurrent expenditure for all specialised mental health services ($80,323,000). Recurrent expenditure decreased as regions became more remote, with the major cities category not applicable. Public hospital services had the highest amount of recurrent expenditure overall across region types at $37,700,000."/>
      </w:tblPr>
      <w:tblGrid>
        <w:gridCol w:w="2388"/>
        <w:gridCol w:w="1043"/>
        <w:gridCol w:w="1376"/>
        <w:gridCol w:w="1248"/>
        <w:gridCol w:w="1045"/>
        <w:gridCol w:w="1090"/>
        <w:gridCol w:w="1096"/>
      </w:tblGrid>
      <w:tr w:rsidR="00E17C0A" w:rsidRPr="00EF5802" w:rsidTr="000C3DEA">
        <w:trPr>
          <w:tblHeader/>
        </w:trPr>
        <w:tc>
          <w:tcPr>
            <w:tcW w:w="2490" w:type="dxa"/>
          </w:tcPr>
          <w:p w:rsidR="00E17C0A" w:rsidRPr="00EF5802" w:rsidRDefault="00E17C0A" w:rsidP="005B2C04">
            <w:pPr>
              <w:pStyle w:val="TableFigText"/>
              <w:rPr>
                <w:rFonts w:asciiTheme="minorHAnsi" w:hAnsiTheme="minorHAnsi" w:cstheme="minorHAnsi"/>
                <w:szCs w:val="22"/>
              </w:rPr>
            </w:pPr>
          </w:p>
        </w:tc>
        <w:tc>
          <w:tcPr>
            <w:tcW w:w="1074" w:type="dxa"/>
          </w:tcPr>
          <w:p w:rsidR="00E17C0A" w:rsidRPr="00EF5802" w:rsidRDefault="00E17C0A" w:rsidP="005B2C04">
            <w:pPr>
              <w:pStyle w:val="TableFigText"/>
              <w:jc w:val="right"/>
              <w:rPr>
                <w:rFonts w:asciiTheme="minorHAnsi" w:hAnsiTheme="minorHAnsi" w:cstheme="minorHAnsi"/>
                <w:b/>
                <w:szCs w:val="22"/>
              </w:rPr>
            </w:pPr>
            <w:r w:rsidRPr="00EF5802">
              <w:rPr>
                <w:rFonts w:asciiTheme="minorHAnsi" w:hAnsiTheme="minorHAnsi" w:cstheme="minorHAnsi"/>
                <w:b/>
                <w:szCs w:val="22"/>
              </w:rPr>
              <w:t>Major cities</w:t>
            </w:r>
          </w:p>
        </w:tc>
        <w:tc>
          <w:tcPr>
            <w:tcW w:w="1420" w:type="dxa"/>
          </w:tcPr>
          <w:p w:rsidR="00E17C0A" w:rsidRPr="00EF5802" w:rsidRDefault="00E17C0A" w:rsidP="005B2C04">
            <w:pPr>
              <w:pStyle w:val="TableFigText"/>
              <w:jc w:val="right"/>
              <w:rPr>
                <w:rFonts w:asciiTheme="minorHAnsi" w:hAnsiTheme="minorHAnsi" w:cstheme="minorHAnsi"/>
                <w:b/>
                <w:szCs w:val="22"/>
              </w:rPr>
            </w:pPr>
            <w:r w:rsidRPr="00EF5802">
              <w:rPr>
                <w:rFonts w:asciiTheme="minorHAnsi" w:hAnsiTheme="minorHAnsi" w:cstheme="minorHAnsi"/>
                <w:b/>
                <w:szCs w:val="22"/>
              </w:rPr>
              <w:t>Inner regional</w:t>
            </w:r>
          </w:p>
        </w:tc>
        <w:tc>
          <w:tcPr>
            <w:tcW w:w="1283" w:type="dxa"/>
          </w:tcPr>
          <w:p w:rsidR="00E17C0A" w:rsidRPr="00EF5802" w:rsidRDefault="00E17C0A" w:rsidP="005B2C04">
            <w:pPr>
              <w:pStyle w:val="TableFigText"/>
              <w:jc w:val="right"/>
              <w:rPr>
                <w:rFonts w:asciiTheme="minorHAnsi" w:hAnsiTheme="minorHAnsi" w:cstheme="minorHAnsi"/>
                <w:b/>
                <w:szCs w:val="22"/>
              </w:rPr>
            </w:pPr>
            <w:r w:rsidRPr="00EF5802">
              <w:rPr>
                <w:rFonts w:asciiTheme="minorHAnsi" w:hAnsiTheme="minorHAnsi" w:cstheme="minorHAnsi"/>
                <w:b/>
                <w:szCs w:val="22"/>
              </w:rPr>
              <w:t>Outer regional</w:t>
            </w:r>
          </w:p>
        </w:tc>
        <w:tc>
          <w:tcPr>
            <w:tcW w:w="1067" w:type="dxa"/>
          </w:tcPr>
          <w:p w:rsidR="00E17C0A" w:rsidRPr="00EF5802" w:rsidRDefault="00E17C0A" w:rsidP="005B2C04">
            <w:pPr>
              <w:pStyle w:val="TableFigText"/>
              <w:jc w:val="right"/>
              <w:rPr>
                <w:rFonts w:asciiTheme="minorHAnsi" w:hAnsiTheme="minorHAnsi" w:cstheme="minorHAnsi"/>
                <w:b/>
                <w:szCs w:val="22"/>
              </w:rPr>
            </w:pPr>
            <w:r w:rsidRPr="00EF5802">
              <w:rPr>
                <w:rFonts w:asciiTheme="minorHAnsi" w:hAnsiTheme="minorHAnsi" w:cstheme="minorHAnsi"/>
                <w:b/>
                <w:szCs w:val="22"/>
              </w:rPr>
              <w:t>Remote</w:t>
            </w:r>
          </w:p>
        </w:tc>
        <w:tc>
          <w:tcPr>
            <w:tcW w:w="1118" w:type="dxa"/>
          </w:tcPr>
          <w:p w:rsidR="00E17C0A" w:rsidRPr="00EF5802" w:rsidRDefault="00E17C0A" w:rsidP="005B2C04">
            <w:pPr>
              <w:pStyle w:val="TableFigText"/>
              <w:jc w:val="right"/>
              <w:rPr>
                <w:rFonts w:asciiTheme="minorHAnsi" w:hAnsiTheme="minorHAnsi" w:cstheme="minorHAnsi"/>
                <w:b/>
                <w:szCs w:val="22"/>
              </w:rPr>
            </w:pPr>
            <w:r w:rsidRPr="00EF5802">
              <w:rPr>
                <w:rFonts w:asciiTheme="minorHAnsi" w:hAnsiTheme="minorHAnsi" w:cstheme="minorHAnsi"/>
                <w:b/>
                <w:szCs w:val="22"/>
              </w:rPr>
              <w:t>Very remote</w:t>
            </w:r>
          </w:p>
        </w:tc>
        <w:tc>
          <w:tcPr>
            <w:tcW w:w="1124" w:type="dxa"/>
          </w:tcPr>
          <w:p w:rsidR="00E17C0A" w:rsidRPr="00EF5802" w:rsidRDefault="00E17C0A" w:rsidP="005B2C04">
            <w:pPr>
              <w:pStyle w:val="TableFigText"/>
              <w:jc w:val="right"/>
              <w:rPr>
                <w:rFonts w:asciiTheme="minorHAnsi" w:hAnsiTheme="minorHAnsi" w:cstheme="minorHAnsi"/>
                <w:b/>
                <w:szCs w:val="22"/>
              </w:rPr>
            </w:pPr>
            <w:r w:rsidRPr="00EF5802">
              <w:rPr>
                <w:rFonts w:asciiTheme="minorHAnsi" w:hAnsiTheme="minorHAnsi" w:cstheme="minorHAnsi"/>
                <w:b/>
                <w:szCs w:val="22"/>
              </w:rPr>
              <w:t>Total</w:t>
            </w:r>
            <w:r w:rsidRPr="00EF5802">
              <w:rPr>
                <w:rFonts w:asciiTheme="minorHAnsi" w:hAnsiTheme="minorHAnsi" w:cstheme="minorHAnsi"/>
                <w:szCs w:val="22"/>
                <w:vertAlign w:val="superscript"/>
              </w:rPr>
              <w:t>(</w:t>
            </w:r>
            <w:r>
              <w:rPr>
                <w:rFonts w:asciiTheme="minorHAnsi" w:hAnsiTheme="minorHAnsi" w:cstheme="minorHAnsi"/>
                <w:szCs w:val="22"/>
                <w:vertAlign w:val="superscript"/>
              </w:rPr>
              <w:t>d</w:t>
            </w:r>
            <w:r w:rsidRPr="00EF5802">
              <w:rPr>
                <w:rFonts w:asciiTheme="minorHAnsi" w:hAnsiTheme="minorHAnsi" w:cstheme="minorHAnsi"/>
                <w:szCs w:val="22"/>
                <w:vertAlign w:val="superscript"/>
              </w:rPr>
              <w:t>)</w:t>
            </w:r>
          </w:p>
        </w:tc>
      </w:tr>
      <w:tr w:rsidR="00E17C0A" w:rsidRPr="00EF5802" w:rsidTr="005B2C04">
        <w:tc>
          <w:tcPr>
            <w:tcW w:w="2490" w:type="dxa"/>
          </w:tcPr>
          <w:p w:rsidR="00E17C0A" w:rsidRPr="00EF5802" w:rsidRDefault="00E17C0A" w:rsidP="005B2C04">
            <w:pPr>
              <w:pStyle w:val="TableFigText"/>
              <w:rPr>
                <w:rFonts w:asciiTheme="minorHAnsi" w:hAnsiTheme="minorHAnsi" w:cstheme="minorHAnsi"/>
                <w:szCs w:val="22"/>
              </w:rPr>
            </w:pPr>
            <w:r w:rsidRPr="00EF5802">
              <w:rPr>
                <w:rFonts w:asciiTheme="minorHAnsi" w:hAnsiTheme="minorHAnsi" w:cstheme="minorHAnsi"/>
                <w:szCs w:val="22"/>
              </w:rPr>
              <w:t>Public hospital services</w:t>
            </w:r>
            <w:r w:rsidRPr="00EF5802">
              <w:rPr>
                <w:rFonts w:asciiTheme="minorHAnsi" w:hAnsiTheme="minorHAnsi" w:cstheme="minorHAnsi"/>
                <w:szCs w:val="22"/>
                <w:vertAlign w:val="superscript"/>
              </w:rPr>
              <w:t>(</w:t>
            </w:r>
            <w:r>
              <w:rPr>
                <w:rFonts w:asciiTheme="minorHAnsi" w:hAnsiTheme="minorHAnsi" w:cstheme="minorHAnsi"/>
                <w:szCs w:val="22"/>
                <w:vertAlign w:val="superscript"/>
              </w:rPr>
              <w:t>e</w:t>
            </w:r>
            <w:r w:rsidRPr="00EF5802">
              <w:rPr>
                <w:rFonts w:asciiTheme="minorHAnsi" w:hAnsiTheme="minorHAnsi" w:cstheme="minorHAnsi"/>
                <w:szCs w:val="22"/>
                <w:vertAlign w:val="superscript"/>
              </w:rPr>
              <w:t>)(</w:t>
            </w:r>
            <w:r>
              <w:rPr>
                <w:rFonts w:asciiTheme="minorHAnsi" w:hAnsiTheme="minorHAnsi" w:cstheme="minorHAnsi"/>
                <w:szCs w:val="22"/>
                <w:vertAlign w:val="superscript"/>
              </w:rPr>
              <w:t>f</w:t>
            </w:r>
            <w:r w:rsidRPr="00EF5802">
              <w:rPr>
                <w:rFonts w:asciiTheme="minorHAnsi" w:hAnsiTheme="minorHAnsi" w:cstheme="minorHAnsi"/>
                <w:szCs w:val="22"/>
                <w:vertAlign w:val="superscript"/>
              </w:rPr>
              <w:t>)</w:t>
            </w:r>
          </w:p>
        </w:tc>
        <w:tc>
          <w:tcPr>
            <w:tcW w:w="1074" w:type="dxa"/>
          </w:tcPr>
          <w:p w:rsidR="00E17C0A" w:rsidRPr="00EF5802" w:rsidRDefault="00E17C0A" w:rsidP="00BC0B4B">
            <w:pPr>
              <w:pStyle w:val="TableFigText"/>
              <w:jc w:val="right"/>
            </w:pPr>
            <w:r w:rsidRPr="00EF5802">
              <w:t>n/a</w:t>
            </w:r>
          </w:p>
        </w:tc>
        <w:tc>
          <w:tcPr>
            <w:tcW w:w="1420" w:type="dxa"/>
          </w:tcPr>
          <w:p w:rsidR="00E17C0A" w:rsidRPr="00AB1427" w:rsidRDefault="00E17C0A" w:rsidP="00BC0B4B">
            <w:pPr>
              <w:pStyle w:val="TableFigText"/>
              <w:jc w:val="right"/>
            </w:pPr>
            <w:r w:rsidRPr="00AB1427">
              <w:t>30,972</w:t>
            </w:r>
          </w:p>
        </w:tc>
        <w:tc>
          <w:tcPr>
            <w:tcW w:w="1283" w:type="dxa"/>
          </w:tcPr>
          <w:p w:rsidR="00E17C0A" w:rsidRPr="00AB1427" w:rsidRDefault="00E17C0A" w:rsidP="00BC0B4B">
            <w:pPr>
              <w:pStyle w:val="TableFigText"/>
              <w:jc w:val="right"/>
            </w:pPr>
            <w:r w:rsidRPr="00AB1427">
              <w:t>6,728</w:t>
            </w:r>
          </w:p>
        </w:tc>
        <w:tc>
          <w:tcPr>
            <w:tcW w:w="1067" w:type="dxa"/>
          </w:tcPr>
          <w:p w:rsidR="00E17C0A" w:rsidRPr="00AB1427" w:rsidRDefault="00E17C0A" w:rsidP="00BC0B4B">
            <w:pPr>
              <w:pStyle w:val="TableFigText"/>
              <w:jc w:val="right"/>
            </w:pPr>
            <w:r w:rsidRPr="00AB1427">
              <w:t>0</w:t>
            </w:r>
          </w:p>
        </w:tc>
        <w:tc>
          <w:tcPr>
            <w:tcW w:w="1118" w:type="dxa"/>
          </w:tcPr>
          <w:p w:rsidR="00E17C0A" w:rsidRPr="00AB1427" w:rsidRDefault="00E17C0A" w:rsidP="00BC0B4B">
            <w:pPr>
              <w:pStyle w:val="TableFigText"/>
              <w:jc w:val="right"/>
            </w:pPr>
            <w:r w:rsidRPr="00AB1427">
              <w:t>0</w:t>
            </w:r>
          </w:p>
        </w:tc>
        <w:tc>
          <w:tcPr>
            <w:tcW w:w="1124" w:type="dxa"/>
          </w:tcPr>
          <w:p w:rsidR="00E17C0A" w:rsidRPr="00AB1427" w:rsidRDefault="00E17C0A" w:rsidP="00BC0B4B">
            <w:pPr>
              <w:pStyle w:val="TableFigText"/>
              <w:jc w:val="right"/>
            </w:pPr>
            <w:r w:rsidRPr="00AB1427">
              <w:t>37,700</w:t>
            </w:r>
          </w:p>
        </w:tc>
      </w:tr>
      <w:tr w:rsidR="00E17C0A" w:rsidRPr="00EF5802" w:rsidTr="005B2C04">
        <w:tc>
          <w:tcPr>
            <w:tcW w:w="2490" w:type="dxa"/>
          </w:tcPr>
          <w:p w:rsidR="00E17C0A" w:rsidRPr="00EF5802" w:rsidRDefault="00E17C0A" w:rsidP="005B2C04">
            <w:pPr>
              <w:pStyle w:val="TableFigText"/>
              <w:rPr>
                <w:rFonts w:asciiTheme="minorHAnsi" w:hAnsiTheme="minorHAnsi" w:cstheme="minorHAnsi"/>
                <w:szCs w:val="22"/>
              </w:rPr>
            </w:pPr>
            <w:r w:rsidRPr="00EF5802">
              <w:rPr>
                <w:rFonts w:asciiTheme="minorHAnsi" w:hAnsiTheme="minorHAnsi" w:cstheme="minorHAnsi"/>
                <w:szCs w:val="22"/>
              </w:rPr>
              <w:t>Community mental health services</w:t>
            </w:r>
          </w:p>
        </w:tc>
        <w:tc>
          <w:tcPr>
            <w:tcW w:w="1074" w:type="dxa"/>
          </w:tcPr>
          <w:p w:rsidR="00E17C0A" w:rsidRPr="00EF5802" w:rsidRDefault="00E17C0A" w:rsidP="00BC0B4B">
            <w:pPr>
              <w:pStyle w:val="TableFigText"/>
              <w:jc w:val="right"/>
            </w:pPr>
            <w:r w:rsidRPr="00EF5802">
              <w:t>n/a</w:t>
            </w:r>
          </w:p>
        </w:tc>
        <w:tc>
          <w:tcPr>
            <w:tcW w:w="1420" w:type="dxa"/>
          </w:tcPr>
          <w:p w:rsidR="00E17C0A" w:rsidRPr="00AB1427" w:rsidRDefault="00E17C0A" w:rsidP="00BC0B4B">
            <w:pPr>
              <w:pStyle w:val="TableFigText"/>
              <w:jc w:val="right"/>
            </w:pPr>
            <w:r w:rsidRPr="00AB1427">
              <w:t>28,311</w:t>
            </w:r>
          </w:p>
        </w:tc>
        <w:tc>
          <w:tcPr>
            <w:tcW w:w="1283" w:type="dxa"/>
          </w:tcPr>
          <w:p w:rsidR="00E17C0A" w:rsidRPr="00AB1427" w:rsidRDefault="00E17C0A" w:rsidP="00BC0B4B">
            <w:pPr>
              <w:pStyle w:val="TableFigText"/>
              <w:jc w:val="right"/>
            </w:pPr>
            <w:r w:rsidRPr="00AB1427">
              <w:t>5,000</w:t>
            </w:r>
          </w:p>
        </w:tc>
        <w:tc>
          <w:tcPr>
            <w:tcW w:w="1067" w:type="dxa"/>
          </w:tcPr>
          <w:p w:rsidR="00E17C0A" w:rsidRPr="00AB1427" w:rsidRDefault="00E17C0A" w:rsidP="00BC0B4B">
            <w:pPr>
              <w:pStyle w:val="TableFigText"/>
              <w:jc w:val="right"/>
            </w:pPr>
            <w:r w:rsidRPr="00AB1427">
              <w:t>0</w:t>
            </w:r>
          </w:p>
        </w:tc>
        <w:tc>
          <w:tcPr>
            <w:tcW w:w="1118" w:type="dxa"/>
          </w:tcPr>
          <w:p w:rsidR="00E17C0A" w:rsidRPr="00AB1427" w:rsidRDefault="00E17C0A" w:rsidP="00BC0B4B">
            <w:pPr>
              <w:pStyle w:val="TableFigText"/>
              <w:jc w:val="right"/>
            </w:pPr>
            <w:r w:rsidRPr="00AB1427">
              <w:t>0</w:t>
            </w:r>
          </w:p>
        </w:tc>
        <w:tc>
          <w:tcPr>
            <w:tcW w:w="1124" w:type="dxa"/>
          </w:tcPr>
          <w:p w:rsidR="00E17C0A" w:rsidRPr="00AB1427" w:rsidRDefault="00E17C0A" w:rsidP="00BC0B4B">
            <w:pPr>
              <w:pStyle w:val="TableFigText"/>
              <w:jc w:val="right"/>
            </w:pPr>
            <w:r w:rsidRPr="00AB1427">
              <w:t>33,311</w:t>
            </w:r>
          </w:p>
        </w:tc>
      </w:tr>
      <w:tr w:rsidR="00E17C0A" w:rsidRPr="00EF5802" w:rsidTr="005B2C04">
        <w:tc>
          <w:tcPr>
            <w:tcW w:w="2490" w:type="dxa"/>
          </w:tcPr>
          <w:p w:rsidR="00E17C0A" w:rsidRPr="00EF5802" w:rsidRDefault="00E17C0A" w:rsidP="005B2C04">
            <w:pPr>
              <w:pStyle w:val="TableFigText"/>
              <w:rPr>
                <w:rFonts w:asciiTheme="minorHAnsi" w:hAnsiTheme="minorHAnsi" w:cstheme="minorHAnsi"/>
                <w:szCs w:val="22"/>
              </w:rPr>
            </w:pPr>
            <w:r w:rsidRPr="00EF5802">
              <w:rPr>
                <w:rFonts w:asciiTheme="minorHAnsi" w:hAnsiTheme="minorHAnsi" w:cstheme="minorHAnsi"/>
                <w:szCs w:val="22"/>
              </w:rPr>
              <w:t>Residential mental health services</w:t>
            </w:r>
            <w:r w:rsidRPr="00EF5802">
              <w:rPr>
                <w:rFonts w:asciiTheme="minorHAnsi" w:hAnsiTheme="minorHAnsi" w:cstheme="minorHAnsi"/>
                <w:szCs w:val="22"/>
                <w:vertAlign w:val="superscript"/>
              </w:rPr>
              <w:t>(</w:t>
            </w:r>
            <w:r>
              <w:rPr>
                <w:rFonts w:asciiTheme="minorHAnsi" w:hAnsiTheme="minorHAnsi" w:cstheme="minorHAnsi"/>
                <w:szCs w:val="22"/>
                <w:vertAlign w:val="superscript"/>
              </w:rPr>
              <w:t>g</w:t>
            </w:r>
            <w:r w:rsidRPr="00EF5802">
              <w:rPr>
                <w:rFonts w:asciiTheme="minorHAnsi" w:hAnsiTheme="minorHAnsi" w:cstheme="minorHAnsi"/>
                <w:szCs w:val="22"/>
                <w:vertAlign w:val="superscript"/>
              </w:rPr>
              <w:t>)</w:t>
            </w:r>
          </w:p>
        </w:tc>
        <w:tc>
          <w:tcPr>
            <w:tcW w:w="1074" w:type="dxa"/>
          </w:tcPr>
          <w:p w:rsidR="00E17C0A" w:rsidRPr="00EF5802" w:rsidRDefault="00E17C0A" w:rsidP="00BC0B4B">
            <w:pPr>
              <w:pStyle w:val="TableFigText"/>
              <w:jc w:val="right"/>
            </w:pPr>
            <w:r w:rsidRPr="00EF5802">
              <w:t>n/a</w:t>
            </w:r>
          </w:p>
        </w:tc>
        <w:tc>
          <w:tcPr>
            <w:tcW w:w="1420" w:type="dxa"/>
          </w:tcPr>
          <w:p w:rsidR="00E17C0A" w:rsidRPr="00AB1427" w:rsidRDefault="00E17C0A" w:rsidP="00BC0B4B">
            <w:pPr>
              <w:pStyle w:val="TableFigText"/>
              <w:jc w:val="right"/>
            </w:pPr>
            <w:r w:rsidRPr="00AB1427">
              <w:t>21,040</w:t>
            </w:r>
          </w:p>
        </w:tc>
        <w:tc>
          <w:tcPr>
            <w:tcW w:w="1283" w:type="dxa"/>
          </w:tcPr>
          <w:p w:rsidR="00E17C0A" w:rsidRPr="00AB1427" w:rsidRDefault="00E17C0A" w:rsidP="00BC0B4B">
            <w:pPr>
              <w:pStyle w:val="TableFigText"/>
              <w:jc w:val="right"/>
            </w:pPr>
            <w:r w:rsidRPr="00AB1427">
              <w:t>1,027</w:t>
            </w:r>
          </w:p>
        </w:tc>
        <w:tc>
          <w:tcPr>
            <w:tcW w:w="1067" w:type="dxa"/>
          </w:tcPr>
          <w:p w:rsidR="00E17C0A" w:rsidRPr="00AB1427" w:rsidRDefault="00E17C0A" w:rsidP="00BC0B4B">
            <w:pPr>
              <w:pStyle w:val="TableFigText"/>
              <w:jc w:val="right"/>
            </w:pPr>
            <w:r w:rsidRPr="00AB1427">
              <w:t>0</w:t>
            </w:r>
          </w:p>
        </w:tc>
        <w:tc>
          <w:tcPr>
            <w:tcW w:w="1118" w:type="dxa"/>
          </w:tcPr>
          <w:p w:rsidR="00E17C0A" w:rsidRPr="00AB1427" w:rsidRDefault="00E17C0A" w:rsidP="00BC0B4B">
            <w:pPr>
              <w:pStyle w:val="TableFigText"/>
              <w:jc w:val="right"/>
            </w:pPr>
            <w:r w:rsidRPr="00AB1427">
              <w:t>0</w:t>
            </w:r>
          </w:p>
        </w:tc>
        <w:tc>
          <w:tcPr>
            <w:tcW w:w="1124" w:type="dxa"/>
          </w:tcPr>
          <w:p w:rsidR="00E17C0A" w:rsidRPr="00AB1427" w:rsidRDefault="00E17C0A" w:rsidP="00BC0B4B">
            <w:pPr>
              <w:pStyle w:val="TableFigText"/>
              <w:jc w:val="right"/>
            </w:pPr>
            <w:r w:rsidRPr="00AB1427">
              <w:t>22,067</w:t>
            </w:r>
          </w:p>
        </w:tc>
      </w:tr>
      <w:tr w:rsidR="00E17C0A" w:rsidRPr="00EF5802" w:rsidTr="005B2C04">
        <w:tc>
          <w:tcPr>
            <w:tcW w:w="2490" w:type="dxa"/>
          </w:tcPr>
          <w:p w:rsidR="00E17C0A" w:rsidRPr="00BC0B4B" w:rsidRDefault="00E17C0A" w:rsidP="005B2C04">
            <w:pPr>
              <w:pStyle w:val="TableFigText"/>
              <w:rPr>
                <w:rFonts w:asciiTheme="minorHAnsi" w:hAnsiTheme="minorHAnsi" w:cstheme="minorHAnsi"/>
                <w:b/>
                <w:szCs w:val="22"/>
              </w:rPr>
            </w:pPr>
            <w:r w:rsidRPr="00BC0B4B">
              <w:rPr>
                <w:rFonts w:asciiTheme="minorHAnsi" w:hAnsiTheme="minorHAnsi" w:cstheme="minorHAnsi"/>
                <w:b/>
                <w:szCs w:val="22"/>
              </w:rPr>
              <w:t>All mental health service types</w:t>
            </w:r>
            <w:r w:rsidRPr="00BC0B4B">
              <w:rPr>
                <w:rFonts w:asciiTheme="minorHAnsi" w:hAnsiTheme="minorHAnsi" w:cstheme="minorHAnsi"/>
                <w:b/>
                <w:szCs w:val="22"/>
                <w:vertAlign w:val="superscript"/>
              </w:rPr>
              <w:t>(d)</w:t>
            </w:r>
          </w:p>
        </w:tc>
        <w:tc>
          <w:tcPr>
            <w:tcW w:w="1074" w:type="dxa"/>
          </w:tcPr>
          <w:p w:rsidR="00E17C0A" w:rsidRPr="00BC0B4B" w:rsidRDefault="00E17C0A" w:rsidP="00BC0B4B">
            <w:pPr>
              <w:pStyle w:val="TableFigText"/>
              <w:jc w:val="right"/>
              <w:rPr>
                <w:b/>
              </w:rPr>
            </w:pPr>
            <w:r w:rsidRPr="00BC0B4B">
              <w:rPr>
                <w:b/>
              </w:rPr>
              <w:t>n/a</w:t>
            </w:r>
          </w:p>
        </w:tc>
        <w:tc>
          <w:tcPr>
            <w:tcW w:w="1420" w:type="dxa"/>
          </w:tcPr>
          <w:p w:rsidR="00E17C0A" w:rsidRPr="00BC0B4B" w:rsidRDefault="00E17C0A" w:rsidP="00BC0B4B">
            <w:pPr>
              <w:pStyle w:val="TableFigText"/>
              <w:jc w:val="right"/>
              <w:rPr>
                <w:b/>
              </w:rPr>
            </w:pPr>
            <w:r w:rsidRPr="00BC0B4B">
              <w:rPr>
                <w:b/>
              </w:rPr>
              <w:t>80,323</w:t>
            </w:r>
          </w:p>
        </w:tc>
        <w:tc>
          <w:tcPr>
            <w:tcW w:w="1283" w:type="dxa"/>
          </w:tcPr>
          <w:p w:rsidR="00E17C0A" w:rsidRPr="00BC0B4B" w:rsidRDefault="00E17C0A" w:rsidP="00BC0B4B">
            <w:pPr>
              <w:pStyle w:val="TableFigText"/>
              <w:jc w:val="right"/>
              <w:rPr>
                <w:b/>
              </w:rPr>
            </w:pPr>
            <w:r w:rsidRPr="00BC0B4B">
              <w:rPr>
                <w:b/>
              </w:rPr>
              <w:t>12,755</w:t>
            </w:r>
          </w:p>
        </w:tc>
        <w:tc>
          <w:tcPr>
            <w:tcW w:w="1067" w:type="dxa"/>
          </w:tcPr>
          <w:p w:rsidR="00E17C0A" w:rsidRPr="00BC0B4B" w:rsidRDefault="00E17C0A" w:rsidP="00BC0B4B">
            <w:pPr>
              <w:pStyle w:val="TableFigText"/>
              <w:jc w:val="right"/>
              <w:rPr>
                <w:b/>
              </w:rPr>
            </w:pPr>
            <w:r w:rsidRPr="00BC0B4B">
              <w:rPr>
                <w:b/>
              </w:rPr>
              <w:t>0</w:t>
            </w:r>
          </w:p>
        </w:tc>
        <w:tc>
          <w:tcPr>
            <w:tcW w:w="1118" w:type="dxa"/>
          </w:tcPr>
          <w:p w:rsidR="00E17C0A" w:rsidRPr="00BC0B4B" w:rsidRDefault="00E17C0A" w:rsidP="00BC0B4B">
            <w:pPr>
              <w:pStyle w:val="TableFigText"/>
              <w:jc w:val="right"/>
              <w:rPr>
                <w:b/>
              </w:rPr>
            </w:pPr>
            <w:r w:rsidRPr="00BC0B4B">
              <w:rPr>
                <w:b/>
              </w:rPr>
              <w:t>0</w:t>
            </w:r>
          </w:p>
        </w:tc>
        <w:tc>
          <w:tcPr>
            <w:tcW w:w="1124" w:type="dxa"/>
          </w:tcPr>
          <w:p w:rsidR="00E17C0A" w:rsidRPr="00BC0B4B" w:rsidRDefault="00E17C0A" w:rsidP="00BC0B4B">
            <w:pPr>
              <w:pStyle w:val="TableFigText"/>
              <w:jc w:val="right"/>
              <w:rPr>
                <w:b/>
              </w:rPr>
            </w:pPr>
            <w:r w:rsidRPr="00BC0B4B">
              <w:rPr>
                <w:b/>
              </w:rPr>
              <w:t>93,078</w:t>
            </w:r>
          </w:p>
        </w:tc>
      </w:tr>
    </w:tbl>
    <w:p w:rsidR="00E17C0A" w:rsidRPr="00540186" w:rsidRDefault="00E17C0A" w:rsidP="006B2ED0">
      <w:pPr>
        <w:pStyle w:val="TableFigNotesnumbered"/>
        <w:ind w:left="294" w:hanging="294"/>
        <w:rPr>
          <w:rStyle w:val="table-note"/>
        </w:rPr>
      </w:pPr>
      <w:proofErr w:type="gramStart"/>
      <w:r w:rsidRPr="00540186">
        <w:rPr>
          <w:rStyle w:val="table-note"/>
        </w:rPr>
        <w:t>n/a</w:t>
      </w:r>
      <w:proofErr w:type="gramEnd"/>
      <w:r w:rsidRPr="00540186">
        <w:rPr>
          <w:rStyle w:val="table-note"/>
        </w:rPr>
        <w:t xml:space="preserve"> </w:t>
      </w:r>
      <w:r w:rsidRPr="00540186">
        <w:rPr>
          <w:rStyle w:val="table-note"/>
        </w:rPr>
        <w:tab/>
        <w:t>Not applicable.</w:t>
      </w:r>
    </w:p>
    <w:p w:rsidR="00E17C0A" w:rsidRPr="00540186" w:rsidRDefault="00E17C0A" w:rsidP="00540186">
      <w:pPr>
        <w:pStyle w:val="TableFigNotesnumbered"/>
        <w:numPr>
          <w:ilvl w:val="0"/>
          <w:numId w:val="92"/>
        </w:numPr>
        <w:rPr>
          <w:rStyle w:val="table-note"/>
        </w:rPr>
      </w:pPr>
      <w:r w:rsidRPr="00540186">
        <w:rPr>
          <w:rStyle w:val="table-note"/>
        </w:rPr>
        <w:t>Expenditure excludes depreciation.</w:t>
      </w:r>
    </w:p>
    <w:p w:rsidR="00E17C0A" w:rsidRPr="00540186" w:rsidRDefault="00E17C0A" w:rsidP="00540186">
      <w:pPr>
        <w:pStyle w:val="TableFigNotesnumbered"/>
        <w:numPr>
          <w:ilvl w:val="0"/>
          <w:numId w:val="92"/>
        </w:numPr>
        <w:rPr>
          <w:rStyle w:val="table-note"/>
        </w:rPr>
      </w:pPr>
      <w:r w:rsidRPr="00540186">
        <w:rPr>
          <w:rStyle w:val="table-note"/>
        </w:rPr>
        <w:t>Expenditure excludes grants to non-government organisations and indirect expenditure at the state/territory, region and organisation levels not apportioned to service units.</w:t>
      </w:r>
    </w:p>
    <w:p w:rsidR="00E17C0A" w:rsidRPr="00540186" w:rsidRDefault="00E17C0A" w:rsidP="00540186">
      <w:pPr>
        <w:pStyle w:val="TableFigNotesnumbered"/>
        <w:numPr>
          <w:ilvl w:val="0"/>
          <w:numId w:val="92"/>
        </w:numPr>
        <w:rPr>
          <w:rStyle w:val="table-note"/>
        </w:rPr>
      </w:pPr>
      <w:r w:rsidRPr="00540186">
        <w:rPr>
          <w:rStyle w:val="table-note"/>
        </w:rPr>
        <w:t>Constant prices are referenced to 2011–12 and are adjusted for inflation.</w:t>
      </w:r>
    </w:p>
    <w:p w:rsidR="00E17C0A" w:rsidRPr="00540186" w:rsidRDefault="00E17C0A" w:rsidP="00540186">
      <w:pPr>
        <w:pStyle w:val="TableFigNotesnumbered"/>
        <w:numPr>
          <w:ilvl w:val="0"/>
          <w:numId w:val="92"/>
        </w:numPr>
        <w:rPr>
          <w:rStyle w:val="table-note"/>
        </w:rPr>
      </w:pPr>
      <w:r w:rsidRPr="00540186">
        <w:rPr>
          <w:rStyle w:val="table-note"/>
        </w:rPr>
        <w:t>Totals may not add due to rounding to the nearest $'000.</w:t>
      </w:r>
    </w:p>
    <w:p w:rsidR="00E17C0A" w:rsidRPr="00540186" w:rsidRDefault="00E17C0A" w:rsidP="00540186">
      <w:pPr>
        <w:pStyle w:val="TableFigNotesnumbered"/>
        <w:numPr>
          <w:ilvl w:val="0"/>
          <w:numId w:val="92"/>
        </w:numPr>
        <w:rPr>
          <w:rStyle w:val="table-note"/>
        </w:rPr>
      </w:pPr>
      <w:r w:rsidRPr="00540186">
        <w:rPr>
          <w:rStyle w:val="table-note"/>
        </w:rPr>
        <w:t>Includes public hospital services managed and operated by private and non-government entities.</w:t>
      </w:r>
    </w:p>
    <w:p w:rsidR="00E17C0A" w:rsidRPr="00540186" w:rsidRDefault="00E17C0A" w:rsidP="00540186">
      <w:pPr>
        <w:pStyle w:val="TableFigNotesnumbered"/>
        <w:numPr>
          <w:ilvl w:val="0"/>
          <w:numId w:val="92"/>
        </w:numPr>
        <w:rPr>
          <w:rStyle w:val="table-note"/>
        </w:rPr>
      </w:pPr>
      <w:r w:rsidRPr="00540186">
        <w:rPr>
          <w:rStyle w:val="table-note"/>
        </w:rPr>
        <w:t>Public psychiatric hospitals and specialised psychiatric units or wards in public acute hospitals include expenditure on admitted patient services only. Public hospitals outpatient departments are included in community mental health care services.</w:t>
      </w:r>
      <w:r w:rsidRPr="00540186">
        <w:rPr>
          <w:rStyle w:val="table-note"/>
        </w:rPr>
        <w:tab/>
      </w:r>
      <w:r w:rsidRPr="00540186">
        <w:rPr>
          <w:rStyle w:val="table-note"/>
        </w:rPr>
        <w:tab/>
      </w:r>
    </w:p>
    <w:p w:rsidR="00AF46B7" w:rsidRPr="00540186" w:rsidRDefault="00E17C0A" w:rsidP="00540186">
      <w:pPr>
        <w:pStyle w:val="TableFigNotesnumbered"/>
        <w:numPr>
          <w:ilvl w:val="0"/>
          <w:numId w:val="92"/>
        </w:numPr>
        <w:rPr>
          <w:rStyle w:val="table-note"/>
        </w:rPr>
      </w:pPr>
      <w:r w:rsidRPr="00540186">
        <w:rPr>
          <w:rStyle w:val="table-note"/>
        </w:rPr>
        <w:t>Residential mental health services include the total operating costs for partially or wholly government funded non-government-operated resid</w:t>
      </w:r>
      <w:r w:rsidR="00AF46B7" w:rsidRPr="00540186">
        <w:rPr>
          <w:rStyle w:val="table-note"/>
        </w:rPr>
        <w:t>ential mental health services.</w:t>
      </w:r>
    </w:p>
    <w:p w:rsidR="00AF46B7" w:rsidRDefault="00AF46B7" w:rsidP="006B2ED0">
      <w:pPr>
        <w:pStyle w:val="TableFigNotesnumbered"/>
        <w:ind w:left="294" w:hanging="294"/>
        <w:rPr>
          <w:rFonts w:asciiTheme="minorHAnsi" w:hAnsiTheme="minorHAnsi" w:cstheme="minorHAnsi"/>
        </w:rPr>
      </w:pPr>
    </w:p>
    <w:p w:rsidR="0002561B" w:rsidRPr="000E0677" w:rsidRDefault="000E0677" w:rsidP="0002561B">
      <w:pPr>
        <w:pStyle w:val="TableCaption"/>
        <w:spacing w:line="240" w:lineRule="auto"/>
        <w:rPr>
          <w:rStyle w:val="table-note"/>
        </w:rPr>
      </w:pPr>
      <w:r w:rsidRPr="000E0677">
        <w:rPr>
          <w:rStyle w:val="table-note"/>
        </w:rPr>
        <w:t xml:space="preserve">Table 53: </w:t>
      </w:r>
      <w:r w:rsidR="0002561B" w:rsidRPr="000E0677">
        <w:rPr>
          <w:rStyle w:val="table-note"/>
        </w:rPr>
        <w:t xml:space="preserve">TAS: Recurrent </w:t>
      </w:r>
      <w:proofErr w:type="gramStart"/>
      <w:r w:rsidR="0002561B" w:rsidRPr="000E0677">
        <w:rPr>
          <w:rStyle w:val="table-note"/>
        </w:rPr>
        <w:t>expenditure</w:t>
      </w:r>
      <w:r w:rsidR="0002561B" w:rsidRPr="000E0677">
        <w:rPr>
          <w:rStyle w:val="table-note"/>
          <w:vertAlign w:val="superscript"/>
        </w:rPr>
        <w:t>(</w:t>
      </w:r>
      <w:proofErr w:type="gramEnd"/>
      <w:r w:rsidR="0002561B" w:rsidRPr="000E0677">
        <w:rPr>
          <w:rStyle w:val="table-note"/>
          <w:vertAlign w:val="superscript"/>
        </w:rPr>
        <w:t>a)(b)</w:t>
      </w:r>
      <w:r w:rsidR="0002561B" w:rsidRPr="000E0677">
        <w:rPr>
          <w:rStyle w:val="table-note"/>
        </w:rPr>
        <w:t xml:space="preserve"> ($) per capita</w:t>
      </w:r>
      <w:r w:rsidR="0002561B" w:rsidRPr="000E0677">
        <w:rPr>
          <w:rStyle w:val="table-note"/>
          <w:vertAlign w:val="superscript"/>
        </w:rPr>
        <w:t>(c)</w:t>
      </w:r>
      <w:r w:rsidR="0002561B" w:rsidRPr="000E0677">
        <w:rPr>
          <w:rStyle w:val="table-note"/>
        </w:rPr>
        <w:t xml:space="preserve"> on state and territory specialised mental health services, by service type, 2007–08 (constant prices)</w:t>
      </w:r>
      <w:r w:rsidR="0002561B" w:rsidRPr="000E0677">
        <w:rPr>
          <w:rStyle w:val="table-note"/>
          <w:vertAlign w:val="superscript"/>
        </w:rPr>
        <w:t>(d)</w:t>
      </w:r>
    </w:p>
    <w:tbl>
      <w:tblPr>
        <w:tblStyle w:val="TableGrid"/>
        <w:tblW w:w="0" w:type="auto"/>
        <w:tblLook w:val="04A0" w:firstRow="1" w:lastRow="0" w:firstColumn="1" w:lastColumn="0" w:noHBand="0" w:noVBand="1"/>
        <w:tblCaption w:val="TAS: Recurrent expenditure(a)(b) ($) per capita(c) on state and territory specialised mental health services, by service type, 2007–08 (constant prices)(d)"/>
        <w:tblDescription w:val="Table showing that, in 2007-2008, inner regional areas in Tas had the highest recurrent expenditure per capita for all mental health services at $249.60. The major cities category was not applicable. Public hospital services had the highest expenditure per capita at a total of $76.43, followed by community mental health services ($67.53) and residential mental health services ($44.74)."/>
      </w:tblPr>
      <w:tblGrid>
        <w:gridCol w:w="2388"/>
        <w:gridCol w:w="1044"/>
        <w:gridCol w:w="1376"/>
        <w:gridCol w:w="1248"/>
        <w:gridCol w:w="1045"/>
        <w:gridCol w:w="1091"/>
        <w:gridCol w:w="1094"/>
      </w:tblGrid>
      <w:tr w:rsidR="0002561B" w:rsidRPr="008B7E34" w:rsidTr="000C3DEA">
        <w:trPr>
          <w:tblHeader/>
        </w:trPr>
        <w:tc>
          <w:tcPr>
            <w:tcW w:w="2388" w:type="dxa"/>
          </w:tcPr>
          <w:p w:rsidR="0002561B" w:rsidRPr="008B7E34" w:rsidRDefault="0002561B" w:rsidP="00E441F7">
            <w:pPr>
              <w:pStyle w:val="TableFigText"/>
              <w:rPr>
                <w:rFonts w:asciiTheme="minorHAnsi" w:hAnsiTheme="minorHAnsi" w:cstheme="minorHAnsi"/>
                <w:szCs w:val="22"/>
              </w:rPr>
            </w:pPr>
          </w:p>
        </w:tc>
        <w:tc>
          <w:tcPr>
            <w:tcW w:w="1044" w:type="dxa"/>
          </w:tcPr>
          <w:p w:rsidR="0002561B" w:rsidRPr="008B7E34" w:rsidRDefault="0002561B" w:rsidP="00E441F7">
            <w:pPr>
              <w:pStyle w:val="TableFigText"/>
              <w:jc w:val="right"/>
              <w:rPr>
                <w:rFonts w:asciiTheme="minorHAnsi" w:hAnsiTheme="minorHAnsi" w:cstheme="minorHAnsi"/>
                <w:b/>
                <w:szCs w:val="22"/>
              </w:rPr>
            </w:pPr>
            <w:r w:rsidRPr="008B7E34">
              <w:rPr>
                <w:rFonts w:asciiTheme="minorHAnsi" w:hAnsiTheme="minorHAnsi" w:cstheme="minorHAnsi"/>
                <w:b/>
                <w:szCs w:val="22"/>
              </w:rPr>
              <w:t>Major cities</w:t>
            </w:r>
          </w:p>
        </w:tc>
        <w:tc>
          <w:tcPr>
            <w:tcW w:w="1376" w:type="dxa"/>
          </w:tcPr>
          <w:p w:rsidR="0002561B" w:rsidRPr="008B7E34" w:rsidRDefault="0002561B" w:rsidP="00E441F7">
            <w:pPr>
              <w:pStyle w:val="TableFigText"/>
              <w:jc w:val="right"/>
              <w:rPr>
                <w:rFonts w:asciiTheme="minorHAnsi" w:hAnsiTheme="minorHAnsi" w:cstheme="minorHAnsi"/>
                <w:b/>
                <w:szCs w:val="22"/>
              </w:rPr>
            </w:pPr>
            <w:r w:rsidRPr="008B7E34">
              <w:rPr>
                <w:rFonts w:asciiTheme="minorHAnsi" w:hAnsiTheme="minorHAnsi" w:cstheme="minorHAnsi"/>
                <w:b/>
                <w:szCs w:val="22"/>
              </w:rPr>
              <w:t>Inner regional</w:t>
            </w:r>
          </w:p>
        </w:tc>
        <w:tc>
          <w:tcPr>
            <w:tcW w:w="1248" w:type="dxa"/>
          </w:tcPr>
          <w:p w:rsidR="0002561B" w:rsidRPr="008B7E34" w:rsidRDefault="0002561B" w:rsidP="00E441F7">
            <w:pPr>
              <w:pStyle w:val="TableFigText"/>
              <w:jc w:val="right"/>
              <w:rPr>
                <w:rFonts w:asciiTheme="minorHAnsi" w:hAnsiTheme="minorHAnsi" w:cstheme="minorHAnsi"/>
                <w:b/>
                <w:szCs w:val="22"/>
              </w:rPr>
            </w:pPr>
            <w:r w:rsidRPr="008B7E34">
              <w:rPr>
                <w:rFonts w:asciiTheme="minorHAnsi" w:hAnsiTheme="minorHAnsi" w:cstheme="minorHAnsi"/>
                <w:b/>
                <w:szCs w:val="22"/>
              </w:rPr>
              <w:t>Outer regional</w:t>
            </w:r>
          </w:p>
        </w:tc>
        <w:tc>
          <w:tcPr>
            <w:tcW w:w="1045" w:type="dxa"/>
          </w:tcPr>
          <w:p w:rsidR="0002561B" w:rsidRPr="008B7E34" w:rsidRDefault="0002561B" w:rsidP="00E441F7">
            <w:pPr>
              <w:pStyle w:val="TableFigText"/>
              <w:jc w:val="right"/>
              <w:rPr>
                <w:rFonts w:asciiTheme="minorHAnsi" w:hAnsiTheme="minorHAnsi" w:cstheme="minorHAnsi"/>
                <w:b/>
                <w:szCs w:val="22"/>
              </w:rPr>
            </w:pPr>
            <w:r w:rsidRPr="008B7E34">
              <w:rPr>
                <w:rFonts w:asciiTheme="minorHAnsi" w:hAnsiTheme="minorHAnsi" w:cstheme="minorHAnsi"/>
                <w:b/>
                <w:szCs w:val="22"/>
              </w:rPr>
              <w:t>Remote</w:t>
            </w:r>
          </w:p>
        </w:tc>
        <w:tc>
          <w:tcPr>
            <w:tcW w:w="1091" w:type="dxa"/>
          </w:tcPr>
          <w:p w:rsidR="0002561B" w:rsidRPr="008B7E34" w:rsidRDefault="0002561B" w:rsidP="00E441F7">
            <w:pPr>
              <w:pStyle w:val="TableFigText"/>
              <w:jc w:val="right"/>
              <w:rPr>
                <w:rFonts w:asciiTheme="minorHAnsi" w:hAnsiTheme="minorHAnsi" w:cstheme="minorHAnsi"/>
                <w:b/>
                <w:szCs w:val="22"/>
              </w:rPr>
            </w:pPr>
            <w:r w:rsidRPr="008B7E34">
              <w:rPr>
                <w:rFonts w:asciiTheme="minorHAnsi" w:hAnsiTheme="minorHAnsi" w:cstheme="minorHAnsi"/>
                <w:b/>
                <w:szCs w:val="22"/>
              </w:rPr>
              <w:t>Very remote</w:t>
            </w:r>
          </w:p>
        </w:tc>
        <w:tc>
          <w:tcPr>
            <w:tcW w:w="1094" w:type="dxa"/>
          </w:tcPr>
          <w:p w:rsidR="0002561B" w:rsidRPr="008B7E34" w:rsidRDefault="0002561B" w:rsidP="00E441F7">
            <w:pPr>
              <w:pStyle w:val="TableFigText"/>
              <w:jc w:val="right"/>
              <w:rPr>
                <w:rFonts w:asciiTheme="minorHAnsi" w:hAnsiTheme="minorHAnsi" w:cstheme="minorHAnsi"/>
                <w:b/>
                <w:szCs w:val="22"/>
              </w:rPr>
            </w:pPr>
            <w:r w:rsidRPr="008B7E34">
              <w:rPr>
                <w:rFonts w:asciiTheme="minorHAnsi" w:hAnsiTheme="minorHAnsi" w:cstheme="minorHAnsi"/>
                <w:b/>
                <w:szCs w:val="22"/>
              </w:rPr>
              <w:t>Total</w:t>
            </w:r>
          </w:p>
        </w:tc>
      </w:tr>
      <w:tr w:rsidR="0002561B" w:rsidRPr="008B7E34" w:rsidTr="00E441F7">
        <w:tc>
          <w:tcPr>
            <w:tcW w:w="2388" w:type="dxa"/>
          </w:tcPr>
          <w:p w:rsidR="0002561B" w:rsidRPr="008B7E34" w:rsidRDefault="0002561B" w:rsidP="00E441F7">
            <w:pPr>
              <w:pStyle w:val="TableFigText"/>
              <w:rPr>
                <w:rFonts w:asciiTheme="minorHAnsi" w:hAnsiTheme="minorHAnsi" w:cstheme="minorHAnsi"/>
                <w:szCs w:val="22"/>
              </w:rPr>
            </w:pPr>
            <w:r w:rsidRPr="008B7E34">
              <w:rPr>
                <w:rFonts w:asciiTheme="minorHAnsi" w:hAnsiTheme="minorHAnsi" w:cstheme="minorHAnsi"/>
                <w:szCs w:val="22"/>
              </w:rPr>
              <w:t>Public hospital services</w:t>
            </w:r>
            <w:r w:rsidRPr="008B7E34">
              <w:rPr>
                <w:rFonts w:asciiTheme="minorHAnsi" w:hAnsiTheme="minorHAnsi" w:cstheme="minorHAnsi"/>
                <w:szCs w:val="22"/>
                <w:vertAlign w:val="superscript"/>
              </w:rPr>
              <w:t>(</w:t>
            </w:r>
            <w:r>
              <w:rPr>
                <w:rFonts w:asciiTheme="minorHAnsi" w:hAnsiTheme="minorHAnsi" w:cstheme="minorHAnsi"/>
                <w:szCs w:val="22"/>
                <w:vertAlign w:val="superscript"/>
              </w:rPr>
              <w:t>e</w:t>
            </w:r>
            <w:r w:rsidRPr="008B7E34">
              <w:rPr>
                <w:rFonts w:asciiTheme="minorHAnsi" w:hAnsiTheme="minorHAnsi" w:cstheme="minorHAnsi"/>
                <w:szCs w:val="22"/>
                <w:vertAlign w:val="superscript"/>
              </w:rPr>
              <w:t>)(</w:t>
            </w:r>
            <w:r>
              <w:rPr>
                <w:rFonts w:asciiTheme="minorHAnsi" w:hAnsiTheme="minorHAnsi" w:cstheme="minorHAnsi"/>
                <w:szCs w:val="22"/>
                <w:vertAlign w:val="superscript"/>
              </w:rPr>
              <w:t>f</w:t>
            </w:r>
            <w:r w:rsidRPr="008B7E34">
              <w:rPr>
                <w:rFonts w:asciiTheme="minorHAnsi" w:hAnsiTheme="minorHAnsi" w:cstheme="minorHAnsi"/>
                <w:szCs w:val="22"/>
                <w:vertAlign w:val="superscript"/>
              </w:rPr>
              <w:t>)</w:t>
            </w:r>
          </w:p>
        </w:tc>
        <w:tc>
          <w:tcPr>
            <w:tcW w:w="1044" w:type="dxa"/>
          </w:tcPr>
          <w:p w:rsidR="0002561B" w:rsidRPr="00EF5802" w:rsidRDefault="0002561B" w:rsidP="00BC0B4B">
            <w:pPr>
              <w:pStyle w:val="TableFigText"/>
              <w:jc w:val="right"/>
            </w:pPr>
            <w:r w:rsidRPr="00EF5802">
              <w:t>n/a</w:t>
            </w:r>
          </w:p>
        </w:tc>
        <w:tc>
          <w:tcPr>
            <w:tcW w:w="1376" w:type="dxa"/>
            <w:vAlign w:val="bottom"/>
          </w:tcPr>
          <w:p w:rsidR="0002561B" w:rsidRDefault="0002561B" w:rsidP="00BC0B4B">
            <w:pPr>
              <w:pStyle w:val="TableFigText"/>
              <w:jc w:val="right"/>
              <w:rPr>
                <w:rFonts w:ascii="Calibri" w:hAnsi="Calibri"/>
                <w:color w:val="000000"/>
              </w:rPr>
            </w:pPr>
            <w:r>
              <w:rPr>
                <w:rFonts w:ascii="Calibri" w:hAnsi="Calibri"/>
                <w:color w:val="000000"/>
              </w:rPr>
              <w:t>96.25</w:t>
            </w:r>
          </w:p>
        </w:tc>
        <w:tc>
          <w:tcPr>
            <w:tcW w:w="1248" w:type="dxa"/>
            <w:vAlign w:val="bottom"/>
          </w:tcPr>
          <w:p w:rsidR="0002561B" w:rsidRDefault="0002561B" w:rsidP="00BC0B4B">
            <w:pPr>
              <w:pStyle w:val="TableFigText"/>
              <w:jc w:val="right"/>
              <w:rPr>
                <w:rFonts w:ascii="Calibri" w:hAnsi="Calibri"/>
                <w:color w:val="000000"/>
              </w:rPr>
            </w:pPr>
            <w:r>
              <w:rPr>
                <w:rFonts w:ascii="Calibri" w:hAnsi="Calibri"/>
                <w:color w:val="000000"/>
              </w:rPr>
              <w:t>41.99</w:t>
            </w:r>
          </w:p>
        </w:tc>
        <w:tc>
          <w:tcPr>
            <w:tcW w:w="1045" w:type="dxa"/>
            <w:vAlign w:val="bottom"/>
          </w:tcPr>
          <w:p w:rsidR="0002561B" w:rsidRDefault="0002561B" w:rsidP="00BC0B4B">
            <w:pPr>
              <w:pStyle w:val="TableFigText"/>
              <w:jc w:val="right"/>
              <w:rPr>
                <w:rFonts w:ascii="Calibri" w:hAnsi="Calibri"/>
                <w:color w:val="000000"/>
              </w:rPr>
            </w:pPr>
            <w:r>
              <w:rPr>
                <w:rFonts w:ascii="Calibri" w:hAnsi="Calibri"/>
                <w:color w:val="000000"/>
              </w:rPr>
              <w:t>0</w:t>
            </w:r>
          </w:p>
        </w:tc>
        <w:tc>
          <w:tcPr>
            <w:tcW w:w="1091" w:type="dxa"/>
            <w:vAlign w:val="bottom"/>
          </w:tcPr>
          <w:p w:rsidR="0002561B" w:rsidRDefault="0002561B" w:rsidP="00BC0B4B">
            <w:pPr>
              <w:pStyle w:val="TableFigText"/>
              <w:jc w:val="right"/>
              <w:rPr>
                <w:rFonts w:ascii="Calibri" w:hAnsi="Calibri"/>
                <w:color w:val="000000"/>
              </w:rPr>
            </w:pPr>
            <w:r>
              <w:rPr>
                <w:rFonts w:ascii="Calibri" w:hAnsi="Calibri"/>
                <w:color w:val="000000"/>
              </w:rPr>
              <w:t>0</w:t>
            </w:r>
          </w:p>
        </w:tc>
        <w:tc>
          <w:tcPr>
            <w:tcW w:w="1094" w:type="dxa"/>
            <w:vAlign w:val="bottom"/>
          </w:tcPr>
          <w:p w:rsidR="0002561B" w:rsidRDefault="0002561B" w:rsidP="00BC0B4B">
            <w:pPr>
              <w:pStyle w:val="TableFigText"/>
              <w:jc w:val="right"/>
              <w:rPr>
                <w:rFonts w:ascii="Calibri" w:hAnsi="Calibri"/>
                <w:color w:val="000000"/>
              </w:rPr>
            </w:pPr>
            <w:r>
              <w:rPr>
                <w:rFonts w:ascii="Calibri" w:hAnsi="Calibri"/>
                <w:color w:val="000000"/>
              </w:rPr>
              <w:t>76.43</w:t>
            </w:r>
          </w:p>
        </w:tc>
      </w:tr>
      <w:tr w:rsidR="0002561B" w:rsidRPr="008B7E34" w:rsidTr="00E441F7">
        <w:tc>
          <w:tcPr>
            <w:tcW w:w="2388" w:type="dxa"/>
          </w:tcPr>
          <w:p w:rsidR="0002561B" w:rsidRPr="008B7E34" w:rsidRDefault="0002561B" w:rsidP="00E441F7">
            <w:pPr>
              <w:pStyle w:val="TableFigText"/>
              <w:rPr>
                <w:rFonts w:asciiTheme="minorHAnsi" w:hAnsiTheme="minorHAnsi" w:cstheme="minorHAnsi"/>
                <w:szCs w:val="22"/>
              </w:rPr>
            </w:pPr>
            <w:r w:rsidRPr="008B7E34">
              <w:rPr>
                <w:rFonts w:asciiTheme="minorHAnsi" w:hAnsiTheme="minorHAnsi" w:cstheme="minorHAnsi"/>
                <w:szCs w:val="22"/>
              </w:rPr>
              <w:t>Community mental health services</w:t>
            </w:r>
          </w:p>
        </w:tc>
        <w:tc>
          <w:tcPr>
            <w:tcW w:w="1044" w:type="dxa"/>
          </w:tcPr>
          <w:p w:rsidR="0002561B" w:rsidRPr="00EF5802" w:rsidRDefault="0002561B" w:rsidP="00BC0B4B">
            <w:pPr>
              <w:pStyle w:val="TableFigText"/>
              <w:jc w:val="right"/>
            </w:pPr>
            <w:r w:rsidRPr="00EF5802">
              <w:t>n/a</w:t>
            </w:r>
          </w:p>
        </w:tc>
        <w:tc>
          <w:tcPr>
            <w:tcW w:w="1376" w:type="dxa"/>
            <w:vAlign w:val="bottom"/>
          </w:tcPr>
          <w:p w:rsidR="0002561B" w:rsidRDefault="0002561B" w:rsidP="00BC0B4B">
            <w:pPr>
              <w:pStyle w:val="TableFigText"/>
              <w:jc w:val="right"/>
              <w:rPr>
                <w:rFonts w:ascii="Calibri" w:hAnsi="Calibri"/>
                <w:color w:val="000000"/>
              </w:rPr>
            </w:pPr>
            <w:r>
              <w:rPr>
                <w:rFonts w:ascii="Calibri" w:hAnsi="Calibri"/>
                <w:color w:val="000000"/>
              </w:rPr>
              <w:t>87.98</w:t>
            </w:r>
          </w:p>
        </w:tc>
        <w:tc>
          <w:tcPr>
            <w:tcW w:w="1248" w:type="dxa"/>
            <w:vAlign w:val="bottom"/>
          </w:tcPr>
          <w:p w:rsidR="0002561B" w:rsidRDefault="0002561B" w:rsidP="00BC0B4B">
            <w:pPr>
              <w:pStyle w:val="TableFigText"/>
              <w:jc w:val="right"/>
              <w:rPr>
                <w:rFonts w:ascii="Calibri" w:hAnsi="Calibri"/>
                <w:color w:val="000000"/>
              </w:rPr>
            </w:pPr>
            <w:r>
              <w:rPr>
                <w:rFonts w:ascii="Calibri" w:hAnsi="Calibri"/>
                <w:color w:val="000000"/>
              </w:rPr>
              <w:t>31.21</w:t>
            </w:r>
          </w:p>
        </w:tc>
        <w:tc>
          <w:tcPr>
            <w:tcW w:w="1045" w:type="dxa"/>
            <w:vAlign w:val="bottom"/>
          </w:tcPr>
          <w:p w:rsidR="0002561B" w:rsidRDefault="0002561B" w:rsidP="00BC0B4B">
            <w:pPr>
              <w:pStyle w:val="TableFigText"/>
              <w:jc w:val="right"/>
              <w:rPr>
                <w:rFonts w:ascii="Calibri" w:hAnsi="Calibri"/>
                <w:color w:val="000000"/>
              </w:rPr>
            </w:pPr>
            <w:r>
              <w:rPr>
                <w:rFonts w:ascii="Calibri" w:hAnsi="Calibri"/>
                <w:color w:val="000000"/>
              </w:rPr>
              <w:t>0</w:t>
            </w:r>
          </w:p>
        </w:tc>
        <w:tc>
          <w:tcPr>
            <w:tcW w:w="1091" w:type="dxa"/>
            <w:vAlign w:val="bottom"/>
          </w:tcPr>
          <w:p w:rsidR="0002561B" w:rsidRDefault="0002561B" w:rsidP="00BC0B4B">
            <w:pPr>
              <w:pStyle w:val="TableFigText"/>
              <w:jc w:val="right"/>
              <w:rPr>
                <w:rFonts w:ascii="Calibri" w:hAnsi="Calibri"/>
                <w:color w:val="000000"/>
              </w:rPr>
            </w:pPr>
            <w:r>
              <w:rPr>
                <w:rFonts w:ascii="Calibri" w:hAnsi="Calibri"/>
                <w:color w:val="000000"/>
              </w:rPr>
              <w:t>0</w:t>
            </w:r>
          </w:p>
        </w:tc>
        <w:tc>
          <w:tcPr>
            <w:tcW w:w="1094" w:type="dxa"/>
            <w:vAlign w:val="bottom"/>
          </w:tcPr>
          <w:p w:rsidR="0002561B" w:rsidRDefault="0002561B" w:rsidP="00BC0B4B">
            <w:pPr>
              <w:pStyle w:val="TableFigText"/>
              <w:jc w:val="right"/>
              <w:rPr>
                <w:rFonts w:ascii="Calibri" w:hAnsi="Calibri"/>
                <w:color w:val="000000"/>
              </w:rPr>
            </w:pPr>
            <w:r>
              <w:rPr>
                <w:rFonts w:ascii="Calibri" w:hAnsi="Calibri"/>
                <w:color w:val="000000"/>
              </w:rPr>
              <w:t>67.53</w:t>
            </w:r>
          </w:p>
        </w:tc>
      </w:tr>
      <w:tr w:rsidR="0002561B" w:rsidRPr="008B7E34" w:rsidTr="00E441F7">
        <w:tc>
          <w:tcPr>
            <w:tcW w:w="2388" w:type="dxa"/>
          </w:tcPr>
          <w:p w:rsidR="0002561B" w:rsidRPr="008B7E34" w:rsidRDefault="0002561B" w:rsidP="00E441F7">
            <w:pPr>
              <w:pStyle w:val="TableFigText"/>
              <w:rPr>
                <w:rFonts w:asciiTheme="minorHAnsi" w:hAnsiTheme="minorHAnsi" w:cstheme="minorHAnsi"/>
                <w:szCs w:val="22"/>
              </w:rPr>
            </w:pPr>
            <w:r w:rsidRPr="008B7E34">
              <w:rPr>
                <w:rFonts w:asciiTheme="minorHAnsi" w:hAnsiTheme="minorHAnsi" w:cstheme="minorHAnsi"/>
                <w:szCs w:val="22"/>
              </w:rPr>
              <w:t>Residential mental health services</w:t>
            </w:r>
            <w:r w:rsidRPr="008B7E34">
              <w:rPr>
                <w:rFonts w:asciiTheme="minorHAnsi" w:hAnsiTheme="minorHAnsi" w:cstheme="minorHAnsi"/>
                <w:szCs w:val="22"/>
                <w:vertAlign w:val="superscript"/>
              </w:rPr>
              <w:t>(</w:t>
            </w:r>
            <w:r>
              <w:rPr>
                <w:rFonts w:asciiTheme="minorHAnsi" w:hAnsiTheme="minorHAnsi" w:cstheme="minorHAnsi"/>
                <w:szCs w:val="22"/>
                <w:vertAlign w:val="superscript"/>
              </w:rPr>
              <w:t>g</w:t>
            </w:r>
            <w:r w:rsidRPr="008B7E34">
              <w:rPr>
                <w:rFonts w:asciiTheme="minorHAnsi" w:hAnsiTheme="minorHAnsi" w:cstheme="minorHAnsi"/>
                <w:szCs w:val="22"/>
                <w:vertAlign w:val="superscript"/>
              </w:rPr>
              <w:t>)</w:t>
            </w:r>
          </w:p>
        </w:tc>
        <w:tc>
          <w:tcPr>
            <w:tcW w:w="1044" w:type="dxa"/>
          </w:tcPr>
          <w:p w:rsidR="0002561B" w:rsidRPr="00EF5802" w:rsidRDefault="0002561B" w:rsidP="00BC0B4B">
            <w:pPr>
              <w:pStyle w:val="TableFigText"/>
              <w:jc w:val="right"/>
            </w:pPr>
            <w:r w:rsidRPr="00EF5802">
              <w:t>n/a</w:t>
            </w:r>
          </w:p>
        </w:tc>
        <w:tc>
          <w:tcPr>
            <w:tcW w:w="1376" w:type="dxa"/>
            <w:vAlign w:val="bottom"/>
          </w:tcPr>
          <w:p w:rsidR="0002561B" w:rsidRDefault="0002561B" w:rsidP="00BC0B4B">
            <w:pPr>
              <w:pStyle w:val="TableFigText"/>
              <w:jc w:val="right"/>
              <w:rPr>
                <w:rFonts w:ascii="Calibri" w:hAnsi="Calibri"/>
                <w:color w:val="000000"/>
              </w:rPr>
            </w:pPr>
            <w:r>
              <w:rPr>
                <w:rFonts w:ascii="Calibri" w:hAnsi="Calibri"/>
                <w:color w:val="000000"/>
              </w:rPr>
              <w:t>65.38</w:t>
            </w:r>
          </w:p>
        </w:tc>
        <w:tc>
          <w:tcPr>
            <w:tcW w:w="1248" w:type="dxa"/>
            <w:vAlign w:val="bottom"/>
          </w:tcPr>
          <w:p w:rsidR="0002561B" w:rsidRDefault="0002561B" w:rsidP="00BC0B4B">
            <w:pPr>
              <w:pStyle w:val="TableFigText"/>
              <w:jc w:val="right"/>
              <w:rPr>
                <w:rFonts w:ascii="Calibri" w:hAnsi="Calibri"/>
                <w:color w:val="000000"/>
              </w:rPr>
            </w:pPr>
            <w:r>
              <w:rPr>
                <w:rFonts w:ascii="Calibri" w:hAnsi="Calibri"/>
                <w:color w:val="000000"/>
              </w:rPr>
              <w:t>6.41</w:t>
            </w:r>
          </w:p>
        </w:tc>
        <w:tc>
          <w:tcPr>
            <w:tcW w:w="1045" w:type="dxa"/>
            <w:vAlign w:val="bottom"/>
          </w:tcPr>
          <w:p w:rsidR="0002561B" w:rsidRDefault="0002561B" w:rsidP="00BC0B4B">
            <w:pPr>
              <w:pStyle w:val="TableFigText"/>
              <w:jc w:val="right"/>
              <w:rPr>
                <w:rFonts w:ascii="Calibri" w:hAnsi="Calibri"/>
                <w:color w:val="000000"/>
              </w:rPr>
            </w:pPr>
            <w:r>
              <w:rPr>
                <w:rFonts w:ascii="Calibri" w:hAnsi="Calibri"/>
                <w:color w:val="000000"/>
              </w:rPr>
              <w:t>0</w:t>
            </w:r>
          </w:p>
        </w:tc>
        <w:tc>
          <w:tcPr>
            <w:tcW w:w="1091" w:type="dxa"/>
            <w:vAlign w:val="bottom"/>
          </w:tcPr>
          <w:p w:rsidR="0002561B" w:rsidRDefault="0002561B" w:rsidP="00BC0B4B">
            <w:pPr>
              <w:pStyle w:val="TableFigText"/>
              <w:jc w:val="right"/>
              <w:rPr>
                <w:rFonts w:ascii="Calibri" w:hAnsi="Calibri"/>
                <w:color w:val="000000"/>
              </w:rPr>
            </w:pPr>
            <w:r>
              <w:rPr>
                <w:rFonts w:ascii="Calibri" w:hAnsi="Calibri"/>
                <w:color w:val="000000"/>
              </w:rPr>
              <w:t>0</w:t>
            </w:r>
          </w:p>
        </w:tc>
        <w:tc>
          <w:tcPr>
            <w:tcW w:w="1094" w:type="dxa"/>
            <w:vAlign w:val="bottom"/>
          </w:tcPr>
          <w:p w:rsidR="0002561B" w:rsidRDefault="0002561B" w:rsidP="00BC0B4B">
            <w:pPr>
              <w:pStyle w:val="TableFigText"/>
              <w:jc w:val="right"/>
              <w:rPr>
                <w:rFonts w:ascii="Calibri" w:hAnsi="Calibri"/>
                <w:color w:val="000000"/>
              </w:rPr>
            </w:pPr>
            <w:r>
              <w:rPr>
                <w:rFonts w:ascii="Calibri" w:hAnsi="Calibri"/>
                <w:color w:val="000000"/>
              </w:rPr>
              <w:t>44.74</w:t>
            </w:r>
          </w:p>
        </w:tc>
      </w:tr>
      <w:tr w:rsidR="0002561B" w:rsidRPr="008B7E34" w:rsidTr="00E441F7">
        <w:tc>
          <w:tcPr>
            <w:tcW w:w="2388" w:type="dxa"/>
          </w:tcPr>
          <w:p w:rsidR="0002561B" w:rsidRPr="00BC0B4B" w:rsidRDefault="0002561B" w:rsidP="00E441F7">
            <w:pPr>
              <w:pStyle w:val="TableFigText"/>
              <w:rPr>
                <w:rFonts w:asciiTheme="minorHAnsi" w:hAnsiTheme="minorHAnsi" w:cstheme="minorHAnsi"/>
                <w:b/>
                <w:szCs w:val="22"/>
              </w:rPr>
            </w:pPr>
            <w:r w:rsidRPr="00BC0B4B">
              <w:rPr>
                <w:rFonts w:asciiTheme="minorHAnsi" w:hAnsiTheme="minorHAnsi" w:cstheme="minorHAnsi"/>
                <w:b/>
                <w:szCs w:val="22"/>
              </w:rPr>
              <w:t>All mental health service types</w:t>
            </w:r>
            <w:r w:rsidRPr="00BC0B4B">
              <w:rPr>
                <w:rFonts w:asciiTheme="minorHAnsi" w:hAnsiTheme="minorHAnsi" w:cstheme="minorHAnsi"/>
                <w:b/>
                <w:szCs w:val="22"/>
                <w:vertAlign w:val="superscript"/>
              </w:rPr>
              <w:t>(h)</w:t>
            </w:r>
          </w:p>
        </w:tc>
        <w:tc>
          <w:tcPr>
            <w:tcW w:w="1044" w:type="dxa"/>
          </w:tcPr>
          <w:p w:rsidR="0002561B" w:rsidRPr="00BC0B4B" w:rsidRDefault="0002561B" w:rsidP="00BC0B4B">
            <w:pPr>
              <w:pStyle w:val="TableFigText"/>
              <w:jc w:val="right"/>
              <w:rPr>
                <w:b/>
              </w:rPr>
            </w:pPr>
            <w:r w:rsidRPr="00BC0B4B">
              <w:rPr>
                <w:b/>
              </w:rPr>
              <w:t>n/a</w:t>
            </w:r>
          </w:p>
        </w:tc>
        <w:tc>
          <w:tcPr>
            <w:tcW w:w="1376" w:type="dxa"/>
            <w:vAlign w:val="bottom"/>
          </w:tcPr>
          <w:p w:rsidR="0002561B" w:rsidRPr="00BC0B4B" w:rsidRDefault="0002561B" w:rsidP="00BC0B4B">
            <w:pPr>
              <w:pStyle w:val="TableFigText"/>
              <w:jc w:val="right"/>
              <w:rPr>
                <w:rFonts w:ascii="Calibri" w:hAnsi="Calibri"/>
                <w:b/>
                <w:color w:val="000000"/>
              </w:rPr>
            </w:pPr>
            <w:r w:rsidRPr="00BC0B4B">
              <w:rPr>
                <w:rFonts w:ascii="Calibri" w:hAnsi="Calibri"/>
                <w:b/>
                <w:color w:val="000000"/>
              </w:rPr>
              <w:t>249.60</w:t>
            </w:r>
          </w:p>
        </w:tc>
        <w:tc>
          <w:tcPr>
            <w:tcW w:w="1248" w:type="dxa"/>
            <w:vAlign w:val="bottom"/>
          </w:tcPr>
          <w:p w:rsidR="0002561B" w:rsidRPr="00BC0B4B" w:rsidRDefault="0002561B" w:rsidP="00BC0B4B">
            <w:pPr>
              <w:pStyle w:val="TableFigText"/>
              <w:jc w:val="right"/>
              <w:rPr>
                <w:rFonts w:ascii="Calibri" w:hAnsi="Calibri"/>
                <w:b/>
                <w:color w:val="000000"/>
              </w:rPr>
            </w:pPr>
            <w:r w:rsidRPr="00BC0B4B">
              <w:rPr>
                <w:rFonts w:ascii="Calibri" w:hAnsi="Calibri"/>
                <w:b/>
                <w:color w:val="000000"/>
              </w:rPr>
              <w:t>79.61</w:t>
            </w:r>
          </w:p>
        </w:tc>
        <w:tc>
          <w:tcPr>
            <w:tcW w:w="1045" w:type="dxa"/>
            <w:vAlign w:val="bottom"/>
          </w:tcPr>
          <w:p w:rsidR="0002561B" w:rsidRPr="00BC0B4B" w:rsidRDefault="0002561B" w:rsidP="00BC0B4B">
            <w:pPr>
              <w:pStyle w:val="TableFigText"/>
              <w:jc w:val="right"/>
              <w:rPr>
                <w:rFonts w:ascii="Calibri" w:hAnsi="Calibri"/>
                <w:b/>
                <w:color w:val="000000"/>
              </w:rPr>
            </w:pPr>
            <w:r w:rsidRPr="00BC0B4B">
              <w:rPr>
                <w:rFonts w:ascii="Calibri" w:hAnsi="Calibri"/>
                <w:b/>
                <w:color w:val="000000"/>
              </w:rPr>
              <w:t>0</w:t>
            </w:r>
          </w:p>
        </w:tc>
        <w:tc>
          <w:tcPr>
            <w:tcW w:w="1091" w:type="dxa"/>
            <w:vAlign w:val="bottom"/>
          </w:tcPr>
          <w:p w:rsidR="0002561B" w:rsidRPr="00BC0B4B" w:rsidRDefault="0002561B" w:rsidP="00BC0B4B">
            <w:pPr>
              <w:pStyle w:val="TableFigText"/>
              <w:jc w:val="right"/>
              <w:rPr>
                <w:rFonts w:ascii="Calibri" w:hAnsi="Calibri"/>
                <w:b/>
                <w:color w:val="000000"/>
              </w:rPr>
            </w:pPr>
            <w:r w:rsidRPr="00BC0B4B">
              <w:rPr>
                <w:rFonts w:ascii="Calibri" w:hAnsi="Calibri"/>
                <w:b/>
                <w:color w:val="000000"/>
              </w:rPr>
              <w:t>0</w:t>
            </w:r>
          </w:p>
        </w:tc>
        <w:tc>
          <w:tcPr>
            <w:tcW w:w="1094" w:type="dxa"/>
            <w:vAlign w:val="bottom"/>
          </w:tcPr>
          <w:p w:rsidR="0002561B" w:rsidRPr="00BC0B4B" w:rsidRDefault="0002561B" w:rsidP="00BC0B4B">
            <w:pPr>
              <w:pStyle w:val="TableFigText"/>
              <w:jc w:val="right"/>
              <w:rPr>
                <w:rFonts w:ascii="Calibri" w:hAnsi="Calibri"/>
                <w:b/>
                <w:color w:val="000000"/>
              </w:rPr>
            </w:pPr>
            <w:r w:rsidRPr="00BC0B4B">
              <w:rPr>
                <w:rFonts w:ascii="Calibri" w:hAnsi="Calibri"/>
                <w:b/>
                <w:color w:val="000000"/>
              </w:rPr>
              <w:t>188.70</w:t>
            </w:r>
          </w:p>
        </w:tc>
      </w:tr>
    </w:tbl>
    <w:p w:rsidR="00E254F6" w:rsidRPr="00540186" w:rsidRDefault="00E254F6" w:rsidP="00E254F6">
      <w:pPr>
        <w:pStyle w:val="TableFigNotesnumbered"/>
        <w:rPr>
          <w:rStyle w:val="table-note"/>
        </w:rPr>
      </w:pPr>
      <w:proofErr w:type="gramStart"/>
      <w:r w:rsidRPr="00540186">
        <w:rPr>
          <w:rStyle w:val="table-note"/>
        </w:rPr>
        <w:t>n/a</w:t>
      </w:r>
      <w:proofErr w:type="gramEnd"/>
      <w:r w:rsidRPr="00540186">
        <w:rPr>
          <w:rStyle w:val="table-note"/>
        </w:rPr>
        <w:t xml:space="preserve"> </w:t>
      </w:r>
      <w:r w:rsidRPr="00540186">
        <w:rPr>
          <w:rStyle w:val="table-note"/>
        </w:rPr>
        <w:tab/>
        <w:t>Not applicable.</w:t>
      </w:r>
    </w:p>
    <w:p w:rsidR="0002561B" w:rsidRPr="00540186" w:rsidRDefault="0002561B" w:rsidP="00540186">
      <w:pPr>
        <w:pStyle w:val="TableFigNotesnumbered"/>
        <w:numPr>
          <w:ilvl w:val="0"/>
          <w:numId w:val="45"/>
        </w:numPr>
        <w:rPr>
          <w:rStyle w:val="table-note"/>
        </w:rPr>
      </w:pPr>
      <w:r w:rsidRPr="00540186">
        <w:rPr>
          <w:rStyle w:val="table-note"/>
        </w:rPr>
        <w:t>Expenditure excludes depreciation.</w:t>
      </w:r>
    </w:p>
    <w:p w:rsidR="0002561B" w:rsidRPr="00540186" w:rsidRDefault="0002561B" w:rsidP="00540186">
      <w:pPr>
        <w:pStyle w:val="TableFigNotesnumbered"/>
        <w:numPr>
          <w:ilvl w:val="0"/>
          <w:numId w:val="45"/>
        </w:numPr>
        <w:rPr>
          <w:rStyle w:val="table-note"/>
        </w:rPr>
      </w:pPr>
      <w:r w:rsidRPr="00540186">
        <w:rPr>
          <w:rStyle w:val="table-note"/>
        </w:rPr>
        <w:t xml:space="preserve">Expenditure excludes grants to non-government organisations and indirect expenditure at the state/territory, region and organisation levels not apportioned to service units. </w:t>
      </w:r>
    </w:p>
    <w:p w:rsidR="0002561B" w:rsidRPr="00540186" w:rsidRDefault="0002561B" w:rsidP="00540186">
      <w:pPr>
        <w:pStyle w:val="TableFigNotesnumbered"/>
        <w:numPr>
          <w:ilvl w:val="0"/>
          <w:numId w:val="45"/>
        </w:numPr>
        <w:rPr>
          <w:rStyle w:val="table-note"/>
        </w:rPr>
      </w:pPr>
      <w:r w:rsidRPr="00540186">
        <w:rPr>
          <w:rStyle w:val="table-note"/>
        </w:rPr>
        <w:t>Crude rate is based on the state and territory estimated resident population by remoteness area as at 30 June 2007.</w:t>
      </w:r>
    </w:p>
    <w:p w:rsidR="0002561B" w:rsidRPr="00540186" w:rsidRDefault="0002561B" w:rsidP="00540186">
      <w:pPr>
        <w:pStyle w:val="TableFigNotesnumbered"/>
        <w:numPr>
          <w:ilvl w:val="0"/>
          <w:numId w:val="45"/>
        </w:numPr>
        <w:rPr>
          <w:rStyle w:val="table-note"/>
        </w:rPr>
      </w:pPr>
      <w:r w:rsidRPr="00540186">
        <w:rPr>
          <w:rStyle w:val="table-note"/>
        </w:rPr>
        <w:t>Constant prices are referenced to 2011–12 and are adjusted for inflation.</w:t>
      </w:r>
    </w:p>
    <w:p w:rsidR="0002561B" w:rsidRPr="00540186" w:rsidRDefault="0002561B" w:rsidP="00540186">
      <w:pPr>
        <w:pStyle w:val="TableFigNotesnumbered"/>
        <w:numPr>
          <w:ilvl w:val="0"/>
          <w:numId w:val="45"/>
        </w:numPr>
        <w:rPr>
          <w:rStyle w:val="table-note"/>
        </w:rPr>
      </w:pPr>
      <w:r w:rsidRPr="00540186">
        <w:rPr>
          <w:rStyle w:val="table-note"/>
        </w:rPr>
        <w:t>Includes public hospital services managed and operated by private and non-government entities.</w:t>
      </w:r>
    </w:p>
    <w:p w:rsidR="0002561B" w:rsidRPr="00540186" w:rsidRDefault="0002561B" w:rsidP="00540186">
      <w:pPr>
        <w:pStyle w:val="TableFigNotesnumbered"/>
        <w:numPr>
          <w:ilvl w:val="0"/>
          <w:numId w:val="45"/>
        </w:numPr>
        <w:rPr>
          <w:rStyle w:val="table-note"/>
        </w:rPr>
      </w:pPr>
      <w:r w:rsidRPr="00540186">
        <w:rPr>
          <w:rStyle w:val="table-note"/>
        </w:rPr>
        <w:t>Public psychiatric hospitals and specialised psychiatric units or wards in public acute hospitals include expenditure on admitted patient services only. Public hospitals outpatient departments are included in community mental health care services.</w:t>
      </w:r>
      <w:r w:rsidRPr="00540186">
        <w:rPr>
          <w:rStyle w:val="table-note"/>
        </w:rPr>
        <w:tab/>
      </w:r>
      <w:r w:rsidRPr="00540186">
        <w:rPr>
          <w:rStyle w:val="table-note"/>
        </w:rPr>
        <w:tab/>
      </w:r>
    </w:p>
    <w:p w:rsidR="0002561B" w:rsidRPr="00540186" w:rsidRDefault="0002561B" w:rsidP="00540186">
      <w:pPr>
        <w:pStyle w:val="TableFigNotesnumbered"/>
        <w:numPr>
          <w:ilvl w:val="0"/>
          <w:numId w:val="45"/>
        </w:numPr>
        <w:rPr>
          <w:rStyle w:val="table-note"/>
        </w:rPr>
      </w:pPr>
      <w:r w:rsidRPr="00540186">
        <w:rPr>
          <w:rStyle w:val="table-note"/>
        </w:rPr>
        <w:t>Residential mental health services include the total operating costs for partially or wholly government funded non-government-operated residential mental health services.</w:t>
      </w:r>
    </w:p>
    <w:p w:rsidR="0002561B" w:rsidRPr="00540186" w:rsidRDefault="0002561B" w:rsidP="00540186">
      <w:pPr>
        <w:pStyle w:val="TableFigNotesnumbered"/>
        <w:numPr>
          <w:ilvl w:val="0"/>
          <w:numId w:val="45"/>
        </w:numPr>
        <w:rPr>
          <w:rStyle w:val="table-note"/>
        </w:rPr>
      </w:pPr>
      <w:r w:rsidRPr="00540186">
        <w:rPr>
          <w:rStyle w:val="table-note"/>
        </w:rPr>
        <w:t>Totals may not add due to rounding.</w:t>
      </w:r>
    </w:p>
    <w:p w:rsidR="00AF46B7" w:rsidRDefault="00AF46B7" w:rsidP="006B2ED0">
      <w:pPr>
        <w:pStyle w:val="TableFigNotesnumbered"/>
        <w:ind w:left="294" w:hanging="294"/>
        <w:rPr>
          <w:rFonts w:asciiTheme="minorHAnsi" w:hAnsiTheme="minorHAnsi" w:cstheme="minorHAnsi"/>
        </w:rPr>
      </w:pPr>
    </w:p>
    <w:p w:rsidR="00AF46B7" w:rsidRDefault="00AF46B7" w:rsidP="00AF46B7">
      <w:pPr>
        <w:pStyle w:val="AIHWbodytext"/>
        <w:rPr>
          <w:sz w:val="14"/>
        </w:rPr>
      </w:pPr>
      <w:r>
        <w:br w:type="page"/>
      </w:r>
    </w:p>
    <w:p w:rsidR="00E17C0A" w:rsidRPr="000E0677" w:rsidRDefault="000E0677" w:rsidP="00E17C0A">
      <w:pPr>
        <w:pStyle w:val="TableCaption"/>
        <w:rPr>
          <w:rStyle w:val="table-note"/>
        </w:rPr>
      </w:pPr>
      <w:r w:rsidRPr="000E0677">
        <w:rPr>
          <w:rStyle w:val="table-note"/>
        </w:rPr>
        <w:lastRenderedPageBreak/>
        <w:t xml:space="preserve">Table 54: </w:t>
      </w:r>
      <w:r w:rsidR="00E17C0A" w:rsidRPr="000E0677">
        <w:rPr>
          <w:rStyle w:val="table-note"/>
        </w:rPr>
        <w:t xml:space="preserve">TAS: Recurrent </w:t>
      </w:r>
      <w:proofErr w:type="gramStart"/>
      <w:r w:rsidR="00E17C0A" w:rsidRPr="000E0677">
        <w:rPr>
          <w:rStyle w:val="table-note"/>
        </w:rPr>
        <w:t>expenditure</w:t>
      </w:r>
      <w:r w:rsidR="00E17C0A" w:rsidRPr="000E0677">
        <w:rPr>
          <w:rStyle w:val="table-note"/>
          <w:vertAlign w:val="superscript"/>
        </w:rPr>
        <w:t>(</w:t>
      </w:r>
      <w:proofErr w:type="gramEnd"/>
      <w:r w:rsidR="00E17C0A" w:rsidRPr="000E0677">
        <w:rPr>
          <w:rStyle w:val="table-note"/>
          <w:vertAlign w:val="superscript"/>
        </w:rPr>
        <w:t>a)(b)</w:t>
      </w:r>
      <w:r w:rsidR="00E17C0A" w:rsidRPr="000E0677">
        <w:rPr>
          <w:rStyle w:val="table-note"/>
        </w:rPr>
        <w:t xml:space="preserve"> ($’000) on state and territory specialised mental health services, by service type, 2011–12 (current prices)</w:t>
      </w:r>
    </w:p>
    <w:tbl>
      <w:tblPr>
        <w:tblStyle w:val="TableGrid"/>
        <w:tblW w:w="0" w:type="auto"/>
        <w:tblLook w:val="04A0" w:firstRow="1" w:lastRow="0" w:firstColumn="1" w:lastColumn="0" w:noHBand="0" w:noVBand="1"/>
        <w:tblCaption w:val="TAS: Recurrent expenditure(a)(b) ($’000) on state and territory specialised mental health services, by service type, 2011–12 (current prices)"/>
        <w:tblDescription w:val="Table showing that, in 2011-2012, inner regional areas in Tas have the highest recurrent expenditure for all specialised mental health services ($78,695,000). Recurrent expenditure decreased as regions became more remote, with the major cities category not applicable. Public hospital services had the highest amount of recurrent expenditure overall across region types at $40,560,000."/>
      </w:tblPr>
      <w:tblGrid>
        <w:gridCol w:w="2399"/>
        <w:gridCol w:w="1046"/>
        <w:gridCol w:w="1380"/>
        <w:gridCol w:w="1252"/>
        <w:gridCol w:w="1047"/>
        <w:gridCol w:w="1093"/>
        <w:gridCol w:w="1069"/>
      </w:tblGrid>
      <w:tr w:rsidR="00E17C0A" w:rsidRPr="00EF5802" w:rsidTr="000C3DEA">
        <w:trPr>
          <w:tblHeader/>
        </w:trPr>
        <w:tc>
          <w:tcPr>
            <w:tcW w:w="2502" w:type="dxa"/>
          </w:tcPr>
          <w:p w:rsidR="00E17C0A" w:rsidRPr="00EF5802" w:rsidRDefault="00E17C0A" w:rsidP="005B2C04">
            <w:pPr>
              <w:pStyle w:val="TableFigText"/>
              <w:keepNext/>
              <w:rPr>
                <w:rFonts w:asciiTheme="minorHAnsi" w:hAnsiTheme="minorHAnsi" w:cstheme="minorHAnsi"/>
                <w:szCs w:val="22"/>
              </w:rPr>
            </w:pPr>
          </w:p>
        </w:tc>
        <w:tc>
          <w:tcPr>
            <w:tcW w:w="1077"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Major cities</w:t>
            </w:r>
          </w:p>
        </w:tc>
        <w:tc>
          <w:tcPr>
            <w:tcW w:w="1425"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Inner regional</w:t>
            </w:r>
          </w:p>
        </w:tc>
        <w:tc>
          <w:tcPr>
            <w:tcW w:w="1287"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Outer regional</w:t>
            </w:r>
          </w:p>
        </w:tc>
        <w:tc>
          <w:tcPr>
            <w:tcW w:w="1069"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Remote</w:t>
            </w:r>
          </w:p>
        </w:tc>
        <w:tc>
          <w:tcPr>
            <w:tcW w:w="1121"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Very remote</w:t>
            </w:r>
          </w:p>
        </w:tc>
        <w:tc>
          <w:tcPr>
            <w:tcW w:w="1095"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Total</w:t>
            </w:r>
            <w:r w:rsidRPr="00EF5802">
              <w:rPr>
                <w:rFonts w:asciiTheme="minorHAnsi" w:hAnsiTheme="minorHAnsi" w:cstheme="minorHAnsi"/>
                <w:szCs w:val="22"/>
                <w:vertAlign w:val="superscript"/>
              </w:rPr>
              <w:t>(</w:t>
            </w:r>
            <w:r>
              <w:rPr>
                <w:rFonts w:asciiTheme="minorHAnsi" w:hAnsiTheme="minorHAnsi" w:cstheme="minorHAnsi"/>
                <w:szCs w:val="22"/>
                <w:vertAlign w:val="superscript"/>
              </w:rPr>
              <w:t>c</w:t>
            </w:r>
            <w:r w:rsidRPr="00EF5802">
              <w:rPr>
                <w:rFonts w:asciiTheme="minorHAnsi" w:hAnsiTheme="minorHAnsi" w:cstheme="minorHAnsi"/>
                <w:szCs w:val="22"/>
                <w:vertAlign w:val="superscript"/>
              </w:rPr>
              <w:t>)</w:t>
            </w:r>
          </w:p>
        </w:tc>
      </w:tr>
      <w:tr w:rsidR="00E17C0A" w:rsidRPr="00EF5802" w:rsidTr="005B2C04">
        <w:tc>
          <w:tcPr>
            <w:tcW w:w="2502" w:type="dxa"/>
          </w:tcPr>
          <w:p w:rsidR="00E17C0A" w:rsidRPr="00EF5802" w:rsidRDefault="00E17C0A" w:rsidP="005B2C04">
            <w:pPr>
              <w:pStyle w:val="TableFigText"/>
              <w:keepNext/>
              <w:rPr>
                <w:rFonts w:asciiTheme="minorHAnsi" w:hAnsiTheme="minorHAnsi" w:cstheme="minorHAnsi"/>
                <w:szCs w:val="22"/>
              </w:rPr>
            </w:pPr>
            <w:r w:rsidRPr="00EF5802">
              <w:rPr>
                <w:rFonts w:asciiTheme="minorHAnsi" w:hAnsiTheme="minorHAnsi" w:cstheme="minorHAnsi"/>
                <w:szCs w:val="22"/>
              </w:rPr>
              <w:t>Public hospital services</w:t>
            </w:r>
            <w:r w:rsidRPr="00EF5802">
              <w:rPr>
                <w:rFonts w:asciiTheme="minorHAnsi" w:hAnsiTheme="minorHAnsi" w:cstheme="minorHAnsi"/>
                <w:szCs w:val="22"/>
                <w:vertAlign w:val="superscript"/>
              </w:rPr>
              <w:t>(</w:t>
            </w:r>
            <w:r>
              <w:rPr>
                <w:rFonts w:asciiTheme="minorHAnsi" w:hAnsiTheme="minorHAnsi" w:cstheme="minorHAnsi"/>
                <w:szCs w:val="22"/>
                <w:vertAlign w:val="superscript"/>
              </w:rPr>
              <w:t>d</w:t>
            </w:r>
            <w:r w:rsidRPr="00EF5802">
              <w:rPr>
                <w:rFonts w:asciiTheme="minorHAnsi" w:hAnsiTheme="minorHAnsi" w:cstheme="minorHAnsi"/>
                <w:szCs w:val="22"/>
                <w:vertAlign w:val="superscript"/>
              </w:rPr>
              <w:t>)(</w:t>
            </w:r>
            <w:r>
              <w:rPr>
                <w:rFonts w:asciiTheme="minorHAnsi" w:hAnsiTheme="minorHAnsi" w:cstheme="minorHAnsi"/>
                <w:szCs w:val="22"/>
                <w:vertAlign w:val="superscript"/>
              </w:rPr>
              <w:t>e</w:t>
            </w:r>
            <w:r w:rsidRPr="00EF5802">
              <w:rPr>
                <w:rFonts w:asciiTheme="minorHAnsi" w:hAnsiTheme="minorHAnsi" w:cstheme="minorHAnsi"/>
                <w:szCs w:val="22"/>
                <w:vertAlign w:val="superscript"/>
              </w:rPr>
              <w:t>)</w:t>
            </w:r>
          </w:p>
        </w:tc>
        <w:tc>
          <w:tcPr>
            <w:tcW w:w="1077" w:type="dxa"/>
          </w:tcPr>
          <w:p w:rsidR="00E17C0A" w:rsidRPr="00EF5802" w:rsidRDefault="00E17C0A" w:rsidP="00FD0123">
            <w:pPr>
              <w:pStyle w:val="TableFigText"/>
              <w:jc w:val="right"/>
            </w:pPr>
            <w:r w:rsidRPr="00EF5802">
              <w:t>n/a</w:t>
            </w:r>
          </w:p>
        </w:tc>
        <w:tc>
          <w:tcPr>
            <w:tcW w:w="1425" w:type="dxa"/>
          </w:tcPr>
          <w:p w:rsidR="00E17C0A" w:rsidRPr="00EF5802" w:rsidRDefault="00E17C0A" w:rsidP="00FD0123">
            <w:pPr>
              <w:pStyle w:val="TableFigText"/>
              <w:jc w:val="right"/>
            </w:pPr>
            <w:r w:rsidRPr="00EF5802">
              <w:t>30,187</w:t>
            </w:r>
          </w:p>
        </w:tc>
        <w:tc>
          <w:tcPr>
            <w:tcW w:w="1287" w:type="dxa"/>
          </w:tcPr>
          <w:p w:rsidR="00E17C0A" w:rsidRPr="00EF5802" w:rsidRDefault="00E17C0A" w:rsidP="00FD0123">
            <w:pPr>
              <w:pStyle w:val="TableFigText"/>
              <w:jc w:val="right"/>
            </w:pPr>
            <w:r w:rsidRPr="00EF5802">
              <w:t>9,956</w:t>
            </w:r>
          </w:p>
        </w:tc>
        <w:tc>
          <w:tcPr>
            <w:tcW w:w="1069" w:type="dxa"/>
          </w:tcPr>
          <w:p w:rsidR="00E17C0A" w:rsidRPr="00EF5802" w:rsidRDefault="00E17C0A" w:rsidP="00FD0123">
            <w:pPr>
              <w:pStyle w:val="TableFigText"/>
              <w:jc w:val="right"/>
            </w:pPr>
            <w:r w:rsidRPr="00EF5802">
              <w:t>416</w:t>
            </w:r>
          </w:p>
        </w:tc>
        <w:tc>
          <w:tcPr>
            <w:tcW w:w="1121" w:type="dxa"/>
          </w:tcPr>
          <w:p w:rsidR="00E17C0A" w:rsidRPr="00EF5802" w:rsidRDefault="00E17C0A" w:rsidP="00FD0123">
            <w:pPr>
              <w:pStyle w:val="TableFigText"/>
              <w:jc w:val="right"/>
            </w:pPr>
            <w:r w:rsidRPr="00EF5802">
              <w:t>0</w:t>
            </w:r>
          </w:p>
        </w:tc>
        <w:tc>
          <w:tcPr>
            <w:tcW w:w="1095" w:type="dxa"/>
          </w:tcPr>
          <w:p w:rsidR="00E17C0A" w:rsidRPr="00EF5802" w:rsidRDefault="00E17C0A" w:rsidP="00FD0123">
            <w:pPr>
              <w:pStyle w:val="TableFigText"/>
              <w:jc w:val="right"/>
            </w:pPr>
            <w:r w:rsidRPr="00EF5802">
              <w:t>40,560</w:t>
            </w:r>
          </w:p>
        </w:tc>
      </w:tr>
      <w:tr w:rsidR="00E17C0A" w:rsidRPr="00EF5802" w:rsidTr="005B2C04">
        <w:tc>
          <w:tcPr>
            <w:tcW w:w="2502" w:type="dxa"/>
          </w:tcPr>
          <w:p w:rsidR="00E17C0A" w:rsidRPr="00EF5802" w:rsidRDefault="00E17C0A" w:rsidP="005B2C04">
            <w:pPr>
              <w:pStyle w:val="TableFigText"/>
              <w:keepNext/>
              <w:rPr>
                <w:rFonts w:asciiTheme="minorHAnsi" w:hAnsiTheme="minorHAnsi" w:cstheme="minorHAnsi"/>
                <w:szCs w:val="22"/>
              </w:rPr>
            </w:pPr>
            <w:r w:rsidRPr="00EF5802">
              <w:rPr>
                <w:rFonts w:asciiTheme="minorHAnsi" w:hAnsiTheme="minorHAnsi" w:cstheme="minorHAnsi"/>
                <w:szCs w:val="22"/>
              </w:rPr>
              <w:t>Community mental health services</w:t>
            </w:r>
          </w:p>
        </w:tc>
        <w:tc>
          <w:tcPr>
            <w:tcW w:w="1077" w:type="dxa"/>
          </w:tcPr>
          <w:p w:rsidR="00E17C0A" w:rsidRPr="00EF5802" w:rsidRDefault="00E17C0A" w:rsidP="00FD0123">
            <w:pPr>
              <w:pStyle w:val="TableFigText"/>
              <w:jc w:val="right"/>
            </w:pPr>
            <w:r w:rsidRPr="00EF5802">
              <w:t>n/a</w:t>
            </w:r>
          </w:p>
        </w:tc>
        <w:tc>
          <w:tcPr>
            <w:tcW w:w="1425" w:type="dxa"/>
            <w:vAlign w:val="bottom"/>
          </w:tcPr>
          <w:p w:rsidR="00E17C0A" w:rsidRPr="00AB1427" w:rsidRDefault="00E17C0A" w:rsidP="00FD0123">
            <w:pPr>
              <w:pStyle w:val="TableFigText"/>
              <w:jc w:val="right"/>
            </w:pPr>
            <w:r w:rsidRPr="00AB1427">
              <w:t>29,469</w:t>
            </w:r>
          </w:p>
        </w:tc>
        <w:tc>
          <w:tcPr>
            <w:tcW w:w="1287" w:type="dxa"/>
            <w:vAlign w:val="bottom"/>
          </w:tcPr>
          <w:p w:rsidR="00E17C0A" w:rsidRPr="00AB1427" w:rsidRDefault="00E17C0A" w:rsidP="00FD0123">
            <w:pPr>
              <w:pStyle w:val="TableFigText"/>
              <w:jc w:val="right"/>
            </w:pPr>
            <w:r w:rsidRPr="00AB1427">
              <w:t>4,767</w:t>
            </w:r>
          </w:p>
        </w:tc>
        <w:tc>
          <w:tcPr>
            <w:tcW w:w="1069" w:type="dxa"/>
            <w:vAlign w:val="bottom"/>
          </w:tcPr>
          <w:p w:rsidR="00E17C0A" w:rsidRPr="00AB1427" w:rsidRDefault="00E17C0A" w:rsidP="00FD0123">
            <w:pPr>
              <w:pStyle w:val="TableFigText"/>
              <w:jc w:val="right"/>
            </w:pPr>
            <w:r w:rsidRPr="00AB1427">
              <w:t>66</w:t>
            </w:r>
          </w:p>
        </w:tc>
        <w:tc>
          <w:tcPr>
            <w:tcW w:w="1121" w:type="dxa"/>
            <w:vAlign w:val="bottom"/>
          </w:tcPr>
          <w:p w:rsidR="00E17C0A" w:rsidRPr="00AB1427" w:rsidRDefault="00E17C0A" w:rsidP="00FD0123">
            <w:pPr>
              <w:pStyle w:val="TableFigText"/>
              <w:jc w:val="right"/>
            </w:pPr>
            <w:r w:rsidRPr="00AB1427">
              <w:t>0</w:t>
            </w:r>
          </w:p>
        </w:tc>
        <w:tc>
          <w:tcPr>
            <w:tcW w:w="1095" w:type="dxa"/>
            <w:vAlign w:val="bottom"/>
          </w:tcPr>
          <w:p w:rsidR="00E17C0A" w:rsidRPr="00AB1427" w:rsidRDefault="00E17C0A" w:rsidP="00FD0123">
            <w:pPr>
              <w:pStyle w:val="TableFigText"/>
              <w:jc w:val="right"/>
            </w:pPr>
            <w:r w:rsidRPr="00AB1427">
              <w:t>34,302</w:t>
            </w:r>
          </w:p>
        </w:tc>
      </w:tr>
      <w:tr w:rsidR="00E17C0A" w:rsidRPr="00EF5802" w:rsidTr="005B2C04">
        <w:tc>
          <w:tcPr>
            <w:tcW w:w="2502" w:type="dxa"/>
          </w:tcPr>
          <w:p w:rsidR="00E17C0A" w:rsidRPr="00EF5802" w:rsidRDefault="00E17C0A" w:rsidP="005B2C04">
            <w:pPr>
              <w:pStyle w:val="TableFigText"/>
              <w:keepNext/>
              <w:rPr>
                <w:rFonts w:asciiTheme="minorHAnsi" w:hAnsiTheme="minorHAnsi" w:cstheme="minorHAnsi"/>
                <w:szCs w:val="22"/>
              </w:rPr>
            </w:pPr>
            <w:r w:rsidRPr="00EF5802">
              <w:rPr>
                <w:rFonts w:asciiTheme="minorHAnsi" w:hAnsiTheme="minorHAnsi" w:cstheme="minorHAnsi"/>
                <w:szCs w:val="22"/>
              </w:rPr>
              <w:t>Residential mental health services</w:t>
            </w:r>
            <w:r w:rsidRPr="00EF5802">
              <w:rPr>
                <w:rFonts w:asciiTheme="minorHAnsi" w:hAnsiTheme="minorHAnsi" w:cstheme="minorHAnsi"/>
                <w:szCs w:val="22"/>
                <w:vertAlign w:val="superscript"/>
              </w:rPr>
              <w:t>(</w:t>
            </w:r>
            <w:r>
              <w:rPr>
                <w:rFonts w:asciiTheme="minorHAnsi" w:hAnsiTheme="minorHAnsi" w:cstheme="minorHAnsi"/>
                <w:szCs w:val="22"/>
                <w:vertAlign w:val="superscript"/>
              </w:rPr>
              <w:t>f</w:t>
            </w:r>
            <w:r w:rsidRPr="00EF5802">
              <w:rPr>
                <w:rFonts w:asciiTheme="minorHAnsi" w:hAnsiTheme="minorHAnsi" w:cstheme="minorHAnsi"/>
                <w:szCs w:val="22"/>
                <w:vertAlign w:val="superscript"/>
              </w:rPr>
              <w:t>)</w:t>
            </w:r>
          </w:p>
        </w:tc>
        <w:tc>
          <w:tcPr>
            <w:tcW w:w="1077" w:type="dxa"/>
          </w:tcPr>
          <w:p w:rsidR="00E17C0A" w:rsidRPr="00EF5802" w:rsidRDefault="00E17C0A" w:rsidP="00FD0123">
            <w:pPr>
              <w:pStyle w:val="TableFigText"/>
              <w:jc w:val="right"/>
            </w:pPr>
            <w:r w:rsidRPr="00EF5802">
              <w:t>n/a</w:t>
            </w:r>
          </w:p>
        </w:tc>
        <w:tc>
          <w:tcPr>
            <w:tcW w:w="1425" w:type="dxa"/>
            <w:vAlign w:val="bottom"/>
          </w:tcPr>
          <w:p w:rsidR="00E17C0A" w:rsidRPr="00AB1427" w:rsidRDefault="00E17C0A" w:rsidP="00FD0123">
            <w:pPr>
              <w:pStyle w:val="TableFigText"/>
              <w:jc w:val="right"/>
            </w:pPr>
            <w:r w:rsidRPr="00AB1427">
              <w:t>19,038</w:t>
            </w:r>
          </w:p>
        </w:tc>
        <w:tc>
          <w:tcPr>
            <w:tcW w:w="1287" w:type="dxa"/>
            <w:vAlign w:val="bottom"/>
          </w:tcPr>
          <w:p w:rsidR="00E17C0A" w:rsidRPr="00AB1427" w:rsidRDefault="00E17C0A" w:rsidP="00FD0123">
            <w:pPr>
              <w:pStyle w:val="TableFigText"/>
              <w:jc w:val="right"/>
            </w:pPr>
            <w:r w:rsidRPr="00AB1427">
              <w:t>799</w:t>
            </w:r>
          </w:p>
        </w:tc>
        <w:tc>
          <w:tcPr>
            <w:tcW w:w="1069" w:type="dxa"/>
            <w:vAlign w:val="bottom"/>
          </w:tcPr>
          <w:p w:rsidR="00E17C0A" w:rsidRPr="00AB1427" w:rsidRDefault="00E17C0A" w:rsidP="00FD0123">
            <w:pPr>
              <w:pStyle w:val="TableFigText"/>
              <w:jc w:val="right"/>
            </w:pPr>
            <w:r w:rsidRPr="00AB1427">
              <w:t>0</w:t>
            </w:r>
          </w:p>
        </w:tc>
        <w:tc>
          <w:tcPr>
            <w:tcW w:w="1121" w:type="dxa"/>
            <w:vAlign w:val="bottom"/>
          </w:tcPr>
          <w:p w:rsidR="00E17C0A" w:rsidRPr="00AB1427" w:rsidRDefault="00E17C0A" w:rsidP="00FD0123">
            <w:pPr>
              <w:pStyle w:val="TableFigText"/>
              <w:jc w:val="right"/>
            </w:pPr>
            <w:r w:rsidRPr="00AB1427">
              <w:t>0</w:t>
            </w:r>
          </w:p>
        </w:tc>
        <w:tc>
          <w:tcPr>
            <w:tcW w:w="1095" w:type="dxa"/>
            <w:vAlign w:val="bottom"/>
          </w:tcPr>
          <w:p w:rsidR="00E17C0A" w:rsidRPr="00AB1427" w:rsidRDefault="00E17C0A" w:rsidP="00FD0123">
            <w:pPr>
              <w:pStyle w:val="TableFigText"/>
              <w:jc w:val="right"/>
            </w:pPr>
            <w:r w:rsidRPr="00AB1427">
              <w:t>19,837</w:t>
            </w:r>
          </w:p>
        </w:tc>
      </w:tr>
      <w:tr w:rsidR="00E17C0A" w:rsidRPr="00EF5802" w:rsidTr="005B2C04">
        <w:tc>
          <w:tcPr>
            <w:tcW w:w="2502" w:type="dxa"/>
          </w:tcPr>
          <w:p w:rsidR="00E17C0A" w:rsidRPr="00FD0123" w:rsidRDefault="00E17C0A" w:rsidP="005B2C04">
            <w:pPr>
              <w:pStyle w:val="TableFigText"/>
              <w:keepNext/>
              <w:rPr>
                <w:rFonts w:asciiTheme="minorHAnsi" w:hAnsiTheme="minorHAnsi" w:cstheme="minorHAnsi"/>
                <w:b/>
                <w:szCs w:val="22"/>
              </w:rPr>
            </w:pPr>
            <w:r w:rsidRPr="00FD0123">
              <w:rPr>
                <w:rFonts w:asciiTheme="minorHAnsi" w:hAnsiTheme="minorHAnsi" w:cstheme="minorHAnsi"/>
                <w:b/>
                <w:szCs w:val="22"/>
              </w:rPr>
              <w:t>All mental health service types</w:t>
            </w:r>
            <w:r w:rsidRPr="00FD0123">
              <w:rPr>
                <w:rFonts w:asciiTheme="minorHAnsi" w:hAnsiTheme="minorHAnsi" w:cstheme="minorHAnsi"/>
                <w:b/>
                <w:szCs w:val="22"/>
                <w:vertAlign w:val="superscript"/>
              </w:rPr>
              <w:t>(c)</w:t>
            </w:r>
          </w:p>
        </w:tc>
        <w:tc>
          <w:tcPr>
            <w:tcW w:w="1077" w:type="dxa"/>
          </w:tcPr>
          <w:p w:rsidR="00E17C0A" w:rsidRPr="00FD0123" w:rsidRDefault="00E17C0A" w:rsidP="00FD0123">
            <w:pPr>
              <w:pStyle w:val="TableFigText"/>
              <w:jc w:val="right"/>
              <w:rPr>
                <w:b/>
              </w:rPr>
            </w:pPr>
            <w:r w:rsidRPr="00FD0123">
              <w:rPr>
                <w:b/>
              </w:rPr>
              <w:t>n/a</w:t>
            </w:r>
          </w:p>
        </w:tc>
        <w:tc>
          <w:tcPr>
            <w:tcW w:w="1425" w:type="dxa"/>
            <w:vAlign w:val="bottom"/>
          </w:tcPr>
          <w:p w:rsidR="00E17C0A" w:rsidRPr="00FD0123" w:rsidRDefault="00E17C0A" w:rsidP="00FD0123">
            <w:pPr>
              <w:pStyle w:val="TableFigText"/>
              <w:jc w:val="right"/>
              <w:rPr>
                <w:b/>
              </w:rPr>
            </w:pPr>
            <w:r w:rsidRPr="00FD0123">
              <w:rPr>
                <w:b/>
              </w:rPr>
              <w:t>78,695</w:t>
            </w:r>
          </w:p>
        </w:tc>
        <w:tc>
          <w:tcPr>
            <w:tcW w:w="1287" w:type="dxa"/>
            <w:vAlign w:val="bottom"/>
          </w:tcPr>
          <w:p w:rsidR="00E17C0A" w:rsidRPr="00FD0123" w:rsidRDefault="00E17C0A" w:rsidP="00FD0123">
            <w:pPr>
              <w:pStyle w:val="TableFigText"/>
              <w:jc w:val="right"/>
              <w:rPr>
                <w:b/>
              </w:rPr>
            </w:pPr>
            <w:r w:rsidRPr="00FD0123">
              <w:rPr>
                <w:b/>
              </w:rPr>
              <w:t>15,522</w:t>
            </w:r>
          </w:p>
        </w:tc>
        <w:tc>
          <w:tcPr>
            <w:tcW w:w="1069" w:type="dxa"/>
            <w:vAlign w:val="bottom"/>
          </w:tcPr>
          <w:p w:rsidR="00E17C0A" w:rsidRPr="00FD0123" w:rsidRDefault="00E17C0A" w:rsidP="00FD0123">
            <w:pPr>
              <w:pStyle w:val="TableFigText"/>
              <w:jc w:val="right"/>
              <w:rPr>
                <w:b/>
              </w:rPr>
            </w:pPr>
            <w:r w:rsidRPr="00FD0123">
              <w:rPr>
                <w:b/>
              </w:rPr>
              <w:t>482</w:t>
            </w:r>
          </w:p>
        </w:tc>
        <w:tc>
          <w:tcPr>
            <w:tcW w:w="1121" w:type="dxa"/>
            <w:vAlign w:val="bottom"/>
          </w:tcPr>
          <w:p w:rsidR="00E17C0A" w:rsidRPr="00FD0123" w:rsidRDefault="00E17C0A" w:rsidP="00FD0123">
            <w:pPr>
              <w:pStyle w:val="TableFigText"/>
              <w:jc w:val="right"/>
              <w:rPr>
                <w:b/>
              </w:rPr>
            </w:pPr>
            <w:r w:rsidRPr="00FD0123">
              <w:rPr>
                <w:b/>
              </w:rPr>
              <w:t>0</w:t>
            </w:r>
          </w:p>
        </w:tc>
        <w:tc>
          <w:tcPr>
            <w:tcW w:w="1095" w:type="dxa"/>
            <w:vAlign w:val="bottom"/>
          </w:tcPr>
          <w:p w:rsidR="00E17C0A" w:rsidRPr="00FD0123" w:rsidRDefault="00E17C0A" w:rsidP="00FD0123">
            <w:pPr>
              <w:pStyle w:val="TableFigText"/>
              <w:jc w:val="right"/>
              <w:rPr>
                <w:b/>
              </w:rPr>
            </w:pPr>
            <w:r w:rsidRPr="00FD0123">
              <w:rPr>
                <w:b/>
              </w:rPr>
              <w:t>94,699</w:t>
            </w:r>
          </w:p>
        </w:tc>
      </w:tr>
    </w:tbl>
    <w:p w:rsidR="00E17C0A" w:rsidRPr="00D22EB8" w:rsidRDefault="00E17C0A" w:rsidP="006B2ED0">
      <w:pPr>
        <w:pStyle w:val="TableFigNotesnumbered"/>
        <w:ind w:left="294" w:hanging="294"/>
        <w:rPr>
          <w:rStyle w:val="table-note"/>
        </w:rPr>
      </w:pPr>
      <w:proofErr w:type="gramStart"/>
      <w:r w:rsidRPr="00D22EB8">
        <w:rPr>
          <w:rStyle w:val="table-note"/>
        </w:rPr>
        <w:t>n/a</w:t>
      </w:r>
      <w:proofErr w:type="gramEnd"/>
      <w:r w:rsidRPr="00D22EB8">
        <w:rPr>
          <w:rStyle w:val="table-note"/>
        </w:rPr>
        <w:t xml:space="preserve"> </w:t>
      </w:r>
      <w:r w:rsidRPr="00D22EB8">
        <w:rPr>
          <w:rStyle w:val="table-note"/>
        </w:rPr>
        <w:tab/>
        <w:t>Not applicable.</w:t>
      </w:r>
    </w:p>
    <w:p w:rsidR="00E17C0A" w:rsidRPr="00D22EB8" w:rsidRDefault="00E17C0A" w:rsidP="0097112F">
      <w:pPr>
        <w:pStyle w:val="TableFigNotesnumbered"/>
        <w:numPr>
          <w:ilvl w:val="0"/>
          <w:numId w:val="93"/>
        </w:numPr>
        <w:rPr>
          <w:rStyle w:val="table-note"/>
        </w:rPr>
      </w:pPr>
      <w:r w:rsidRPr="00D22EB8">
        <w:rPr>
          <w:rStyle w:val="table-note"/>
        </w:rPr>
        <w:t>Expenditure excludes depreciation.</w:t>
      </w:r>
    </w:p>
    <w:p w:rsidR="00E17C0A" w:rsidRPr="00D22EB8" w:rsidRDefault="00E17C0A" w:rsidP="0097112F">
      <w:pPr>
        <w:pStyle w:val="TableFigNotesnumbered"/>
        <w:numPr>
          <w:ilvl w:val="0"/>
          <w:numId w:val="93"/>
        </w:numPr>
        <w:rPr>
          <w:rStyle w:val="table-note"/>
        </w:rPr>
      </w:pPr>
      <w:r w:rsidRPr="00D22EB8">
        <w:rPr>
          <w:rStyle w:val="table-note"/>
        </w:rPr>
        <w:t>Expenditure excludes grants to non-government organisations and indirect expenditure at the state/territory, region and organisation levels not apportioned to service units.</w:t>
      </w:r>
    </w:p>
    <w:p w:rsidR="00E17C0A" w:rsidRPr="00D22EB8" w:rsidRDefault="00E17C0A" w:rsidP="0097112F">
      <w:pPr>
        <w:pStyle w:val="TableFigNotesnumbered"/>
        <w:numPr>
          <w:ilvl w:val="0"/>
          <w:numId w:val="93"/>
        </w:numPr>
        <w:rPr>
          <w:rStyle w:val="table-note"/>
        </w:rPr>
      </w:pPr>
      <w:r w:rsidRPr="00D22EB8">
        <w:rPr>
          <w:rStyle w:val="table-note"/>
        </w:rPr>
        <w:t>Totals may not add due to rounding to the nearest $'000.</w:t>
      </w:r>
    </w:p>
    <w:p w:rsidR="00E17C0A" w:rsidRPr="00D22EB8" w:rsidRDefault="00E17C0A" w:rsidP="0097112F">
      <w:pPr>
        <w:pStyle w:val="TableFigNotesnumbered"/>
        <w:numPr>
          <w:ilvl w:val="0"/>
          <w:numId w:val="93"/>
        </w:numPr>
        <w:rPr>
          <w:rStyle w:val="table-note"/>
        </w:rPr>
      </w:pPr>
      <w:r w:rsidRPr="00D22EB8">
        <w:rPr>
          <w:rStyle w:val="table-note"/>
        </w:rPr>
        <w:t>Includes public hospital services managed and operated by private and non-government entities.</w:t>
      </w:r>
    </w:p>
    <w:p w:rsidR="00E17C0A" w:rsidRPr="00D22EB8" w:rsidRDefault="00E17C0A" w:rsidP="0097112F">
      <w:pPr>
        <w:pStyle w:val="TableFigNotesnumbered"/>
        <w:numPr>
          <w:ilvl w:val="0"/>
          <w:numId w:val="93"/>
        </w:numPr>
        <w:rPr>
          <w:rStyle w:val="table-note"/>
        </w:rPr>
      </w:pPr>
      <w:r w:rsidRPr="00D22EB8">
        <w:rPr>
          <w:rStyle w:val="table-note"/>
        </w:rPr>
        <w:t xml:space="preserve">Public psychiatric hospitals and specialised psychiatric units or wards in public acute hospitals include expenditure on admitted patient services only. Public hospitals outpatient departments are included in community mental health care </w:t>
      </w:r>
      <w:r w:rsidR="0002561B" w:rsidRPr="00D22EB8">
        <w:rPr>
          <w:rStyle w:val="table-note"/>
        </w:rPr>
        <w:t>services.</w:t>
      </w:r>
    </w:p>
    <w:p w:rsidR="00E17C0A" w:rsidRPr="00D22EB8" w:rsidRDefault="00E17C0A" w:rsidP="0097112F">
      <w:pPr>
        <w:pStyle w:val="TableFigNotesnumbered"/>
        <w:numPr>
          <w:ilvl w:val="0"/>
          <w:numId w:val="93"/>
        </w:numPr>
        <w:rPr>
          <w:rStyle w:val="table-note"/>
        </w:rPr>
      </w:pPr>
      <w:r w:rsidRPr="00D22EB8">
        <w:rPr>
          <w:rStyle w:val="table-note"/>
        </w:rPr>
        <w:t>Residential mental health services include the total operating costs for partially or wholly government funded non-government-operated resi</w:t>
      </w:r>
      <w:r w:rsidR="0002561B" w:rsidRPr="00D22EB8">
        <w:rPr>
          <w:rStyle w:val="table-note"/>
        </w:rPr>
        <w:t>dential mental health services.</w:t>
      </w:r>
    </w:p>
    <w:p w:rsidR="00E441F7" w:rsidRPr="000E0677" w:rsidRDefault="000E0677" w:rsidP="00E441F7">
      <w:pPr>
        <w:pStyle w:val="TableCaption"/>
        <w:rPr>
          <w:rStyle w:val="table-note"/>
        </w:rPr>
      </w:pPr>
      <w:r w:rsidRPr="000E0677">
        <w:rPr>
          <w:rStyle w:val="table-note"/>
        </w:rPr>
        <w:t xml:space="preserve">Table 55: </w:t>
      </w:r>
      <w:r w:rsidR="00E441F7" w:rsidRPr="000E0677">
        <w:rPr>
          <w:rStyle w:val="table-note"/>
        </w:rPr>
        <w:t xml:space="preserve">TAS: Recurrent </w:t>
      </w:r>
      <w:proofErr w:type="gramStart"/>
      <w:r w:rsidR="00E441F7" w:rsidRPr="000E0677">
        <w:rPr>
          <w:rStyle w:val="table-note"/>
        </w:rPr>
        <w:t>expenditure</w:t>
      </w:r>
      <w:r w:rsidR="00E441F7" w:rsidRPr="000E0677">
        <w:rPr>
          <w:rStyle w:val="table-note"/>
          <w:vertAlign w:val="superscript"/>
        </w:rPr>
        <w:t>(</w:t>
      </w:r>
      <w:proofErr w:type="gramEnd"/>
      <w:r w:rsidR="00E441F7" w:rsidRPr="000E0677">
        <w:rPr>
          <w:rStyle w:val="table-note"/>
          <w:vertAlign w:val="superscript"/>
        </w:rPr>
        <w:t>a)(b)</w:t>
      </w:r>
      <w:r w:rsidR="00E441F7" w:rsidRPr="000E0677">
        <w:rPr>
          <w:rStyle w:val="table-note"/>
        </w:rPr>
        <w:t xml:space="preserve"> ($) per capita</w:t>
      </w:r>
      <w:r w:rsidR="00E441F7" w:rsidRPr="000E0677">
        <w:rPr>
          <w:rStyle w:val="table-note"/>
          <w:vertAlign w:val="superscript"/>
        </w:rPr>
        <w:t>(c)</w:t>
      </w:r>
      <w:r w:rsidR="00E441F7" w:rsidRPr="000E0677">
        <w:rPr>
          <w:rStyle w:val="table-note"/>
        </w:rPr>
        <w:t xml:space="preserve"> on state and territory specialised mental health services, by service type, 2011–12 (current prices)</w:t>
      </w:r>
    </w:p>
    <w:tbl>
      <w:tblPr>
        <w:tblStyle w:val="TableGrid"/>
        <w:tblW w:w="0" w:type="auto"/>
        <w:tblLook w:val="04A0" w:firstRow="1" w:lastRow="0" w:firstColumn="1" w:lastColumn="0" w:noHBand="0" w:noVBand="1"/>
        <w:tblCaption w:val="TAS: Recurrent expenditure(a)(b) ($) per capita(c) on state and territory specialised mental health services, by service type, 2011–12 (current prices)"/>
        <w:tblDescription w:val="Table showing that, in 2011-2012, inner regional areas in Tas had the highest recurrent expenditure per capita for all mental health services at $234.81. Public hospital services had the highest expenditure per capita at a total of $79.30, followed by community mental health services ($67.06) and residential mental health services ($38.78). The major cities category was not applicable."/>
      </w:tblPr>
      <w:tblGrid>
        <w:gridCol w:w="2381"/>
        <w:gridCol w:w="1047"/>
        <w:gridCol w:w="1380"/>
        <w:gridCol w:w="1251"/>
        <w:gridCol w:w="1047"/>
        <w:gridCol w:w="1094"/>
        <w:gridCol w:w="1086"/>
      </w:tblGrid>
      <w:tr w:rsidR="00E441F7" w:rsidRPr="008B7E34" w:rsidTr="000C3DEA">
        <w:trPr>
          <w:tblHeader/>
        </w:trPr>
        <w:tc>
          <w:tcPr>
            <w:tcW w:w="2381" w:type="dxa"/>
          </w:tcPr>
          <w:p w:rsidR="00E441F7" w:rsidRPr="008B7E34" w:rsidRDefault="00E441F7" w:rsidP="00E441F7">
            <w:pPr>
              <w:pStyle w:val="TableFigText"/>
              <w:rPr>
                <w:rFonts w:asciiTheme="minorHAnsi" w:hAnsiTheme="minorHAnsi" w:cstheme="minorHAnsi"/>
                <w:szCs w:val="22"/>
              </w:rPr>
            </w:pPr>
          </w:p>
        </w:tc>
        <w:tc>
          <w:tcPr>
            <w:tcW w:w="1047" w:type="dxa"/>
          </w:tcPr>
          <w:p w:rsidR="00E441F7" w:rsidRPr="008B7E34" w:rsidRDefault="00E441F7" w:rsidP="00E441F7">
            <w:pPr>
              <w:pStyle w:val="TableFigText"/>
              <w:jc w:val="right"/>
              <w:rPr>
                <w:rFonts w:asciiTheme="minorHAnsi" w:hAnsiTheme="minorHAnsi" w:cstheme="minorHAnsi"/>
                <w:b/>
                <w:szCs w:val="22"/>
              </w:rPr>
            </w:pPr>
            <w:r w:rsidRPr="008B7E34">
              <w:rPr>
                <w:rFonts w:asciiTheme="minorHAnsi" w:hAnsiTheme="minorHAnsi" w:cstheme="minorHAnsi"/>
                <w:b/>
                <w:szCs w:val="22"/>
              </w:rPr>
              <w:t>Major cities</w:t>
            </w:r>
          </w:p>
        </w:tc>
        <w:tc>
          <w:tcPr>
            <w:tcW w:w="1380" w:type="dxa"/>
          </w:tcPr>
          <w:p w:rsidR="00E441F7" w:rsidRPr="008B7E34" w:rsidRDefault="00E441F7" w:rsidP="00E441F7">
            <w:pPr>
              <w:pStyle w:val="TableFigText"/>
              <w:jc w:val="right"/>
              <w:rPr>
                <w:rFonts w:asciiTheme="minorHAnsi" w:hAnsiTheme="minorHAnsi" w:cstheme="minorHAnsi"/>
                <w:b/>
                <w:szCs w:val="22"/>
              </w:rPr>
            </w:pPr>
            <w:r w:rsidRPr="008B7E34">
              <w:rPr>
                <w:rFonts w:asciiTheme="minorHAnsi" w:hAnsiTheme="minorHAnsi" w:cstheme="minorHAnsi"/>
                <w:b/>
                <w:szCs w:val="22"/>
              </w:rPr>
              <w:t>Inner regional</w:t>
            </w:r>
          </w:p>
        </w:tc>
        <w:tc>
          <w:tcPr>
            <w:tcW w:w="1251" w:type="dxa"/>
          </w:tcPr>
          <w:p w:rsidR="00E441F7" w:rsidRPr="008B7E34" w:rsidRDefault="00E441F7" w:rsidP="00E441F7">
            <w:pPr>
              <w:pStyle w:val="TableFigText"/>
              <w:jc w:val="right"/>
              <w:rPr>
                <w:rFonts w:asciiTheme="minorHAnsi" w:hAnsiTheme="minorHAnsi" w:cstheme="minorHAnsi"/>
                <w:b/>
                <w:szCs w:val="22"/>
              </w:rPr>
            </w:pPr>
            <w:r w:rsidRPr="008B7E34">
              <w:rPr>
                <w:rFonts w:asciiTheme="minorHAnsi" w:hAnsiTheme="minorHAnsi" w:cstheme="minorHAnsi"/>
                <w:b/>
                <w:szCs w:val="22"/>
              </w:rPr>
              <w:t>Outer regional</w:t>
            </w:r>
          </w:p>
        </w:tc>
        <w:tc>
          <w:tcPr>
            <w:tcW w:w="1047" w:type="dxa"/>
          </w:tcPr>
          <w:p w:rsidR="00E441F7" w:rsidRPr="008B7E34" w:rsidRDefault="00E441F7" w:rsidP="00E441F7">
            <w:pPr>
              <w:pStyle w:val="TableFigText"/>
              <w:jc w:val="right"/>
              <w:rPr>
                <w:rFonts w:asciiTheme="minorHAnsi" w:hAnsiTheme="minorHAnsi" w:cstheme="minorHAnsi"/>
                <w:b/>
                <w:szCs w:val="22"/>
              </w:rPr>
            </w:pPr>
            <w:r w:rsidRPr="008B7E34">
              <w:rPr>
                <w:rFonts w:asciiTheme="minorHAnsi" w:hAnsiTheme="minorHAnsi" w:cstheme="minorHAnsi"/>
                <w:b/>
                <w:szCs w:val="22"/>
              </w:rPr>
              <w:t>Remote</w:t>
            </w:r>
          </w:p>
        </w:tc>
        <w:tc>
          <w:tcPr>
            <w:tcW w:w="1094" w:type="dxa"/>
          </w:tcPr>
          <w:p w:rsidR="00E441F7" w:rsidRPr="008B7E34" w:rsidRDefault="00E441F7" w:rsidP="00E441F7">
            <w:pPr>
              <w:pStyle w:val="TableFigText"/>
              <w:jc w:val="right"/>
              <w:rPr>
                <w:rFonts w:asciiTheme="minorHAnsi" w:hAnsiTheme="minorHAnsi" w:cstheme="minorHAnsi"/>
                <w:b/>
                <w:szCs w:val="22"/>
              </w:rPr>
            </w:pPr>
            <w:r w:rsidRPr="008B7E34">
              <w:rPr>
                <w:rFonts w:asciiTheme="minorHAnsi" w:hAnsiTheme="minorHAnsi" w:cstheme="minorHAnsi"/>
                <w:b/>
                <w:szCs w:val="22"/>
              </w:rPr>
              <w:t>Very remote</w:t>
            </w:r>
          </w:p>
        </w:tc>
        <w:tc>
          <w:tcPr>
            <w:tcW w:w="1086" w:type="dxa"/>
          </w:tcPr>
          <w:p w:rsidR="00E441F7" w:rsidRPr="008B7E34" w:rsidRDefault="00E441F7" w:rsidP="00E441F7">
            <w:pPr>
              <w:pStyle w:val="TableFigText"/>
              <w:jc w:val="right"/>
              <w:rPr>
                <w:rFonts w:asciiTheme="minorHAnsi" w:hAnsiTheme="minorHAnsi" w:cstheme="minorHAnsi"/>
                <w:b/>
                <w:szCs w:val="22"/>
              </w:rPr>
            </w:pPr>
            <w:r>
              <w:rPr>
                <w:rFonts w:asciiTheme="minorHAnsi" w:hAnsiTheme="minorHAnsi" w:cstheme="minorHAnsi"/>
                <w:b/>
                <w:szCs w:val="22"/>
              </w:rPr>
              <w:t>Total</w:t>
            </w:r>
          </w:p>
        </w:tc>
      </w:tr>
      <w:tr w:rsidR="00E441F7" w:rsidRPr="008B7E34" w:rsidTr="00E441F7">
        <w:tc>
          <w:tcPr>
            <w:tcW w:w="2381" w:type="dxa"/>
          </w:tcPr>
          <w:p w:rsidR="00E441F7" w:rsidRPr="008B7E34" w:rsidRDefault="00E441F7" w:rsidP="00E441F7">
            <w:pPr>
              <w:pStyle w:val="TableFigText"/>
              <w:rPr>
                <w:rFonts w:asciiTheme="minorHAnsi" w:hAnsiTheme="minorHAnsi" w:cstheme="minorHAnsi"/>
                <w:szCs w:val="22"/>
              </w:rPr>
            </w:pPr>
            <w:r w:rsidRPr="008B7E34">
              <w:rPr>
                <w:rFonts w:asciiTheme="minorHAnsi" w:hAnsiTheme="minorHAnsi" w:cstheme="minorHAnsi"/>
                <w:szCs w:val="22"/>
              </w:rPr>
              <w:t>Public hospital services</w:t>
            </w:r>
            <w:r w:rsidRPr="008B7E34">
              <w:rPr>
                <w:rFonts w:asciiTheme="minorHAnsi" w:hAnsiTheme="minorHAnsi" w:cstheme="minorHAnsi"/>
                <w:szCs w:val="22"/>
                <w:vertAlign w:val="superscript"/>
              </w:rPr>
              <w:t>(</w:t>
            </w:r>
            <w:r>
              <w:rPr>
                <w:rFonts w:asciiTheme="minorHAnsi" w:hAnsiTheme="minorHAnsi" w:cstheme="minorHAnsi"/>
                <w:szCs w:val="22"/>
                <w:vertAlign w:val="superscript"/>
              </w:rPr>
              <w:t>d</w:t>
            </w:r>
            <w:r w:rsidRPr="008B7E34">
              <w:rPr>
                <w:rFonts w:asciiTheme="minorHAnsi" w:hAnsiTheme="minorHAnsi" w:cstheme="minorHAnsi"/>
                <w:szCs w:val="22"/>
                <w:vertAlign w:val="superscript"/>
              </w:rPr>
              <w:t>)(</w:t>
            </w:r>
            <w:r>
              <w:rPr>
                <w:rFonts w:asciiTheme="minorHAnsi" w:hAnsiTheme="minorHAnsi" w:cstheme="minorHAnsi"/>
                <w:szCs w:val="22"/>
                <w:vertAlign w:val="superscript"/>
              </w:rPr>
              <w:t>e</w:t>
            </w:r>
            <w:r w:rsidRPr="008B7E34">
              <w:rPr>
                <w:rFonts w:asciiTheme="minorHAnsi" w:hAnsiTheme="minorHAnsi" w:cstheme="minorHAnsi"/>
                <w:szCs w:val="22"/>
                <w:vertAlign w:val="superscript"/>
              </w:rPr>
              <w:t>)</w:t>
            </w:r>
          </w:p>
        </w:tc>
        <w:tc>
          <w:tcPr>
            <w:tcW w:w="1047" w:type="dxa"/>
          </w:tcPr>
          <w:p w:rsidR="00E441F7" w:rsidRPr="00EF5802" w:rsidRDefault="00E441F7" w:rsidP="00FD0123">
            <w:pPr>
              <w:pStyle w:val="TableFigText"/>
              <w:jc w:val="right"/>
            </w:pPr>
            <w:r w:rsidRPr="00EF5802">
              <w:t>n/a</w:t>
            </w:r>
          </w:p>
        </w:tc>
        <w:tc>
          <w:tcPr>
            <w:tcW w:w="1380" w:type="dxa"/>
            <w:vAlign w:val="bottom"/>
          </w:tcPr>
          <w:p w:rsidR="00E441F7" w:rsidRDefault="00E441F7" w:rsidP="00FD0123">
            <w:pPr>
              <w:pStyle w:val="TableFigText"/>
              <w:jc w:val="right"/>
              <w:rPr>
                <w:rFonts w:ascii="Calibri" w:hAnsi="Calibri"/>
                <w:color w:val="000000"/>
              </w:rPr>
            </w:pPr>
            <w:r>
              <w:rPr>
                <w:rFonts w:ascii="Calibri" w:hAnsi="Calibri"/>
                <w:color w:val="000000"/>
              </w:rPr>
              <w:t>90.07</w:t>
            </w:r>
          </w:p>
        </w:tc>
        <w:tc>
          <w:tcPr>
            <w:tcW w:w="1251" w:type="dxa"/>
            <w:vAlign w:val="bottom"/>
          </w:tcPr>
          <w:p w:rsidR="00E441F7" w:rsidRDefault="00E441F7" w:rsidP="00FD0123">
            <w:pPr>
              <w:pStyle w:val="TableFigText"/>
              <w:jc w:val="right"/>
              <w:rPr>
                <w:rFonts w:ascii="Calibri" w:hAnsi="Calibri"/>
                <w:color w:val="000000"/>
              </w:rPr>
            </w:pPr>
            <w:r>
              <w:rPr>
                <w:rFonts w:ascii="Calibri" w:hAnsi="Calibri"/>
                <w:color w:val="000000"/>
              </w:rPr>
              <w:t>60.18</w:t>
            </w:r>
          </w:p>
        </w:tc>
        <w:tc>
          <w:tcPr>
            <w:tcW w:w="1047" w:type="dxa"/>
            <w:vAlign w:val="bottom"/>
          </w:tcPr>
          <w:p w:rsidR="00E441F7" w:rsidRDefault="00E441F7" w:rsidP="00FD0123">
            <w:pPr>
              <w:pStyle w:val="TableFigText"/>
              <w:jc w:val="right"/>
              <w:rPr>
                <w:rFonts w:ascii="Calibri" w:hAnsi="Calibri"/>
                <w:color w:val="000000"/>
              </w:rPr>
            </w:pPr>
            <w:r>
              <w:rPr>
                <w:rFonts w:ascii="Calibri" w:hAnsi="Calibri"/>
                <w:color w:val="000000"/>
              </w:rPr>
              <w:t>49.25</w:t>
            </w:r>
          </w:p>
        </w:tc>
        <w:tc>
          <w:tcPr>
            <w:tcW w:w="1094" w:type="dxa"/>
          </w:tcPr>
          <w:p w:rsidR="00E441F7" w:rsidRPr="00EF5802" w:rsidRDefault="00E441F7" w:rsidP="00FD0123">
            <w:pPr>
              <w:pStyle w:val="TableFigText"/>
              <w:jc w:val="right"/>
            </w:pPr>
            <w:r w:rsidRPr="00EF5802">
              <w:t>0</w:t>
            </w:r>
          </w:p>
        </w:tc>
        <w:tc>
          <w:tcPr>
            <w:tcW w:w="1086" w:type="dxa"/>
            <w:vAlign w:val="bottom"/>
          </w:tcPr>
          <w:p w:rsidR="00E441F7" w:rsidRDefault="00E441F7" w:rsidP="00FD0123">
            <w:pPr>
              <w:pStyle w:val="TableFigText"/>
              <w:jc w:val="right"/>
              <w:rPr>
                <w:rFonts w:ascii="Calibri" w:hAnsi="Calibri"/>
                <w:color w:val="000000"/>
              </w:rPr>
            </w:pPr>
            <w:r>
              <w:rPr>
                <w:rFonts w:ascii="Calibri" w:hAnsi="Calibri"/>
                <w:color w:val="000000"/>
              </w:rPr>
              <w:t>79.30</w:t>
            </w:r>
          </w:p>
        </w:tc>
      </w:tr>
      <w:tr w:rsidR="00E441F7" w:rsidRPr="008B7E34" w:rsidTr="00E441F7">
        <w:tc>
          <w:tcPr>
            <w:tcW w:w="2381" w:type="dxa"/>
          </w:tcPr>
          <w:p w:rsidR="00E441F7" w:rsidRPr="008B7E34" w:rsidRDefault="00E441F7" w:rsidP="00E441F7">
            <w:pPr>
              <w:pStyle w:val="TableFigText"/>
              <w:rPr>
                <w:rFonts w:asciiTheme="minorHAnsi" w:hAnsiTheme="minorHAnsi" w:cstheme="minorHAnsi"/>
                <w:szCs w:val="22"/>
              </w:rPr>
            </w:pPr>
            <w:r w:rsidRPr="008B7E34">
              <w:rPr>
                <w:rFonts w:asciiTheme="minorHAnsi" w:hAnsiTheme="minorHAnsi" w:cstheme="minorHAnsi"/>
                <w:szCs w:val="22"/>
              </w:rPr>
              <w:t>Community mental health services</w:t>
            </w:r>
          </w:p>
        </w:tc>
        <w:tc>
          <w:tcPr>
            <w:tcW w:w="1047" w:type="dxa"/>
          </w:tcPr>
          <w:p w:rsidR="00E441F7" w:rsidRPr="00EF5802" w:rsidRDefault="00E441F7" w:rsidP="00FD0123">
            <w:pPr>
              <w:pStyle w:val="TableFigText"/>
              <w:jc w:val="right"/>
            </w:pPr>
            <w:r w:rsidRPr="00EF5802">
              <w:t>n/a</w:t>
            </w:r>
          </w:p>
        </w:tc>
        <w:tc>
          <w:tcPr>
            <w:tcW w:w="1380" w:type="dxa"/>
            <w:vAlign w:val="bottom"/>
          </w:tcPr>
          <w:p w:rsidR="00E441F7" w:rsidRDefault="00E441F7" w:rsidP="00FD0123">
            <w:pPr>
              <w:pStyle w:val="TableFigText"/>
              <w:jc w:val="right"/>
              <w:rPr>
                <w:rFonts w:ascii="Calibri" w:hAnsi="Calibri"/>
                <w:color w:val="000000"/>
              </w:rPr>
            </w:pPr>
            <w:r>
              <w:rPr>
                <w:rFonts w:ascii="Calibri" w:hAnsi="Calibri"/>
                <w:color w:val="000000"/>
              </w:rPr>
              <w:t>87.93</w:t>
            </w:r>
          </w:p>
        </w:tc>
        <w:tc>
          <w:tcPr>
            <w:tcW w:w="1251" w:type="dxa"/>
            <w:vAlign w:val="bottom"/>
          </w:tcPr>
          <w:p w:rsidR="00E441F7" w:rsidRDefault="00E441F7" w:rsidP="00FD0123">
            <w:pPr>
              <w:pStyle w:val="TableFigText"/>
              <w:jc w:val="right"/>
              <w:rPr>
                <w:rFonts w:ascii="Calibri" w:hAnsi="Calibri"/>
                <w:color w:val="000000"/>
              </w:rPr>
            </w:pPr>
            <w:r>
              <w:rPr>
                <w:rFonts w:ascii="Calibri" w:hAnsi="Calibri"/>
                <w:color w:val="000000"/>
              </w:rPr>
              <w:t>28.82</w:t>
            </w:r>
          </w:p>
        </w:tc>
        <w:tc>
          <w:tcPr>
            <w:tcW w:w="1047" w:type="dxa"/>
            <w:vAlign w:val="bottom"/>
          </w:tcPr>
          <w:p w:rsidR="00E441F7" w:rsidRDefault="00E441F7" w:rsidP="00FD0123">
            <w:pPr>
              <w:pStyle w:val="TableFigText"/>
              <w:jc w:val="right"/>
              <w:rPr>
                <w:rFonts w:ascii="Calibri" w:hAnsi="Calibri"/>
                <w:color w:val="000000"/>
              </w:rPr>
            </w:pPr>
            <w:r>
              <w:rPr>
                <w:rFonts w:ascii="Calibri" w:hAnsi="Calibri"/>
                <w:color w:val="000000"/>
              </w:rPr>
              <w:t>7.78</w:t>
            </w:r>
          </w:p>
        </w:tc>
        <w:tc>
          <w:tcPr>
            <w:tcW w:w="1094" w:type="dxa"/>
            <w:vAlign w:val="bottom"/>
          </w:tcPr>
          <w:p w:rsidR="00E441F7" w:rsidRPr="00AB1427" w:rsidRDefault="00E441F7" w:rsidP="00FD0123">
            <w:pPr>
              <w:pStyle w:val="TableFigText"/>
              <w:jc w:val="right"/>
            </w:pPr>
            <w:r w:rsidRPr="00AB1427">
              <w:t>0</w:t>
            </w:r>
          </w:p>
        </w:tc>
        <w:tc>
          <w:tcPr>
            <w:tcW w:w="1086" w:type="dxa"/>
            <w:vAlign w:val="bottom"/>
          </w:tcPr>
          <w:p w:rsidR="00E441F7" w:rsidRDefault="00E441F7" w:rsidP="00FD0123">
            <w:pPr>
              <w:pStyle w:val="TableFigText"/>
              <w:jc w:val="right"/>
              <w:rPr>
                <w:rFonts w:ascii="Calibri" w:hAnsi="Calibri"/>
                <w:color w:val="000000"/>
              </w:rPr>
            </w:pPr>
            <w:r>
              <w:rPr>
                <w:rFonts w:ascii="Calibri" w:hAnsi="Calibri"/>
                <w:color w:val="000000"/>
              </w:rPr>
              <w:t>67.06</w:t>
            </w:r>
          </w:p>
        </w:tc>
      </w:tr>
      <w:tr w:rsidR="00E441F7" w:rsidRPr="008B7E34" w:rsidTr="00E441F7">
        <w:tc>
          <w:tcPr>
            <w:tcW w:w="2381" w:type="dxa"/>
          </w:tcPr>
          <w:p w:rsidR="00E441F7" w:rsidRPr="008B7E34" w:rsidRDefault="00E441F7" w:rsidP="00E441F7">
            <w:pPr>
              <w:pStyle w:val="TableFigText"/>
              <w:rPr>
                <w:rFonts w:asciiTheme="minorHAnsi" w:hAnsiTheme="minorHAnsi" w:cstheme="minorHAnsi"/>
                <w:szCs w:val="22"/>
              </w:rPr>
            </w:pPr>
            <w:r w:rsidRPr="008B7E34">
              <w:rPr>
                <w:rFonts w:asciiTheme="minorHAnsi" w:hAnsiTheme="minorHAnsi" w:cstheme="minorHAnsi"/>
                <w:szCs w:val="22"/>
              </w:rPr>
              <w:t>Residential mental health services</w:t>
            </w:r>
            <w:r w:rsidRPr="008B7E34">
              <w:rPr>
                <w:rFonts w:asciiTheme="minorHAnsi" w:hAnsiTheme="minorHAnsi" w:cstheme="minorHAnsi"/>
                <w:szCs w:val="22"/>
                <w:vertAlign w:val="superscript"/>
              </w:rPr>
              <w:t>(</w:t>
            </w:r>
            <w:r>
              <w:rPr>
                <w:rFonts w:asciiTheme="minorHAnsi" w:hAnsiTheme="minorHAnsi" w:cstheme="minorHAnsi"/>
                <w:szCs w:val="22"/>
                <w:vertAlign w:val="superscript"/>
              </w:rPr>
              <w:t>f</w:t>
            </w:r>
            <w:r w:rsidRPr="008B7E34">
              <w:rPr>
                <w:rFonts w:asciiTheme="minorHAnsi" w:hAnsiTheme="minorHAnsi" w:cstheme="minorHAnsi"/>
                <w:szCs w:val="22"/>
                <w:vertAlign w:val="superscript"/>
              </w:rPr>
              <w:t>)</w:t>
            </w:r>
          </w:p>
        </w:tc>
        <w:tc>
          <w:tcPr>
            <w:tcW w:w="1047" w:type="dxa"/>
          </w:tcPr>
          <w:p w:rsidR="00E441F7" w:rsidRPr="00EF5802" w:rsidRDefault="00E441F7" w:rsidP="00FD0123">
            <w:pPr>
              <w:pStyle w:val="TableFigText"/>
              <w:jc w:val="right"/>
            </w:pPr>
            <w:r w:rsidRPr="00EF5802">
              <w:t>n/a</w:t>
            </w:r>
          </w:p>
        </w:tc>
        <w:tc>
          <w:tcPr>
            <w:tcW w:w="1380" w:type="dxa"/>
            <w:vAlign w:val="bottom"/>
          </w:tcPr>
          <w:p w:rsidR="00E441F7" w:rsidRDefault="00E441F7" w:rsidP="00FD0123">
            <w:pPr>
              <w:pStyle w:val="TableFigText"/>
              <w:jc w:val="right"/>
              <w:rPr>
                <w:rFonts w:ascii="Calibri" w:hAnsi="Calibri"/>
                <w:color w:val="000000"/>
              </w:rPr>
            </w:pPr>
            <w:r>
              <w:rPr>
                <w:rFonts w:ascii="Calibri" w:hAnsi="Calibri"/>
                <w:color w:val="000000"/>
              </w:rPr>
              <w:t>56.81</w:t>
            </w:r>
          </w:p>
        </w:tc>
        <w:tc>
          <w:tcPr>
            <w:tcW w:w="1251" w:type="dxa"/>
            <w:vAlign w:val="bottom"/>
          </w:tcPr>
          <w:p w:rsidR="00E441F7" w:rsidRDefault="00E441F7" w:rsidP="00FD0123">
            <w:pPr>
              <w:pStyle w:val="TableFigText"/>
              <w:jc w:val="right"/>
              <w:rPr>
                <w:rFonts w:ascii="Calibri" w:hAnsi="Calibri"/>
                <w:color w:val="000000"/>
              </w:rPr>
            </w:pPr>
            <w:r>
              <w:rPr>
                <w:rFonts w:ascii="Calibri" w:hAnsi="Calibri"/>
                <w:color w:val="000000"/>
              </w:rPr>
              <w:t>4.83</w:t>
            </w:r>
          </w:p>
        </w:tc>
        <w:tc>
          <w:tcPr>
            <w:tcW w:w="1047" w:type="dxa"/>
            <w:vAlign w:val="bottom"/>
          </w:tcPr>
          <w:p w:rsidR="00E441F7" w:rsidRPr="00AB1427" w:rsidRDefault="00E441F7" w:rsidP="00FD0123">
            <w:pPr>
              <w:pStyle w:val="TableFigText"/>
              <w:jc w:val="right"/>
            </w:pPr>
            <w:r w:rsidRPr="00AB1427">
              <w:t>0</w:t>
            </w:r>
          </w:p>
        </w:tc>
        <w:tc>
          <w:tcPr>
            <w:tcW w:w="1094" w:type="dxa"/>
            <w:vAlign w:val="bottom"/>
          </w:tcPr>
          <w:p w:rsidR="00E441F7" w:rsidRPr="00AB1427" w:rsidRDefault="00E441F7" w:rsidP="00FD0123">
            <w:pPr>
              <w:pStyle w:val="TableFigText"/>
              <w:jc w:val="right"/>
            </w:pPr>
            <w:r w:rsidRPr="00AB1427">
              <w:t>0</w:t>
            </w:r>
          </w:p>
        </w:tc>
        <w:tc>
          <w:tcPr>
            <w:tcW w:w="1086" w:type="dxa"/>
            <w:vAlign w:val="bottom"/>
          </w:tcPr>
          <w:p w:rsidR="00E441F7" w:rsidRDefault="00E441F7" w:rsidP="00FD0123">
            <w:pPr>
              <w:pStyle w:val="TableFigText"/>
              <w:jc w:val="right"/>
              <w:rPr>
                <w:rFonts w:ascii="Calibri" w:hAnsi="Calibri"/>
                <w:color w:val="000000"/>
              </w:rPr>
            </w:pPr>
            <w:r>
              <w:rPr>
                <w:rFonts w:ascii="Calibri" w:hAnsi="Calibri"/>
                <w:color w:val="000000"/>
              </w:rPr>
              <w:t>38.78</w:t>
            </w:r>
          </w:p>
        </w:tc>
      </w:tr>
      <w:tr w:rsidR="00E441F7" w:rsidRPr="008B7E34" w:rsidTr="00E441F7">
        <w:tc>
          <w:tcPr>
            <w:tcW w:w="2381" w:type="dxa"/>
          </w:tcPr>
          <w:p w:rsidR="00E441F7" w:rsidRPr="00FD0123" w:rsidRDefault="00E441F7" w:rsidP="00E441F7">
            <w:pPr>
              <w:pStyle w:val="TableFigText"/>
              <w:rPr>
                <w:rFonts w:asciiTheme="minorHAnsi" w:hAnsiTheme="minorHAnsi" w:cstheme="minorHAnsi"/>
                <w:b/>
                <w:szCs w:val="22"/>
              </w:rPr>
            </w:pPr>
            <w:r w:rsidRPr="00FD0123">
              <w:rPr>
                <w:rFonts w:asciiTheme="minorHAnsi" w:hAnsiTheme="minorHAnsi" w:cstheme="minorHAnsi"/>
                <w:b/>
                <w:szCs w:val="22"/>
              </w:rPr>
              <w:t>All mental health service types</w:t>
            </w:r>
            <w:r w:rsidRPr="00FD0123">
              <w:rPr>
                <w:rFonts w:asciiTheme="minorHAnsi" w:hAnsiTheme="minorHAnsi" w:cstheme="minorHAnsi"/>
                <w:b/>
                <w:szCs w:val="22"/>
                <w:vertAlign w:val="superscript"/>
              </w:rPr>
              <w:t>(g)</w:t>
            </w:r>
          </w:p>
        </w:tc>
        <w:tc>
          <w:tcPr>
            <w:tcW w:w="1047" w:type="dxa"/>
          </w:tcPr>
          <w:p w:rsidR="00E441F7" w:rsidRPr="00FD0123" w:rsidRDefault="00E441F7" w:rsidP="00FD0123">
            <w:pPr>
              <w:pStyle w:val="TableFigText"/>
              <w:jc w:val="right"/>
              <w:rPr>
                <w:b/>
              </w:rPr>
            </w:pPr>
            <w:r w:rsidRPr="00FD0123">
              <w:rPr>
                <w:b/>
              </w:rPr>
              <w:t>n/a</w:t>
            </w:r>
          </w:p>
        </w:tc>
        <w:tc>
          <w:tcPr>
            <w:tcW w:w="1380" w:type="dxa"/>
            <w:vAlign w:val="bottom"/>
          </w:tcPr>
          <w:p w:rsidR="00E441F7" w:rsidRPr="00FD0123" w:rsidRDefault="00E441F7" w:rsidP="00FD0123">
            <w:pPr>
              <w:pStyle w:val="TableFigText"/>
              <w:jc w:val="right"/>
              <w:rPr>
                <w:rFonts w:ascii="Calibri" w:hAnsi="Calibri"/>
                <w:b/>
                <w:color w:val="000000"/>
              </w:rPr>
            </w:pPr>
            <w:r w:rsidRPr="00FD0123">
              <w:rPr>
                <w:rFonts w:ascii="Calibri" w:hAnsi="Calibri"/>
                <w:b/>
                <w:color w:val="000000"/>
              </w:rPr>
              <w:t>234.81</w:t>
            </w:r>
          </w:p>
        </w:tc>
        <w:tc>
          <w:tcPr>
            <w:tcW w:w="1251" w:type="dxa"/>
            <w:vAlign w:val="bottom"/>
          </w:tcPr>
          <w:p w:rsidR="00E441F7" w:rsidRPr="00FD0123" w:rsidRDefault="00E441F7" w:rsidP="00FD0123">
            <w:pPr>
              <w:pStyle w:val="TableFigText"/>
              <w:jc w:val="right"/>
              <w:rPr>
                <w:rFonts w:ascii="Calibri" w:hAnsi="Calibri"/>
                <w:b/>
                <w:color w:val="000000"/>
              </w:rPr>
            </w:pPr>
            <w:r w:rsidRPr="00FD0123">
              <w:rPr>
                <w:rFonts w:ascii="Calibri" w:hAnsi="Calibri"/>
                <w:b/>
                <w:color w:val="000000"/>
              </w:rPr>
              <w:t>93.82</w:t>
            </w:r>
          </w:p>
        </w:tc>
        <w:tc>
          <w:tcPr>
            <w:tcW w:w="1047" w:type="dxa"/>
            <w:vAlign w:val="bottom"/>
          </w:tcPr>
          <w:p w:rsidR="00E441F7" w:rsidRPr="00FD0123" w:rsidRDefault="00E441F7" w:rsidP="00FD0123">
            <w:pPr>
              <w:pStyle w:val="TableFigText"/>
              <w:jc w:val="right"/>
              <w:rPr>
                <w:rFonts w:ascii="Calibri" w:hAnsi="Calibri"/>
                <w:b/>
                <w:color w:val="000000"/>
              </w:rPr>
            </w:pPr>
            <w:r w:rsidRPr="00FD0123">
              <w:rPr>
                <w:rFonts w:ascii="Calibri" w:hAnsi="Calibri"/>
                <w:b/>
                <w:color w:val="000000"/>
              </w:rPr>
              <w:t>57.03</w:t>
            </w:r>
          </w:p>
        </w:tc>
        <w:tc>
          <w:tcPr>
            <w:tcW w:w="1094" w:type="dxa"/>
            <w:vAlign w:val="bottom"/>
          </w:tcPr>
          <w:p w:rsidR="00E441F7" w:rsidRPr="00FD0123" w:rsidRDefault="00E441F7" w:rsidP="00FD0123">
            <w:pPr>
              <w:pStyle w:val="TableFigText"/>
              <w:jc w:val="right"/>
              <w:rPr>
                <w:b/>
              </w:rPr>
            </w:pPr>
            <w:r w:rsidRPr="00FD0123">
              <w:rPr>
                <w:b/>
              </w:rPr>
              <w:t>0</w:t>
            </w:r>
          </w:p>
        </w:tc>
        <w:tc>
          <w:tcPr>
            <w:tcW w:w="1086" w:type="dxa"/>
            <w:vAlign w:val="bottom"/>
          </w:tcPr>
          <w:p w:rsidR="00E441F7" w:rsidRPr="00FD0123" w:rsidRDefault="00E441F7" w:rsidP="00FD0123">
            <w:pPr>
              <w:pStyle w:val="TableFigText"/>
              <w:jc w:val="right"/>
              <w:rPr>
                <w:rFonts w:ascii="Calibri" w:hAnsi="Calibri"/>
                <w:b/>
                <w:color w:val="000000"/>
              </w:rPr>
            </w:pPr>
            <w:r w:rsidRPr="00FD0123">
              <w:rPr>
                <w:rFonts w:ascii="Calibri" w:hAnsi="Calibri"/>
                <w:b/>
                <w:color w:val="000000"/>
              </w:rPr>
              <w:t>185.15</w:t>
            </w:r>
          </w:p>
        </w:tc>
      </w:tr>
    </w:tbl>
    <w:p w:rsidR="00E254F6" w:rsidRPr="00D22EB8" w:rsidRDefault="00E254F6" w:rsidP="00E254F6">
      <w:pPr>
        <w:pStyle w:val="TableFigNotesnumbered"/>
        <w:rPr>
          <w:rStyle w:val="table-note"/>
        </w:rPr>
      </w:pPr>
      <w:proofErr w:type="gramStart"/>
      <w:r w:rsidRPr="00D22EB8">
        <w:rPr>
          <w:rStyle w:val="table-note"/>
        </w:rPr>
        <w:t>n/a</w:t>
      </w:r>
      <w:proofErr w:type="gramEnd"/>
      <w:r w:rsidRPr="00D22EB8">
        <w:rPr>
          <w:rStyle w:val="table-note"/>
        </w:rPr>
        <w:t xml:space="preserve"> </w:t>
      </w:r>
      <w:r w:rsidRPr="00D22EB8">
        <w:rPr>
          <w:rStyle w:val="table-note"/>
        </w:rPr>
        <w:tab/>
        <w:t>Not applicable.</w:t>
      </w:r>
    </w:p>
    <w:p w:rsidR="00E441F7" w:rsidRPr="00D22EB8" w:rsidRDefault="00E441F7" w:rsidP="00540186">
      <w:pPr>
        <w:pStyle w:val="TableFigNotesnumbered"/>
        <w:numPr>
          <w:ilvl w:val="0"/>
          <w:numId w:val="46"/>
        </w:numPr>
        <w:rPr>
          <w:rStyle w:val="table-note"/>
        </w:rPr>
      </w:pPr>
      <w:r w:rsidRPr="00D22EB8">
        <w:rPr>
          <w:rStyle w:val="table-note"/>
        </w:rPr>
        <w:t>Expenditure excludes depreciation.</w:t>
      </w:r>
    </w:p>
    <w:p w:rsidR="00E441F7" w:rsidRPr="00D22EB8" w:rsidRDefault="00E441F7" w:rsidP="00540186">
      <w:pPr>
        <w:pStyle w:val="TableFigNotesnumbered"/>
        <w:numPr>
          <w:ilvl w:val="0"/>
          <w:numId w:val="46"/>
        </w:numPr>
        <w:rPr>
          <w:rStyle w:val="table-note"/>
        </w:rPr>
      </w:pPr>
      <w:r w:rsidRPr="00D22EB8">
        <w:rPr>
          <w:rStyle w:val="table-note"/>
        </w:rPr>
        <w:t xml:space="preserve">Expenditure excludes grants to non-government organisations and indirect expenditure at the state/territory, region and organisation levels not apportioned to service units. </w:t>
      </w:r>
    </w:p>
    <w:p w:rsidR="00E441F7" w:rsidRPr="00D22EB8" w:rsidRDefault="00E441F7" w:rsidP="00540186">
      <w:pPr>
        <w:pStyle w:val="TableFigNotesnumbered"/>
        <w:numPr>
          <w:ilvl w:val="0"/>
          <w:numId w:val="46"/>
        </w:numPr>
        <w:rPr>
          <w:rStyle w:val="table-note"/>
        </w:rPr>
      </w:pPr>
      <w:r w:rsidRPr="00D22EB8">
        <w:rPr>
          <w:rStyle w:val="table-note"/>
        </w:rPr>
        <w:t>Crude rate is based on the state and territory estimated resident population by remoteness area as at 30 June 2011.</w:t>
      </w:r>
    </w:p>
    <w:p w:rsidR="00E441F7" w:rsidRPr="00D22EB8" w:rsidRDefault="00E441F7" w:rsidP="00540186">
      <w:pPr>
        <w:pStyle w:val="TableFigNotesnumbered"/>
        <w:numPr>
          <w:ilvl w:val="0"/>
          <w:numId w:val="46"/>
        </w:numPr>
        <w:rPr>
          <w:rStyle w:val="table-note"/>
        </w:rPr>
      </w:pPr>
      <w:r w:rsidRPr="00D22EB8">
        <w:rPr>
          <w:rStyle w:val="table-note"/>
        </w:rPr>
        <w:t>Includes public hospital services managed and operated by private and non-government entities.</w:t>
      </w:r>
    </w:p>
    <w:p w:rsidR="00E441F7" w:rsidRPr="00D22EB8" w:rsidRDefault="00E441F7" w:rsidP="00540186">
      <w:pPr>
        <w:pStyle w:val="TableFigNotesnumbered"/>
        <w:numPr>
          <w:ilvl w:val="0"/>
          <w:numId w:val="46"/>
        </w:numPr>
        <w:rPr>
          <w:rStyle w:val="table-note"/>
        </w:rPr>
      </w:pPr>
      <w:r w:rsidRPr="00D22EB8">
        <w:rPr>
          <w:rStyle w:val="table-note"/>
        </w:rPr>
        <w:t>Public psychiatric hospitals and specialised psychiatric units or wards in public acute hospitals include expenditure on admitted patient services only. Public hospitals outpatient departments are included in community mental health care services.</w:t>
      </w:r>
    </w:p>
    <w:p w:rsidR="00E441F7" w:rsidRPr="00D22EB8" w:rsidRDefault="00E441F7" w:rsidP="00540186">
      <w:pPr>
        <w:pStyle w:val="TableFigNotesnumbered"/>
        <w:numPr>
          <w:ilvl w:val="0"/>
          <w:numId w:val="46"/>
        </w:numPr>
        <w:rPr>
          <w:rStyle w:val="table-note"/>
        </w:rPr>
      </w:pPr>
      <w:r w:rsidRPr="00D22EB8">
        <w:rPr>
          <w:rStyle w:val="table-note"/>
        </w:rPr>
        <w:t>Residential mental health services include the total operating costs for partially or wholly government funded non-government-operated residential mental health services.</w:t>
      </w:r>
      <w:r w:rsidRPr="00D22EB8">
        <w:rPr>
          <w:rStyle w:val="table-note"/>
        </w:rPr>
        <w:tab/>
      </w:r>
    </w:p>
    <w:p w:rsidR="00E441F7" w:rsidRPr="00D22EB8" w:rsidRDefault="00E441F7" w:rsidP="00540186">
      <w:pPr>
        <w:pStyle w:val="TableFigNotesnumbered"/>
        <w:numPr>
          <w:ilvl w:val="0"/>
          <w:numId w:val="46"/>
        </w:numPr>
        <w:rPr>
          <w:rStyle w:val="table-note"/>
        </w:rPr>
      </w:pPr>
      <w:r w:rsidRPr="00D22EB8">
        <w:rPr>
          <w:rStyle w:val="table-note"/>
        </w:rPr>
        <w:t>Totals may not add due to rounding.</w:t>
      </w:r>
    </w:p>
    <w:p w:rsidR="0002561B" w:rsidRPr="00207B28" w:rsidRDefault="0002561B" w:rsidP="006B2ED0">
      <w:pPr>
        <w:pStyle w:val="TableFigNotesnumbered"/>
        <w:ind w:left="294" w:hanging="294"/>
        <w:rPr>
          <w:rFonts w:asciiTheme="minorHAnsi" w:hAnsiTheme="minorHAnsi" w:cstheme="minorHAnsi"/>
        </w:rPr>
      </w:pPr>
    </w:p>
    <w:p w:rsidR="0002561B" w:rsidRDefault="0002561B">
      <w:pPr>
        <w:spacing w:before="0" w:after="0" w:line="240" w:lineRule="auto"/>
        <w:rPr>
          <w:rFonts w:asciiTheme="minorHAnsi" w:hAnsiTheme="minorHAnsi" w:cstheme="minorHAnsi"/>
        </w:rPr>
      </w:pPr>
      <w:r>
        <w:rPr>
          <w:rFonts w:asciiTheme="minorHAnsi" w:hAnsiTheme="minorHAnsi" w:cstheme="minorHAnsi"/>
        </w:rPr>
        <w:br w:type="page"/>
      </w:r>
    </w:p>
    <w:p w:rsidR="00E17C0A" w:rsidRPr="000E0677" w:rsidRDefault="000E0677" w:rsidP="00E17C0A">
      <w:pPr>
        <w:pStyle w:val="TableCaption"/>
        <w:rPr>
          <w:rStyle w:val="table-note"/>
        </w:rPr>
      </w:pPr>
      <w:r w:rsidRPr="000E0677">
        <w:rPr>
          <w:rStyle w:val="table-note"/>
        </w:rPr>
        <w:lastRenderedPageBreak/>
        <w:t xml:space="preserve">Table 56: </w:t>
      </w:r>
      <w:r w:rsidR="00E17C0A" w:rsidRPr="000E0677">
        <w:rPr>
          <w:rStyle w:val="table-note"/>
        </w:rPr>
        <w:t xml:space="preserve">TAS: Number of specialised mental health beds, by service type, 2007–08 </w:t>
      </w:r>
    </w:p>
    <w:tbl>
      <w:tblPr>
        <w:tblStyle w:val="TableGrid"/>
        <w:tblW w:w="0" w:type="auto"/>
        <w:tblLook w:val="04A0" w:firstRow="1" w:lastRow="0" w:firstColumn="1" w:lastColumn="0" w:noHBand="0" w:noVBand="1"/>
        <w:tblCaption w:val="TAS: Number of specialised mental health beds, by service type, 2007–08 "/>
        <w:tblDescription w:val="Table showing that, in 2007-08 inner regional areas in Tas had the highest number of all types of specialised mental health beds at 269. The number of beds decreased with remoteness across all specialised mental health beds. Residential mental health care services had the highest number of beds at 176 across all region types. The major cities category was not applicable."/>
      </w:tblPr>
      <w:tblGrid>
        <w:gridCol w:w="2403"/>
        <w:gridCol w:w="1059"/>
        <w:gridCol w:w="1398"/>
        <w:gridCol w:w="1266"/>
        <w:gridCol w:w="1056"/>
        <w:gridCol w:w="1105"/>
        <w:gridCol w:w="999"/>
      </w:tblGrid>
      <w:tr w:rsidR="00E17C0A" w:rsidRPr="00EF5802" w:rsidTr="000C3DEA">
        <w:trPr>
          <w:tblHeader/>
        </w:trPr>
        <w:tc>
          <w:tcPr>
            <w:tcW w:w="2504" w:type="dxa"/>
          </w:tcPr>
          <w:p w:rsidR="00E17C0A" w:rsidRPr="00EF5802" w:rsidRDefault="00E17C0A" w:rsidP="005B2C04">
            <w:pPr>
              <w:pStyle w:val="TableFigText"/>
              <w:keepNext/>
              <w:rPr>
                <w:rFonts w:asciiTheme="minorHAnsi" w:hAnsiTheme="minorHAnsi" w:cstheme="minorHAnsi"/>
                <w:szCs w:val="22"/>
              </w:rPr>
            </w:pPr>
          </w:p>
        </w:tc>
        <w:tc>
          <w:tcPr>
            <w:tcW w:w="1089"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Major cities</w:t>
            </w:r>
          </w:p>
        </w:tc>
        <w:tc>
          <w:tcPr>
            <w:tcW w:w="1442"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Inner regional</w:t>
            </w:r>
          </w:p>
        </w:tc>
        <w:tc>
          <w:tcPr>
            <w:tcW w:w="1301"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Outer regional</w:t>
            </w:r>
          </w:p>
        </w:tc>
        <w:tc>
          <w:tcPr>
            <w:tcW w:w="1078"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Remote</w:t>
            </w:r>
          </w:p>
        </w:tc>
        <w:tc>
          <w:tcPr>
            <w:tcW w:w="1132"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Very remote</w:t>
            </w:r>
          </w:p>
        </w:tc>
        <w:tc>
          <w:tcPr>
            <w:tcW w:w="1030"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Total</w:t>
            </w:r>
          </w:p>
        </w:tc>
      </w:tr>
      <w:tr w:rsidR="00E17C0A" w:rsidRPr="00EF5802" w:rsidTr="005B2C04">
        <w:tc>
          <w:tcPr>
            <w:tcW w:w="2504" w:type="dxa"/>
          </w:tcPr>
          <w:p w:rsidR="00E17C0A" w:rsidRPr="00EF5802" w:rsidRDefault="00E17C0A" w:rsidP="005B2C04">
            <w:pPr>
              <w:pStyle w:val="TableFigText"/>
              <w:keepLines w:val="0"/>
              <w:rPr>
                <w:rFonts w:asciiTheme="minorHAnsi" w:hAnsiTheme="minorHAnsi" w:cstheme="minorHAnsi"/>
                <w:szCs w:val="22"/>
              </w:rPr>
            </w:pPr>
            <w:r w:rsidRPr="00EF5802">
              <w:rPr>
                <w:rFonts w:asciiTheme="minorHAnsi" w:hAnsiTheme="minorHAnsi" w:cstheme="minorHAnsi"/>
                <w:szCs w:val="22"/>
              </w:rPr>
              <w:t>Specialised psychiatric units or wards in public acute hospitals</w:t>
            </w:r>
          </w:p>
        </w:tc>
        <w:tc>
          <w:tcPr>
            <w:tcW w:w="1089" w:type="dxa"/>
            <w:vAlign w:val="center"/>
          </w:tcPr>
          <w:p w:rsidR="00E17C0A" w:rsidRPr="00EF5802" w:rsidRDefault="00E17C0A" w:rsidP="00E2736D">
            <w:pPr>
              <w:pStyle w:val="TableFigText"/>
              <w:jc w:val="right"/>
            </w:pPr>
            <w:r w:rsidRPr="00EF5802">
              <w:t>n/a</w:t>
            </w:r>
          </w:p>
        </w:tc>
        <w:tc>
          <w:tcPr>
            <w:tcW w:w="1442" w:type="dxa"/>
            <w:vAlign w:val="center"/>
          </w:tcPr>
          <w:p w:rsidR="00E17C0A" w:rsidRPr="00AB1427" w:rsidRDefault="00E17C0A" w:rsidP="00E2736D">
            <w:pPr>
              <w:pStyle w:val="TableFigText"/>
              <w:jc w:val="right"/>
            </w:pPr>
            <w:r w:rsidRPr="00AB1427">
              <w:t>108</w:t>
            </w:r>
          </w:p>
        </w:tc>
        <w:tc>
          <w:tcPr>
            <w:tcW w:w="1301" w:type="dxa"/>
            <w:vAlign w:val="center"/>
          </w:tcPr>
          <w:p w:rsidR="00E17C0A" w:rsidRPr="00AB1427" w:rsidRDefault="00E17C0A" w:rsidP="00E2736D">
            <w:pPr>
              <w:pStyle w:val="TableFigText"/>
              <w:jc w:val="right"/>
            </w:pPr>
            <w:r w:rsidRPr="00AB1427">
              <w:t>20</w:t>
            </w:r>
          </w:p>
        </w:tc>
        <w:tc>
          <w:tcPr>
            <w:tcW w:w="1078" w:type="dxa"/>
            <w:vAlign w:val="center"/>
          </w:tcPr>
          <w:p w:rsidR="00E17C0A" w:rsidRPr="00AB1427" w:rsidRDefault="00E17C0A" w:rsidP="00E2736D">
            <w:pPr>
              <w:pStyle w:val="TableFigText"/>
              <w:jc w:val="right"/>
            </w:pPr>
            <w:r w:rsidRPr="00AB1427">
              <w:t>0</w:t>
            </w:r>
          </w:p>
        </w:tc>
        <w:tc>
          <w:tcPr>
            <w:tcW w:w="1132" w:type="dxa"/>
            <w:vAlign w:val="center"/>
          </w:tcPr>
          <w:p w:rsidR="00E17C0A" w:rsidRPr="00AB1427" w:rsidRDefault="00E17C0A" w:rsidP="00E2736D">
            <w:pPr>
              <w:pStyle w:val="TableFigText"/>
              <w:jc w:val="right"/>
            </w:pPr>
            <w:r w:rsidRPr="00AB1427">
              <w:t>0</w:t>
            </w:r>
          </w:p>
        </w:tc>
        <w:tc>
          <w:tcPr>
            <w:tcW w:w="1030" w:type="dxa"/>
            <w:vAlign w:val="center"/>
          </w:tcPr>
          <w:p w:rsidR="00E17C0A" w:rsidRPr="00AB1427" w:rsidRDefault="00E17C0A" w:rsidP="00E2736D">
            <w:pPr>
              <w:pStyle w:val="TableFigText"/>
              <w:jc w:val="right"/>
            </w:pPr>
            <w:r w:rsidRPr="00AB1427">
              <w:t>128</w:t>
            </w:r>
          </w:p>
        </w:tc>
      </w:tr>
      <w:tr w:rsidR="00E17C0A" w:rsidRPr="00EF5802" w:rsidTr="005B2C04">
        <w:tc>
          <w:tcPr>
            <w:tcW w:w="2504" w:type="dxa"/>
          </w:tcPr>
          <w:p w:rsidR="00E17C0A" w:rsidRPr="00EF5802" w:rsidRDefault="00E17C0A" w:rsidP="005B2C04">
            <w:pPr>
              <w:pStyle w:val="TableFigText"/>
              <w:keepLines w:val="0"/>
              <w:rPr>
                <w:rFonts w:asciiTheme="minorHAnsi" w:hAnsiTheme="minorHAnsi" w:cstheme="minorHAnsi"/>
                <w:szCs w:val="22"/>
              </w:rPr>
            </w:pPr>
            <w:r w:rsidRPr="00EF5802">
              <w:rPr>
                <w:rFonts w:asciiTheme="minorHAnsi" w:hAnsiTheme="minorHAnsi" w:cstheme="minorHAnsi"/>
                <w:szCs w:val="22"/>
              </w:rPr>
              <w:t>Public psychiatric hospital services</w:t>
            </w:r>
          </w:p>
        </w:tc>
        <w:tc>
          <w:tcPr>
            <w:tcW w:w="1089" w:type="dxa"/>
            <w:vAlign w:val="center"/>
          </w:tcPr>
          <w:p w:rsidR="00E17C0A" w:rsidRPr="00EF5802" w:rsidRDefault="00E17C0A" w:rsidP="00E2736D">
            <w:pPr>
              <w:pStyle w:val="TableFigText"/>
              <w:jc w:val="right"/>
            </w:pPr>
            <w:r w:rsidRPr="00EF5802">
              <w:t>n/a</w:t>
            </w:r>
          </w:p>
        </w:tc>
        <w:tc>
          <w:tcPr>
            <w:tcW w:w="1442" w:type="dxa"/>
            <w:vAlign w:val="center"/>
          </w:tcPr>
          <w:p w:rsidR="00E17C0A" w:rsidRPr="00AB1427" w:rsidRDefault="00E17C0A" w:rsidP="00E2736D">
            <w:pPr>
              <w:pStyle w:val="TableFigText"/>
              <w:jc w:val="right"/>
            </w:pPr>
            <w:r w:rsidRPr="00AB1427">
              <w:t>0</w:t>
            </w:r>
          </w:p>
        </w:tc>
        <w:tc>
          <w:tcPr>
            <w:tcW w:w="1301" w:type="dxa"/>
            <w:vAlign w:val="center"/>
          </w:tcPr>
          <w:p w:rsidR="00E17C0A" w:rsidRPr="00AB1427" w:rsidRDefault="00E17C0A" w:rsidP="00E2736D">
            <w:pPr>
              <w:pStyle w:val="TableFigText"/>
              <w:jc w:val="right"/>
            </w:pPr>
            <w:r w:rsidRPr="00AB1427">
              <w:t>0</w:t>
            </w:r>
          </w:p>
        </w:tc>
        <w:tc>
          <w:tcPr>
            <w:tcW w:w="1078" w:type="dxa"/>
            <w:vAlign w:val="center"/>
          </w:tcPr>
          <w:p w:rsidR="00E17C0A" w:rsidRPr="00AB1427" w:rsidRDefault="00E17C0A" w:rsidP="00E2736D">
            <w:pPr>
              <w:pStyle w:val="TableFigText"/>
              <w:jc w:val="right"/>
            </w:pPr>
            <w:r w:rsidRPr="00AB1427">
              <w:t>0</w:t>
            </w:r>
          </w:p>
        </w:tc>
        <w:tc>
          <w:tcPr>
            <w:tcW w:w="1132" w:type="dxa"/>
            <w:vAlign w:val="center"/>
          </w:tcPr>
          <w:p w:rsidR="00E17C0A" w:rsidRPr="00AB1427" w:rsidRDefault="00E17C0A" w:rsidP="00E2736D">
            <w:pPr>
              <w:pStyle w:val="TableFigText"/>
              <w:jc w:val="right"/>
            </w:pPr>
            <w:r w:rsidRPr="00AB1427">
              <w:t>0</w:t>
            </w:r>
          </w:p>
        </w:tc>
        <w:tc>
          <w:tcPr>
            <w:tcW w:w="1030" w:type="dxa"/>
            <w:vAlign w:val="center"/>
          </w:tcPr>
          <w:p w:rsidR="00E17C0A" w:rsidRPr="00AB1427" w:rsidRDefault="00E17C0A" w:rsidP="00E2736D">
            <w:pPr>
              <w:pStyle w:val="TableFigText"/>
              <w:jc w:val="right"/>
            </w:pPr>
            <w:r w:rsidRPr="00AB1427">
              <w:t>0</w:t>
            </w:r>
          </w:p>
        </w:tc>
      </w:tr>
      <w:tr w:rsidR="00E17C0A" w:rsidRPr="00EF5802" w:rsidTr="005B2C04">
        <w:tc>
          <w:tcPr>
            <w:tcW w:w="2504" w:type="dxa"/>
          </w:tcPr>
          <w:p w:rsidR="00E17C0A" w:rsidRPr="00EF5802" w:rsidRDefault="00E17C0A" w:rsidP="005B2C04">
            <w:pPr>
              <w:pStyle w:val="TableFigText"/>
              <w:keepLines w:val="0"/>
              <w:rPr>
                <w:rFonts w:asciiTheme="minorHAnsi" w:hAnsiTheme="minorHAnsi" w:cstheme="minorHAnsi"/>
                <w:szCs w:val="22"/>
              </w:rPr>
            </w:pPr>
            <w:r w:rsidRPr="00EF5802">
              <w:rPr>
                <w:rFonts w:asciiTheme="minorHAnsi" w:hAnsiTheme="minorHAnsi" w:cstheme="minorHAnsi"/>
                <w:szCs w:val="22"/>
              </w:rPr>
              <w:t>Residential mental health care services</w:t>
            </w:r>
          </w:p>
        </w:tc>
        <w:tc>
          <w:tcPr>
            <w:tcW w:w="1089" w:type="dxa"/>
            <w:vAlign w:val="center"/>
          </w:tcPr>
          <w:p w:rsidR="00E17C0A" w:rsidRPr="00EF5802" w:rsidRDefault="00E17C0A" w:rsidP="00E2736D">
            <w:pPr>
              <w:pStyle w:val="TableFigText"/>
              <w:jc w:val="right"/>
            </w:pPr>
            <w:r w:rsidRPr="00EF5802">
              <w:t>n/a</w:t>
            </w:r>
          </w:p>
        </w:tc>
        <w:tc>
          <w:tcPr>
            <w:tcW w:w="1442" w:type="dxa"/>
            <w:vAlign w:val="center"/>
          </w:tcPr>
          <w:p w:rsidR="00E17C0A" w:rsidRPr="00AB1427" w:rsidRDefault="00E17C0A" w:rsidP="00E2736D">
            <w:pPr>
              <w:pStyle w:val="TableFigText"/>
              <w:jc w:val="right"/>
            </w:pPr>
            <w:r w:rsidRPr="00AB1427">
              <w:t>161</w:t>
            </w:r>
          </w:p>
        </w:tc>
        <w:tc>
          <w:tcPr>
            <w:tcW w:w="1301" w:type="dxa"/>
            <w:vAlign w:val="center"/>
          </w:tcPr>
          <w:p w:rsidR="00E17C0A" w:rsidRPr="00AB1427" w:rsidRDefault="00E17C0A" w:rsidP="00E2736D">
            <w:pPr>
              <w:pStyle w:val="TableFigText"/>
              <w:jc w:val="right"/>
            </w:pPr>
            <w:r w:rsidRPr="00AB1427">
              <w:t>15</w:t>
            </w:r>
          </w:p>
        </w:tc>
        <w:tc>
          <w:tcPr>
            <w:tcW w:w="1078" w:type="dxa"/>
            <w:vAlign w:val="center"/>
          </w:tcPr>
          <w:p w:rsidR="00E17C0A" w:rsidRPr="00AB1427" w:rsidRDefault="00E17C0A" w:rsidP="00E2736D">
            <w:pPr>
              <w:pStyle w:val="TableFigText"/>
              <w:jc w:val="right"/>
            </w:pPr>
            <w:r w:rsidRPr="00AB1427">
              <w:t>0</w:t>
            </w:r>
          </w:p>
        </w:tc>
        <w:tc>
          <w:tcPr>
            <w:tcW w:w="1132" w:type="dxa"/>
            <w:vAlign w:val="center"/>
          </w:tcPr>
          <w:p w:rsidR="00E17C0A" w:rsidRPr="00AB1427" w:rsidRDefault="00E17C0A" w:rsidP="00E2736D">
            <w:pPr>
              <w:pStyle w:val="TableFigText"/>
              <w:jc w:val="right"/>
            </w:pPr>
            <w:r w:rsidRPr="00AB1427">
              <w:t>0</w:t>
            </w:r>
          </w:p>
        </w:tc>
        <w:tc>
          <w:tcPr>
            <w:tcW w:w="1030" w:type="dxa"/>
            <w:vAlign w:val="center"/>
          </w:tcPr>
          <w:p w:rsidR="00E17C0A" w:rsidRPr="00AB1427" w:rsidRDefault="00E17C0A" w:rsidP="00E2736D">
            <w:pPr>
              <w:pStyle w:val="TableFigText"/>
              <w:jc w:val="right"/>
            </w:pPr>
            <w:r w:rsidRPr="00AB1427">
              <w:t>176</w:t>
            </w:r>
          </w:p>
        </w:tc>
      </w:tr>
      <w:tr w:rsidR="00E17C0A" w:rsidRPr="00EF5802" w:rsidTr="005B2C04">
        <w:tc>
          <w:tcPr>
            <w:tcW w:w="2504" w:type="dxa"/>
          </w:tcPr>
          <w:p w:rsidR="00E17C0A" w:rsidRPr="00E2736D" w:rsidRDefault="00E17C0A" w:rsidP="005B2C04">
            <w:pPr>
              <w:pStyle w:val="TableFigText"/>
              <w:keepLines w:val="0"/>
              <w:rPr>
                <w:rFonts w:asciiTheme="minorHAnsi" w:hAnsiTheme="minorHAnsi" w:cstheme="minorHAnsi"/>
                <w:b/>
                <w:szCs w:val="22"/>
              </w:rPr>
            </w:pPr>
            <w:r w:rsidRPr="00E2736D">
              <w:rPr>
                <w:rFonts w:asciiTheme="minorHAnsi" w:hAnsiTheme="minorHAnsi" w:cstheme="minorHAnsi"/>
                <w:b/>
                <w:szCs w:val="22"/>
              </w:rPr>
              <w:t>Total</w:t>
            </w:r>
          </w:p>
        </w:tc>
        <w:tc>
          <w:tcPr>
            <w:tcW w:w="1089" w:type="dxa"/>
            <w:vAlign w:val="center"/>
          </w:tcPr>
          <w:p w:rsidR="00E17C0A" w:rsidRPr="00E2736D" w:rsidRDefault="00E17C0A" w:rsidP="00E2736D">
            <w:pPr>
              <w:pStyle w:val="TableFigText"/>
              <w:jc w:val="right"/>
              <w:rPr>
                <w:b/>
              </w:rPr>
            </w:pPr>
            <w:r w:rsidRPr="00E2736D">
              <w:rPr>
                <w:b/>
              </w:rPr>
              <w:t>n/a</w:t>
            </w:r>
          </w:p>
        </w:tc>
        <w:tc>
          <w:tcPr>
            <w:tcW w:w="1442" w:type="dxa"/>
            <w:vAlign w:val="center"/>
          </w:tcPr>
          <w:p w:rsidR="00E17C0A" w:rsidRPr="00E2736D" w:rsidRDefault="00E17C0A" w:rsidP="00E2736D">
            <w:pPr>
              <w:pStyle w:val="TableFigText"/>
              <w:jc w:val="right"/>
              <w:rPr>
                <w:b/>
              </w:rPr>
            </w:pPr>
            <w:r w:rsidRPr="00E2736D">
              <w:rPr>
                <w:b/>
              </w:rPr>
              <w:t>269</w:t>
            </w:r>
          </w:p>
        </w:tc>
        <w:tc>
          <w:tcPr>
            <w:tcW w:w="1301" w:type="dxa"/>
            <w:vAlign w:val="center"/>
          </w:tcPr>
          <w:p w:rsidR="00E17C0A" w:rsidRPr="00E2736D" w:rsidRDefault="00E17C0A" w:rsidP="00E2736D">
            <w:pPr>
              <w:pStyle w:val="TableFigText"/>
              <w:jc w:val="right"/>
              <w:rPr>
                <w:b/>
              </w:rPr>
            </w:pPr>
            <w:r w:rsidRPr="00E2736D">
              <w:rPr>
                <w:b/>
              </w:rPr>
              <w:t>35</w:t>
            </w:r>
          </w:p>
        </w:tc>
        <w:tc>
          <w:tcPr>
            <w:tcW w:w="1078" w:type="dxa"/>
            <w:vAlign w:val="center"/>
          </w:tcPr>
          <w:p w:rsidR="00E17C0A" w:rsidRPr="00E2736D" w:rsidRDefault="00E17C0A" w:rsidP="00E2736D">
            <w:pPr>
              <w:pStyle w:val="TableFigText"/>
              <w:jc w:val="right"/>
              <w:rPr>
                <w:b/>
              </w:rPr>
            </w:pPr>
            <w:r w:rsidRPr="00E2736D">
              <w:rPr>
                <w:b/>
              </w:rPr>
              <w:t>0</w:t>
            </w:r>
          </w:p>
        </w:tc>
        <w:tc>
          <w:tcPr>
            <w:tcW w:w="1132" w:type="dxa"/>
            <w:vAlign w:val="center"/>
          </w:tcPr>
          <w:p w:rsidR="00E17C0A" w:rsidRPr="00E2736D" w:rsidRDefault="00E17C0A" w:rsidP="00E2736D">
            <w:pPr>
              <w:pStyle w:val="TableFigText"/>
              <w:jc w:val="right"/>
              <w:rPr>
                <w:b/>
              </w:rPr>
            </w:pPr>
            <w:r w:rsidRPr="00E2736D">
              <w:rPr>
                <w:b/>
              </w:rPr>
              <w:t>0</w:t>
            </w:r>
          </w:p>
        </w:tc>
        <w:tc>
          <w:tcPr>
            <w:tcW w:w="1030" w:type="dxa"/>
            <w:vAlign w:val="center"/>
          </w:tcPr>
          <w:p w:rsidR="00E17C0A" w:rsidRPr="00E2736D" w:rsidRDefault="00E17C0A" w:rsidP="00E2736D">
            <w:pPr>
              <w:pStyle w:val="TableFigText"/>
              <w:jc w:val="right"/>
              <w:rPr>
                <w:b/>
              </w:rPr>
            </w:pPr>
            <w:r w:rsidRPr="00E2736D">
              <w:rPr>
                <w:b/>
              </w:rPr>
              <w:t>304</w:t>
            </w:r>
          </w:p>
        </w:tc>
      </w:tr>
    </w:tbl>
    <w:p w:rsidR="00E17C0A" w:rsidRPr="00D22EB8" w:rsidRDefault="00E17C0A" w:rsidP="006B2ED0">
      <w:pPr>
        <w:pStyle w:val="TableFigNotesnumbered"/>
        <w:ind w:left="294" w:hanging="294"/>
        <w:rPr>
          <w:rStyle w:val="table-note"/>
        </w:rPr>
      </w:pPr>
      <w:proofErr w:type="gramStart"/>
      <w:r w:rsidRPr="00D22EB8">
        <w:rPr>
          <w:rStyle w:val="table-note"/>
        </w:rPr>
        <w:t>n/a</w:t>
      </w:r>
      <w:proofErr w:type="gramEnd"/>
      <w:r w:rsidRPr="00D22EB8">
        <w:rPr>
          <w:rStyle w:val="table-note"/>
        </w:rPr>
        <w:t xml:space="preserve"> </w:t>
      </w:r>
      <w:r w:rsidRPr="00D22EB8">
        <w:rPr>
          <w:rStyle w:val="table-note"/>
        </w:rPr>
        <w:tab/>
        <w:t>Not applicable.</w:t>
      </w:r>
    </w:p>
    <w:p w:rsidR="00E17C0A" w:rsidRPr="000E0677" w:rsidRDefault="000E0677" w:rsidP="00E17C0A">
      <w:pPr>
        <w:pStyle w:val="TableCaption"/>
        <w:rPr>
          <w:rStyle w:val="table-note"/>
        </w:rPr>
      </w:pPr>
      <w:r w:rsidRPr="000E0677">
        <w:rPr>
          <w:rStyle w:val="table-note"/>
        </w:rPr>
        <w:t xml:space="preserve">Table 57: </w:t>
      </w:r>
      <w:r w:rsidR="00E17C0A" w:rsidRPr="000E0677">
        <w:rPr>
          <w:rStyle w:val="table-note"/>
        </w:rPr>
        <w:t>TAS: Number of specialised mental health beds, by service type, 2011–12</w:t>
      </w:r>
    </w:p>
    <w:tbl>
      <w:tblPr>
        <w:tblStyle w:val="TableGrid"/>
        <w:tblW w:w="0" w:type="auto"/>
        <w:tblLook w:val="04A0" w:firstRow="1" w:lastRow="0" w:firstColumn="1" w:lastColumn="0" w:noHBand="0" w:noVBand="1"/>
        <w:tblCaption w:val="TAS: Number of specialised mental health beds, by service type, 2011–12"/>
        <w:tblDescription w:val="Table showing that, in 2011-12 inner regional areas in Tas had the highest number of all types of specialised mental health beds at 242. The number of beds decreased with remoteness across all specialised mental health beds. Residential mental health care services had the highest number of beds at 162 across all region types. The major cities category was not applicable."/>
      </w:tblPr>
      <w:tblGrid>
        <w:gridCol w:w="2403"/>
        <w:gridCol w:w="1059"/>
        <w:gridCol w:w="1398"/>
        <w:gridCol w:w="1266"/>
        <w:gridCol w:w="1056"/>
        <w:gridCol w:w="1105"/>
        <w:gridCol w:w="999"/>
      </w:tblGrid>
      <w:tr w:rsidR="00E17C0A" w:rsidRPr="00EF5802" w:rsidTr="000C3DEA">
        <w:trPr>
          <w:tblHeader/>
        </w:trPr>
        <w:tc>
          <w:tcPr>
            <w:tcW w:w="2504" w:type="dxa"/>
          </w:tcPr>
          <w:p w:rsidR="00E17C0A" w:rsidRPr="00EF5802" w:rsidRDefault="00E17C0A" w:rsidP="005B2C04">
            <w:pPr>
              <w:pStyle w:val="TableFigText"/>
              <w:keepNext/>
              <w:rPr>
                <w:rFonts w:asciiTheme="minorHAnsi" w:hAnsiTheme="minorHAnsi" w:cstheme="minorHAnsi"/>
                <w:szCs w:val="22"/>
              </w:rPr>
            </w:pPr>
          </w:p>
        </w:tc>
        <w:tc>
          <w:tcPr>
            <w:tcW w:w="1089"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Major cities</w:t>
            </w:r>
          </w:p>
        </w:tc>
        <w:tc>
          <w:tcPr>
            <w:tcW w:w="1442"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Inner regional</w:t>
            </w:r>
          </w:p>
        </w:tc>
        <w:tc>
          <w:tcPr>
            <w:tcW w:w="1301"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Outer regional</w:t>
            </w:r>
          </w:p>
        </w:tc>
        <w:tc>
          <w:tcPr>
            <w:tcW w:w="1078"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Remote</w:t>
            </w:r>
          </w:p>
        </w:tc>
        <w:tc>
          <w:tcPr>
            <w:tcW w:w="1132"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Very remote</w:t>
            </w:r>
          </w:p>
        </w:tc>
        <w:tc>
          <w:tcPr>
            <w:tcW w:w="1030"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Total</w:t>
            </w:r>
          </w:p>
        </w:tc>
      </w:tr>
      <w:tr w:rsidR="00E17C0A" w:rsidRPr="00EF5802" w:rsidTr="005B2C04">
        <w:tc>
          <w:tcPr>
            <w:tcW w:w="2504" w:type="dxa"/>
          </w:tcPr>
          <w:p w:rsidR="00E17C0A" w:rsidRPr="00EF5802" w:rsidRDefault="00E17C0A" w:rsidP="005B2C04">
            <w:pPr>
              <w:pStyle w:val="TableFigText"/>
              <w:keepLines w:val="0"/>
              <w:rPr>
                <w:rFonts w:asciiTheme="minorHAnsi" w:hAnsiTheme="minorHAnsi" w:cstheme="minorHAnsi"/>
                <w:szCs w:val="22"/>
              </w:rPr>
            </w:pPr>
            <w:r w:rsidRPr="00EF5802">
              <w:rPr>
                <w:rFonts w:asciiTheme="minorHAnsi" w:hAnsiTheme="minorHAnsi" w:cstheme="minorHAnsi"/>
                <w:szCs w:val="22"/>
              </w:rPr>
              <w:t>Specialised psychiatric units or wards in public acute hospitals</w:t>
            </w:r>
          </w:p>
        </w:tc>
        <w:tc>
          <w:tcPr>
            <w:tcW w:w="1089" w:type="dxa"/>
            <w:vAlign w:val="center"/>
          </w:tcPr>
          <w:p w:rsidR="00E17C0A" w:rsidRPr="00EF5802" w:rsidRDefault="00E17C0A" w:rsidP="00E2736D">
            <w:pPr>
              <w:pStyle w:val="TableFigText"/>
              <w:jc w:val="right"/>
            </w:pPr>
            <w:r w:rsidRPr="00EF5802">
              <w:t>n/a</w:t>
            </w:r>
          </w:p>
        </w:tc>
        <w:tc>
          <w:tcPr>
            <w:tcW w:w="1442" w:type="dxa"/>
            <w:vAlign w:val="center"/>
          </w:tcPr>
          <w:p w:rsidR="00E17C0A" w:rsidRPr="00EF5802" w:rsidRDefault="00E17C0A" w:rsidP="00E2736D">
            <w:pPr>
              <w:pStyle w:val="TableFigText"/>
              <w:jc w:val="right"/>
            </w:pPr>
            <w:r w:rsidRPr="00EF5802">
              <w:t>95</w:t>
            </w:r>
          </w:p>
        </w:tc>
        <w:tc>
          <w:tcPr>
            <w:tcW w:w="1301" w:type="dxa"/>
            <w:vAlign w:val="center"/>
          </w:tcPr>
          <w:p w:rsidR="00E17C0A" w:rsidRPr="00EF5802" w:rsidRDefault="00E17C0A" w:rsidP="00E2736D">
            <w:pPr>
              <w:pStyle w:val="TableFigText"/>
              <w:jc w:val="right"/>
            </w:pPr>
            <w:r w:rsidRPr="00EF5802">
              <w:t>34</w:t>
            </w:r>
          </w:p>
        </w:tc>
        <w:tc>
          <w:tcPr>
            <w:tcW w:w="1078" w:type="dxa"/>
            <w:vAlign w:val="center"/>
          </w:tcPr>
          <w:p w:rsidR="00E17C0A" w:rsidRPr="00EF5802" w:rsidRDefault="00E17C0A" w:rsidP="00E2736D">
            <w:pPr>
              <w:pStyle w:val="TableFigText"/>
              <w:jc w:val="right"/>
            </w:pPr>
            <w:r w:rsidRPr="00EF5802">
              <w:t>2</w:t>
            </w:r>
          </w:p>
        </w:tc>
        <w:tc>
          <w:tcPr>
            <w:tcW w:w="1132" w:type="dxa"/>
            <w:vAlign w:val="center"/>
          </w:tcPr>
          <w:p w:rsidR="00E17C0A" w:rsidRPr="00EF5802" w:rsidRDefault="00E17C0A" w:rsidP="00E2736D">
            <w:pPr>
              <w:pStyle w:val="TableFigText"/>
              <w:jc w:val="right"/>
            </w:pPr>
            <w:r w:rsidRPr="00EF5802">
              <w:t>0</w:t>
            </w:r>
          </w:p>
        </w:tc>
        <w:tc>
          <w:tcPr>
            <w:tcW w:w="1030" w:type="dxa"/>
            <w:vAlign w:val="center"/>
          </w:tcPr>
          <w:p w:rsidR="00E17C0A" w:rsidRPr="00EF5802" w:rsidRDefault="00E17C0A" w:rsidP="00E2736D">
            <w:pPr>
              <w:pStyle w:val="TableFigText"/>
              <w:jc w:val="right"/>
            </w:pPr>
            <w:r w:rsidRPr="00EF5802">
              <w:t>131</w:t>
            </w:r>
          </w:p>
        </w:tc>
      </w:tr>
      <w:tr w:rsidR="00E17C0A" w:rsidRPr="00EF5802" w:rsidTr="005B2C04">
        <w:tc>
          <w:tcPr>
            <w:tcW w:w="2504" w:type="dxa"/>
          </w:tcPr>
          <w:p w:rsidR="00E17C0A" w:rsidRPr="00EF5802" w:rsidRDefault="00E17C0A" w:rsidP="005B2C04">
            <w:pPr>
              <w:pStyle w:val="TableFigText"/>
              <w:keepLines w:val="0"/>
              <w:rPr>
                <w:rFonts w:asciiTheme="minorHAnsi" w:hAnsiTheme="minorHAnsi" w:cstheme="minorHAnsi"/>
                <w:szCs w:val="22"/>
              </w:rPr>
            </w:pPr>
            <w:r w:rsidRPr="00EF5802">
              <w:rPr>
                <w:rFonts w:asciiTheme="minorHAnsi" w:hAnsiTheme="minorHAnsi" w:cstheme="minorHAnsi"/>
                <w:szCs w:val="22"/>
              </w:rPr>
              <w:t>Public psychiatric hospital services</w:t>
            </w:r>
          </w:p>
        </w:tc>
        <w:tc>
          <w:tcPr>
            <w:tcW w:w="1089" w:type="dxa"/>
            <w:vAlign w:val="center"/>
          </w:tcPr>
          <w:p w:rsidR="00E17C0A" w:rsidRPr="00EF5802" w:rsidRDefault="00E17C0A" w:rsidP="00E2736D">
            <w:pPr>
              <w:pStyle w:val="TableFigText"/>
              <w:jc w:val="right"/>
            </w:pPr>
            <w:r w:rsidRPr="00EF5802">
              <w:t>n/a</w:t>
            </w:r>
          </w:p>
        </w:tc>
        <w:tc>
          <w:tcPr>
            <w:tcW w:w="1442" w:type="dxa"/>
            <w:vAlign w:val="center"/>
          </w:tcPr>
          <w:p w:rsidR="00E17C0A" w:rsidRPr="00EF5802" w:rsidRDefault="00E17C0A" w:rsidP="00E2736D">
            <w:pPr>
              <w:pStyle w:val="TableFigText"/>
              <w:jc w:val="right"/>
            </w:pPr>
            <w:r w:rsidRPr="00EF5802">
              <w:t>0</w:t>
            </w:r>
          </w:p>
        </w:tc>
        <w:tc>
          <w:tcPr>
            <w:tcW w:w="1301" w:type="dxa"/>
            <w:vAlign w:val="center"/>
          </w:tcPr>
          <w:p w:rsidR="00E17C0A" w:rsidRPr="00EF5802" w:rsidRDefault="00E17C0A" w:rsidP="00E2736D">
            <w:pPr>
              <w:pStyle w:val="TableFigText"/>
              <w:jc w:val="right"/>
            </w:pPr>
            <w:r w:rsidRPr="00EF5802">
              <w:t>0</w:t>
            </w:r>
          </w:p>
        </w:tc>
        <w:tc>
          <w:tcPr>
            <w:tcW w:w="1078" w:type="dxa"/>
            <w:vAlign w:val="center"/>
          </w:tcPr>
          <w:p w:rsidR="00E17C0A" w:rsidRPr="00EF5802" w:rsidRDefault="00E17C0A" w:rsidP="00E2736D">
            <w:pPr>
              <w:pStyle w:val="TableFigText"/>
              <w:jc w:val="right"/>
            </w:pPr>
            <w:r w:rsidRPr="00EF5802">
              <w:t>0</w:t>
            </w:r>
          </w:p>
        </w:tc>
        <w:tc>
          <w:tcPr>
            <w:tcW w:w="1132" w:type="dxa"/>
            <w:vAlign w:val="center"/>
          </w:tcPr>
          <w:p w:rsidR="00E17C0A" w:rsidRPr="00EF5802" w:rsidRDefault="00E17C0A" w:rsidP="00E2736D">
            <w:pPr>
              <w:pStyle w:val="TableFigText"/>
              <w:jc w:val="right"/>
            </w:pPr>
            <w:r w:rsidRPr="00EF5802">
              <w:t>0</w:t>
            </w:r>
          </w:p>
        </w:tc>
        <w:tc>
          <w:tcPr>
            <w:tcW w:w="1030" w:type="dxa"/>
            <w:vAlign w:val="center"/>
          </w:tcPr>
          <w:p w:rsidR="00E17C0A" w:rsidRPr="00EF5802" w:rsidRDefault="00E17C0A" w:rsidP="00E2736D">
            <w:pPr>
              <w:pStyle w:val="TableFigText"/>
              <w:jc w:val="right"/>
            </w:pPr>
            <w:r w:rsidRPr="00EF5802">
              <w:t>0</w:t>
            </w:r>
          </w:p>
        </w:tc>
      </w:tr>
      <w:tr w:rsidR="00E17C0A" w:rsidRPr="00EF5802" w:rsidTr="005B2C04">
        <w:tc>
          <w:tcPr>
            <w:tcW w:w="2504" w:type="dxa"/>
          </w:tcPr>
          <w:p w:rsidR="00E17C0A" w:rsidRPr="00EF5802" w:rsidRDefault="00E17C0A" w:rsidP="005B2C04">
            <w:pPr>
              <w:pStyle w:val="TableFigText"/>
              <w:keepLines w:val="0"/>
              <w:rPr>
                <w:rFonts w:asciiTheme="minorHAnsi" w:hAnsiTheme="minorHAnsi" w:cstheme="minorHAnsi"/>
                <w:szCs w:val="22"/>
              </w:rPr>
            </w:pPr>
            <w:r w:rsidRPr="00EF5802">
              <w:rPr>
                <w:rFonts w:asciiTheme="minorHAnsi" w:hAnsiTheme="minorHAnsi" w:cstheme="minorHAnsi"/>
                <w:szCs w:val="22"/>
              </w:rPr>
              <w:t>Residential mental health care services</w:t>
            </w:r>
          </w:p>
        </w:tc>
        <w:tc>
          <w:tcPr>
            <w:tcW w:w="1089" w:type="dxa"/>
            <w:vAlign w:val="center"/>
          </w:tcPr>
          <w:p w:rsidR="00E17C0A" w:rsidRPr="00EF5802" w:rsidRDefault="00E17C0A" w:rsidP="00E2736D">
            <w:pPr>
              <w:pStyle w:val="TableFigText"/>
              <w:jc w:val="right"/>
            </w:pPr>
            <w:r w:rsidRPr="00EF5802">
              <w:t>n/a</w:t>
            </w:r>
          </w:p>
        </w:tc>
        <w:tc>
          <w:tcPr>
            <w:tcW w:w="1442" w:type="dxa"/>
            <w:vAlign w:val="center"/>
          </w:tcPr>
          <w:p w:rsidR="00E17C0A" w:rsidRPr="00EF5802" w:rsidRDefault="00E17C0A" w:rsidP="00E2736D">
            <w:pPr>
              <w:pStyle w:val="TableFigText"/>
              <w:jc w:val="right"/>
            </w:pPr>
            <w:r w:rsidRPr="00EF5802">
              <w:t>147</w:t>
            </w:r>
          </w:p>
        </w:tc>
        <w:tc>
          <w:tcPr>
            <w:tcW w:w="1301" w:type="dxa"/>
            <w:vAlign w:val="center"/>
          </w:tcPr>
          <w:p w:rsidR="00E17C0A" w:rsidRPr="00EF5802" w:rsidRDefault="00E17C0A" w:rsidP="00E2736D">
            <w:pPr>
              <w:pStyle w:val="TableFigText"/>
              <w:jc w:val="right"/>
            </w:pPr>
            <w:r w:rsidRPr="00EF5802">
              <w:t>15</w:t>
            </w:r>
          </w:p>
        </w:tc>
        <w:tc>
          <w:tcPr>
            <w:tcW w:w="1078" w:type="dxa"/>
            <w:vAlign w:val="center"/>
          </w:tcPr>
          <w:p w:rsidR="00E17C0A" w:rsidRPr="00EF5802" w:rsidRDefault="00E17C0A" w:rsidP="00E2736D">
            <w:pPr>
              <w:pStyle w:val="TableFigText"/>
              <w:jc w:val="right"/>
            </w:pPr>
            <w:r w:rsidRPr="00EF5802">
              <w:t>0</w:t>
            </w:r>
          </w:p>
        </w:tc>
        <w:tc>
          <w:tcPr>
            <w:tcW w:w="1132" w:type="dxa"/>
            <w:vAlign w:val="center"/>
          </w:tcPr>
          <w:p w:rsidR="00E17C0A" w:rsidRPr="00EF5802" w:rsidRDefault="00E17C0A" w:rsidP="00E2736D">
            <w:pPr>
              <w:pStyle w:val="TableFigText"/>
              <w:jc w:val="right"/>
            </w:pPr>
            <w:r w:rsidRPr="00EF5802">
              <w:t>0</w:t>
            </w:r>
          </w:p>
        </w:tc>
        <w:tc>
          <w:tcPr>
            <w:tcW w:w="1030" w:type="dxa"/>
            <w:vAlign w:val="center"/>
          </w:tcPr>
          <w:p w:rsidR="00E17C0A" w:rsidRPr="00EF5802" w:rsidRDefault="00E17C0A" w:rsidP="00E2736D">
            <w:pPr>
              <w:pStyle w:val="TableFigText"/>
              <w:jc w:val="right"/>
            </w:pPr>
            <w:r w:rsidRPr="00EF5802">
              <w:t>162</w:t>
            </w:r>
          </w:p>
        </w:tc>
      </w:tr>
      <w:tr w:rsidR="00E17C0A" w:rsidRPr="00EF5802" w:rsidTr="005B2C04">
        <w:tc>
          <w:tcPr>
            <w:tcW w:w="2504" w:type="dxa"/>
          </w:tcPr>
          <w:p w:rsidR="00E17C0A" w:rsidRPr="00E2736D" w:rsidRDefault="00E17C0A" w:rsidP="005B2C04">
            <w:pPr>
              <w:pStyle w:val="TableFigText"/>
              <w:keepLines w:val="0"/>
              <w:rPr>
                <w:rFonts w:asciiTheme="minorHAnsi" w:hAnsiTheme="minorHAnsi" w:cstheme="minorHAnsi"/>
                <w:b/>
                <w:szCs w:val="22"/>
              </w:rPr>
            </w:pPr>
            <w:r w:rsidRPr="00E2736D">
              <w:rPr>
                <w:rFonts w:asciiTheme="minorHAnsi" w:hAnsiTheme="minorHAnsi" w:cstheme="minorHAnsi"/>
                <w:b/>
                <w:szCs w:val="22"/>
              </w:rPr>
              <w:t>Total</w:t>
            </w:r>
          </w:p>
        </w:tc>
        <w:tc>
          <w:tcPr>
            <w:tcW w:w="1089" w:type="dxa"/>
            <w:vAlign w:val="center"/>
          </w:tcPr>
          <w:p w:rsidR="00E17C0A" w:rsidRPr="00E2736D" w:rsidRDefault="00E17C0A" w:rsidP="00E2736D">
            <w:pPr>
              <w:pStyle w:val="TableFigText"/>
              <w:jc w:val="right"/>
              <w:rPr>
                <w:b/>
              </w:rPr>
            </w:pPr>
            <w:r w:rsidRPr="00E2736D">
              <w:rPr>
                <w:b/>
              </w:rPr>
              <w:t>n/a</w:t>
            </w:r>
          </w:p>
        </w:tc>
        <w:tc>
          <w:tcPr>
            <w:tcW w:w="1442" w:type="dxa"/>
            <w:vAlign w:val="center"/>
          </w:tcPr>
          <w:p w:rsidR="00E17C0A" w:rsidRPr="00E2736D" w:rsidRDefault="00E17C0A" w:rsidP="00E2736D">
            <w:pPr>
              <w:pStyle w:val="TableFigText"/>
              <w:jc w:val="right"/>
              <w:rPr>
                <w:b/>
              </w:rPr>
            </w:pPr>
            <w:r w:rsidRPr="00E2736D">
              <w:rPr>
                <w:b/>
              </w:rPr>
              <w:t>242</w:t>
            </w:r>
          </w:p>
        </w:tc>
        <w:tc>
          <w:tcPr>
            <w:tcW w:w="1301" w:type="dxa"/>
            <w:vAlign w:val="center"/>
          </w:tcPr>
          <w:p w:rsidR="00E17C0A" w:rsidRPr="00E2736D" w:rsidRDefault="00E17C0A" w:rsidP="00E2736D">
            <w:pPr>
              <w:pStyle w:val="TableFigText"/>
              <w:jc w:val="right"/>
              <w:rPr>
                <w:b/>
              </w:rPr>
            </w:pPr>
            <w:r w:rsidRPr="00E2736D">
              <w:rPr>
                <w:b/>
              </w:rPr>
              <w:t>49</w:t>
            </w:r>
          </w:p>
        </w:tc>
        <w:tc>
          <w:tcPr>
            <w:tcW w:w="1078" w:type="dxa"/>
            <w:vAlign w:val="center"/>
          </w:tcPr>
          <w:p w:rsidR="00E17C0A" w:rsidRPr="00E2736D" w:rsidRDefault="00E17C0A" w:rsidP="00E2736D">
            <w:pPr>
              <w:pStyle w:val="TableFigText"/>
              <w:jc w:val="right"/>
              <w:rPr>
                <w:b/>
              </w:rPr>
            </w:pPr>
            <w:r w:rsidRPr="00E2736D">
              <w:rPr>
                <w:b/>
              </w:rPr>
              <w:t>2</w:t>
            </w:r>
          </w:p>
        </w:tc>
        <w:tc>
          <w:tcPr>
            <w:tcW w:w="1132" w:type="dxa"/>
            <w:vAlign w:val="center"/>
          </w:tcPr>
          <w:p w:rsidR="00E17C0A" w:rsidRPr="00E2736D" w:rsidRDefault="00E17C0A" w:rsidP="00E2736D">
            <w:pPr>
              <w:pStyle w:val="TableFigText"/>
              <w:jc w:val="right"/>
              <w:rPr>
                <w:b/>
              </w:rPr>
            </w:pPr>
            <w:r w:rsidRPr="00E2736D">
              <w:rPr>
                <w:b/>
              </w:rPr>
              <w:t>0</w:t>
            </w:r>
          </w:p>
        </w:tc>
        <w:tc>
          <w:tcPr>
            <w:tcW w:w="1030" w:type="dxa"/>
            <w:vAlign w:val="center"/>
          </w:tcPr>
          <w:p w:rsidR="00E17C0A" w:rsidRPr="00E2736D" w:rsidRDefault="00E17C0A" w:rsidP="00E2736D">
            <w:pPr>
              <w:pStyle w:val="TableFigText"/>
              <w:jc w:val="right"/>
              <w:rPr>
                <w:b/>
              </w:rPr>
            </w:pPr>
            <w:r w:rsidRPr="00E2736D">
              <w:rPr>
                <w:b/>
              </w:rPr>
              <w:t>293</w:t>
            </w:r>
          </w:p>
        </w:tc>
      </w:tr>
    </w:tbl>
    <w:p w:rsidR="00E17C0A" w:rsidRPr="00D22EB8" w:rsidRDefault="00E17C0A" w:rsidP="006B2ED0">
      <w:pPr>
        <w:pStyle w:val="TableFigNotesnumbered"/>
        <w:ind w:left="294" w:hanging="294"/>
        <w:rPr>
          <w:rStyle w:val="table-note"/>
        </w:rPr>
      </w:pPr>
      <w:proofErr w:type="gramStart"/>
      <w:r w:rsidRPr="00D22EB8">
        <w:rPr>
          <w:rStyle w:val="table-note"/>
        </w:rPr>
        <w:t>n/a</w:t>
      </w:r>
      <w:proofErr w:type="gramEnd"/>
      <w:r w:rsidRPr="00D22EB8">
        <w:rPr>
          <w:rStyle w:val="table-note"/>
        </w:rPr>
        <w:t xml:space="preserve"> </w:t>
      </w:r>
      <w:r w:rsidRPr="00D22EB8">
        <w:rPr>
          <w:rStyle w:val="table-note"/>
        </w:rPr>
        <w:tab/>
        <w:t>Not applicable.</w:t>
      </w:r>
    </w:p>
    <w:p w:rsidR="00E441F7" w:rsidRDefault="00E441F7">
      <w:pPr>
        <w:spacing w:before="0" w:after="0" w:line="240" w:lineRule="auto"/>
        <w:rPr>
          <w:rFonts w:asciiTheme="minorHAnsi" w:hAnsiTheme="minorHAnsi" w:cstheme="minorHAnsi"/>
          <w:b/>
          <w:sz w:val="20"/>
          <w:szCs w:val="20"/>
          <w:lang w:eastAsia="en-US"/>
        </w:rPr>
      </w:pPr>
      <w:r>
        <w:rPr>
          <w:rFonts w:asciiTheme="minorHAnsi" w:hAnsiTheme="minorHAnsi" w:cstheme="minorHAnsi"/>
        </w:rPr>
        <w:br w:type="page"/>
      </w:r>
    </w:p>
    <w:p w:rsidR="00E17C0A" w:rsidRPr="000E0677" w:rsidRDefault="000E0677" w:rsidP="00E17C0A">
      <w:pPr>
        <w:pStyle w:val="TableCaption"/>
        <w:rPr>
          <w:rStyle w:val="table-note"/>
        </w:rPr>
      </w:pPr>
      <w:r w:rsidRPr="000E0677">
        <w:rPr>
          <w:rStyle w:val="table-note"/>
        </w:rPr>
        <w:lastRenderedPageBreak/>
        <w:t xml:space="preserve">Table 58: </w:t>
      </w:r>
      <w:r w:rsidR="00E17C0A" w:rsidRPr="000E0677">
        <w:rPr>
          <w:rStyle w:val="table-note"/>
        </w:rPr>
        <w:t xml:space="preserve">TAS: Full-time-equivalent staff, state and territory specialised mental health care facilities, by staffing category, 2007–08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S: Full-time-equivalent staff, state and territory specialised mental health care facilities, by staffing category, 2007–08  "/>
        <w:tblDescription w:val="Table showing, in 2007-08, the number of full-time-equivalent (FTE) staff in specialised mental health care facilities across Tas region types.  Inner regional areas have the highest number of all types of FTE staff at 666.5. Nurses were the highest FTE staff type overall, across all region types, at 348.1. The major cities category was not applicable."/>
      </w:tblPr>
      <w:tblGrid>
        <w:gridCol w:w="2412"/>
        <w:gridCol w:w="1147"/>
        <w:gridCol w:w="1355"/>
        <w:gridCol w:w="1225"/>
        <w:gridCol w:w="1023"/>
        <w:gridCol w:w="1070"/>
        <w:gridCol w:w="1054"/>
      </w:tblGrid>
      <w:tr w:rsidR="00E17C0A" w:rsidRPr="00EF5802" w:rsidTr="000C3DEA">
        <w:trPr>
          <w:tblHeader/>
        </w:trPr>
        <w:tc>
          <w:tcPr>
            <w:tcW w:w="2412" w:type="dxa"/>
          </w:tcPr>
          <w:p w:rsidR="00E17C0A" w:rsidRPr="00EF5802" w:rsidRDefault="00E17C0A" w:rsidP="005B2C04">
            <w:pPr>
              <w:pStyle w:val="TableFigText"/>
              <w:keepNext/>
              <w:rPr>
                <w:rFonts w:asciiTheme="minorHAnsi" w:hAnsiTheme="minorHAnsi" w:cstheme="minorHAnsi"/>
                <w:szCs w:val="22"/>
              </w:rPr>
            </w:pPr>
          </w:p>
        </w:tc>
        <w:tc>
          <w:tcPr>
            <w:tcW w:w="1147"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Major cities</w:t>
            </w:r>
          </w:p>
        </w:tc>
        <w:tc>
          <w:tcPr>
            <w:tcW w:w="1355"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Inner regional</w:t>
            </w:r>
          </w:p>
        </w:tc>
        <w:tc>
          <w:tcPr>
            <w:tcW w:w="1225"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Outer regional</w:t>
            </w:r>
          </w:p>
        </w:tc>
        <w:tc>
          <w:tcPr>
            <w:tcW w:w="1023"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Remote</w:t>
            </w:r>
          </w:p>
        </w:tc>
        <w:tc>
          <w:tcPr>
            <w:tcW w:w="1070"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Very remote</w:t>
            </w:r>
          </w:p>
        </w:tc>
        <w:tc>
          <w:tcPr>
            <w:tcW w:w="1054"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Total</w:t>
            </w:r>
            <w:r w:rsidRPr="00E86D05">
              <w:rPr>
                <w:rFonts w:asciiTheme="minorHAnsi" w:hAnsiTheme="minorHAnsi" w:cstheme="minorHAnsi"/>
                <w:b/>
                <w:szCs w:val="22"/>
                <w:vertAlign w:val="superscript"/>
              </w:rPr>
              <w:t>(a)</w:t>
            </w:r>
          </w:p>
        </w:tc>
      </w:tr>
      <w:tr w:rsidR="00E17C0A" w:rsidRPr="00EF5802" w:rsidTr="005B2C04">
        <w:tc>
          <w:tcPr>
            <w:tcW w:w="2412" w:type="dxa"/>
          </w:tcPr>
          <w:p w:rsidR="00E17C0A" w:rsidRPr="00EF5802" w:rsidRDefault="00E17C0A" w:rsidP="005B2C04">
            <w:pPr>
              <w:pStyle w:val="TableFigText"/>
              <w:keepNext/>
              <w:rPr>
                <w:rFonts w:asciiTheme="minorHAnsi" w:hAnsiTheme="minorHAnsi" w:cstheme="minorHAnsi"/>
                <w:szCs w:val="22"/>
              </w:rPr>
            </w:pPr>
            <w:r w:rsidRPr="00EF5802">
              <w:rPr>
                <w:rFonts w:asciiTheme="minorHAnsi" w:hAnsiTheme="minorHAnsi" w:cstheme="minorHAnsi"/>
                <w:szCs w:val="22"/>
              </w:rPr>
              <w:t>Consultant psychiatrists and psychiatrists</w:t>
            </w:r>
          </w:p>
        </w:tc>
        <w:tc>
          <w:tcPr>
            <w:tcW w:w="1147" w:type="dxa"/>
            <w:vAlign w:val="bottom"/>
          </w:tcPr>
          <w:p w:rsidR="00E17C0A" w:rsidRPr="00AB1427" w:rsidRDefault="00E17C0A" w:rsidP="00E2736D">
            <w:pPr>
              <w:pStyle w:val="TableFigText"/>
              <w:jc w:val="right"/>
            </w:pPr>
            <w:r w:rsidRPr="00AB1427">
              <w:t>n/a</w:t>
            </w:r>
          </w:p>
        </w:tc>
        <w:tc>
          <w:tcPr>
            <w:tcW w:w="1355" w:type="dxa"/>
            <w:vAlign w:val="bottom"/>
          </w:tcPr>
          <w:p w:rsidR="00E17C0A" w:rsidRPr="00AB1427" w:rsidRDefault="00E17C0A" w:rsidP="00E2736D">
            <w:pPr>
              <w:pStyle w:val="TableFigText"/>
              <w:jc w:val="right"/>
            </w:pPr>
            <w:r w:rsidRPr="00AB1427">
              <w:t>22.9</w:t>
            </w:r>
          </w:p>
        </w:tc>
        <w:tc>
          <w:tcPr>
            <w:tcW w:w="1225" w:type="dxa"/>
            <w:vAlign w:val="bottom"/>
          </w:tcPr>
          <w:p w:rsidR="00E17C0A" w:rsidRPr="00AB1427" w:rsidRDefault="00E17C0A" w:rsidP="00E2736D">
            <w:pPr>
              <w:pStyle w:val="TableFigText"/>
              <w:jc w:val="right"/>
            </w:pPr>
            <w:r w:rsidRPr="00AB1427">
              <w:t>4.1</w:t>
            </w:r>
          </w:p>
        </w:tc>
        <w:tc>
          <w:tcPr>
            <w:tcW w:w="1023" w:type="dxa"/>
            <w:vAlign w:val="bottom"/>
          </w:tcPr>
          <w:p w:rsidR="00E17C0A" w:rsidRPr="00AB1427" w:rsidRDefault="00E17C0A" w:rsidP="00E2736D">
            <w:pPr>
              <w:pStyle w:val="TableFigText"/>
              <w:jc w:val="right"/>
            </w:pPr>
            <w:r w:rsidRPr="00AB1427">
              <w:t>0.0</w:t>
            </w:r>
          </w:p>
        </w:tc>
        <w:tc>
          <w:tcPr>
            <w:tcW w:w="1070" w:type="dxa"/>
            <w:vAlign w:val="bottom"/>
          </w:tcPr>
          <w:p w:rsidR="00E17C0A" w:rsidRPr="00AB1427" w:rsidRDefault="00E17C0A" w:rsidP="00E2736D">
            <w:pPr>
              <w:pStyle w:val="TableFigText"/>
              <w:jc w:val="right"/>
            </w:pPr>
            <w:r w:rsidRPr="00AB1427">
              <w:t>0.0</w:t>
            </w:r>
          </w:p>
        </w:tc>
        <w:tc>
          <w:tcPr>
            <w:tcW w:w="1054" w:type="dxa"/>
            <w:vAlign w:val="bottom"/>
          </w:tcPr>
          <w:p w:rsidR="00E17C0A" w:rsidRPr="00AB1427" w:rsidRDefault="00E17C0A" w:rsidP="00E2736D">
            <w:pPr>
              <w:pStyle w:val="TableFigText"/>
              <w:jc w:val="right"/>
            </w:pPr>
            <w:r w:rsidRPr="00AB1427">
              <w:t>27.0</w:t>
            </w:r>
          </w:p>
        </w:tc>
      </w:tr>
      <w:tr w:rsidR="00E17C0A" w:rsidRPr="00EF5802" w:rsidTr="005B2C04">
        <w:tc>
          <w:tcPr>
            <w:tcW w:w="2412" w:type="dxa"/>
          </w:tcPr>
          <w:p w:rsidR="00E17C0A" w:rsidRPr="00EF5802" w:rsidRDefault="00E17C0A" w:rsidP="005B2C04">
            <w:pPr>
              <w:pStyle w:val="TableFigText"/>
              <w:keepNext/>
              <w:rPr>
                <w:rFonts w:asciiTheme="minorHAnsi" w:hAnsiTheme="minorHAnsi" w:cstheme="minorHAnsi"/>
                <w:szCs w:val="22"/>
              </w:rPr>
            </w:pPr>
            <w:r w:rsidRPr="00EF5802">
              <w:rPr>
                <w:rFonts w:asciiTheme="minorHAnsi" w:hAnsiTheme="minorHAnsi" w:cstheme="minorHAnsi"/>
                <w:szCs w:val="22"/>
              </w:rPr>
              <w:t>Psychiatry registrars and trainees</w:t>
            </w:r>
          </w:p>
        </w:tc>
        <w:tc>
          <w:tcPr>
            <w:tcW w:w="1147" w:type="dxa"/>
          </w:tcPr>
          <w:p w:rsidR="00E17C0A" w:rsidRPr="00AB1427" w:rsidRDefault="00E17C0A" w:rsidP="00E2736D">
            <w:pPr>
              <w:pStyle w:val="TableFigText"/>
              <w:jc w:val="right"/>
            </w:pPr>
            <w:r w:rsidRPr="00AB1427">
              <w:t>n/a</w:t>
            </w:r>
          </w:p>
        </w:tc>
        <w:tc>
          <w:tcPr>
            <w:tcW w:w="1355" w:type="dxa"/>
            <w:vAlign w:val="bottom"/>
          </w:tcPr>
          <w:p w:rsidR="00E17C0A" w:rsidRPr="00AB1427" w:rsidRDefault="00E17C0A" w:rsidP="00E2736D">
            <w:pPr>
              <w:pStyle w:val="TableFigText"/>
              <w:jc w:val="right"/>
            </w:pPr>
            <w:r w:rsidRPr="00AB1427">
              <w:t>15.5</w:t>
            </w:r>
          </w:p>
        </w:tc>
        <w:tc>
          <w:tcPr>
            <w:tcW w:w="1225" w:type="dxa"/>
            <w:vAlign w:val="bottom"/>
          </w:tcPr>
          <w:p w:rsidR="00E17C0A" w:rsidRPr="00AB1427" w:rsidRDefault="00E17C0A" w:rsidP="00E2736D">
            <w:pPr>
              <w:pStyle w:val="TableFigText"/>
              <w:jc w:val="right"/>
            </w:pPr>
            <w:r w:rsidRPr="00AB1427">
              <w:t>0.6</w:t>
            </w:r>
          </w:p>
        </w:tc>
        <w:tc>
          <w:tcPr>
            <w:tcW w:w="1023" w:type="dxa"/>
            <w:vAlign w:val="bottom"/>
          </w:tcPr>
          <w:p w:rsidR="00E17C0A" w:rsidRPr="00AB1427" w:rsidRDefault="00E17C0A" w:rsidP="00E2736D">
            <w:pPr>
              <w:pStyle w:val="TableFigText"/>
              <w:jc w:val="right"/>
            </w:pPr>
            <w:r w:rsidRPr="00AB1427">
              <w:t>0.0</w:t>
            </w:r>
          </w:p>
        </w:tc>
        <w:tc>
          <w:tcPr>
            <w:tcW w:w="1070" w:type="dxa"/>
            <w:vAlign w:val="bottom"/>
          </w:tcPr>
          <w:p w:rsidR="00E17C0A" w:rsidRPr="00AB1427" w:rsidRDefault="00E17C0A" w:rsidP="00E2736D">
            <w:pPr>
              <w:pStyle w:val="TableFigText"/>
              <w:jc w:val="right"/>
            </w:pPr>
            <w:r w:rsidRPr="00AB1427">
              <w:t>0.0</w:t>
            </w:r>
          </w:p>
        </w:tc>
        <w:tc>
          <w:tcPr>
            <w:tcW w:w="1054" w:type="dxa"/>
            <w:vAlign w:val="bottom"/>
          </w:tcPr>
          <w:p w:rsidR="00E17C0A" w:rsidRPr="00AB1427" w:rsidRDefault="00E17C0A" w:rsidP="00E2736D">
            <w:pPr>
              <w:pStyle w:val="TableFigText"/>
              <w:jc w:val="right"/>
            </w:pPr>
            <w:r w:rsidRPr="00AB1427">
              <w:t>16.0</w:t>
            </w:r>
          </w:p>
        </w:tc>
      </w:tr>
      <w:tr w:rsidR="00E17C0A" w:rsidRPr="00EF5802" w:rsidTr="005B2C04">
        <w:tc>
          <w:tcPr>
            <w:tcW w:w="2412" w:type="dxa"/>
          </w:tcPr>
          <w:p w:rsidR="00E17C0A" w:rsidRPr="00EF5802" w:rsidRDefault="00E17C0A" w:rsidP="005B2C04">
            <w:pPr>
              <w:pStyle w:val="TableFigText"/>
              <w:keepNext/>
              <w:rPr>
                <w:rFonts w:asciiTheme="minorHAnsi" w:hAnsiTheme="minorHAnsi" w:cstheme="minorHAnsi"/>
                <w:szCs w:val="22"/>
              </w:rPr>
            </w:pPr>
            <w:r w:rsidRPr="00EF5802">
              <w:rPr>
                <w:rFonts w:asciiTheme="minorHAnsi" w:hAnsiTheme="minorHAnsi" w:cstheme="minorHAnsi"/>
                <w:szCs w:val="22"/>
              </w:rPr>
              <w:t>Other medical officers</w:t>
            </w:r>
          </w:p>
        </w:tc>
        <w:tc>
          <w:tcPr>
            <w:tcW w:w="1147" w:type="dxa"/>
          </w:tcPr>
          <w:p w:rsidR="00E17C0A" w:rsidRPr="00AB1427" w:rsidRDefault="00E17C0A" w:rsidP="00E2736D">
            <w:pPr>
              <w:pStyle w:val="TableFigText"/>
              <w:jc w:val="right"/>
            </w:pPr>
            <w:r w:rsidRPr="00AB1427">
              <w:t>n/a</w:t>
            </w:r>
          </w:p>
        </w:tc>
        <w:tc>
          <w:tcPr>
            <w:tcW w:w="1355" w:type="dxa"/>
            <w:vAlign w:val="bottom"/>
          </w:tcPr>
          <w:p w:rsidR="00E17C0A" w:rsidRPr="00AB1427" w:rsidRDefault="00E17C0A" w:rsidP="00E2736D">
            <w:pPr>
              <w:pStyle w:val="TableFigText"/>
              <w:jc w:val="right"/>
            </w:pPr>
            <w:r w:rsidRPr="00AB1427">
              <w:t>0.9</w:t>
            </w:r>
          </w:p>
        </w:tc>
        <w:tc>
          <w:tcPr>
            <w:tcW w:w="1225" w:type="dxa"/>
            <w:vAlign w:val="bottom"/>
          </w:tcPr>
          <w:p w:rsidR="00E17C0A" w:rsidRPr="00AB1427" w:rsidRDefault="00E17C0A" w:rsidP="00E2736D">
            <w:pPr>
              <w:pStyle w:val="TableFigText"/>
              <w:jc w:val="right"/>
            </w:pPr>
            <w:r w:rsidRPr="00AB1427">
              <w:t>0.0</w:t>
            </w:r>
          </w:p>
        </w:tc>
        <w:tc>
          <w:tcPr>
            <w:tcW w:w="1023" w:type="dxa"/>
            <w:vAlign w:val="bottom"/>
          </w:tcPr>
          <w:p w:rsidR="00E17C0A" w:rsidRPr="00AB1427" w:rsidRDefault="00E17C0A" w:rsidP="00E2736D">
            <w:pPr>
              <w:pStyle w:val="TableFigText"/>
              <w:jc w:val="right"/>
            </w:pPr>
            <w:r w:rsidRPr="00AB1427">
              <w:t>0.0</w:t>
            </w:r>
          </w:p>
        </w:tc>
        <w:tc>
          <w:tcPr>
            <w:tcW w:w="1070" w:type="dxa"/>
            <w:vAlign w:val="bottom"/>
          </w:tcPr>
          <w:p w:rsidR="00E17C0A" w:rsidRPr="00AB1427" w:rsidRDefault="00E17C0A" w:rsidP="00E2736D">
            <w:pPr>
              <w:pStyle w:val="TableFigText"/>
              <w:jc w:val="right"/>
            </w:pPr>
            <w:r w:rsidRPr="00AB1427">
              <w:t>0.0</w:t>
            </w:r>
          </w:p>
        </w:tc>
        <w:tc>
          <w:tcPr>
            <w:tcW w:w="1054" w:type="dxa"/>
            <w:vAlign w:val="bottom"/>
          </w:tcPr>
          <w:p w:rsidR="00E17C0A" w:rsidRPr="00AB1427" w:rsidRDefault="00E17C0A" w:rsidP="00E2736D">
            <w:pPr>
              <w:pStyle w:val="TableFigText"/>
              <w:jc w:val="right"/>
            </w:pPr>
            <w:r w:rsidRPr="00AB1427">
              <w:t>0.9</w:t>
            </w:r>
          </w:p>
        </w:tc>
      </w:tr>
      <w:tr w:rsidR="00E17C0A" w:rsidRPr="00EF5802" w:rsidTr="005B2C04">
        <w:tc>
          <w:tcPr>
            <w:tcW w:w="2412" w:type="dxa"/>
          </w:tcPr>
          <w:p w:rsidR="00E17C0A" w:rsidRPr="00EF5802" w:rsidRDefault="00E17C0A" w:rsidP="005B2C04">
            <w:pPr>
              <w:pStyle w:val="TableFigText"/>
              <w:keepNext/>
              <w:rPr>
                <w:rFonts w:asciiTheme="minorHAnsi" w:hAnsiTheme="minorHAnsi" w:cstheme="minorHAnsi"/>
                <w:szCs w:val="22"/>
              </w:rPr>
            </w:pPr>
            <w:r w:rsidRPr="00EF5802">
              <w:rPr>
                <w:rFonts w:asciiTheme="minorHAnsi" w:hAnsiTheme="minorHAnsi" w:cstheme="minorHAnsi"/>
                <w:szCs w:val="22"/>
              </w:rPr>
              <w:t>Psychologists</w:t>
            </w:r>
          </w:p>
        </w:tc>
        <w:tc>
          <w:tcPr>
            <w:tcW w:w="1147" w:type="dxa"/>
          </w:tcPr>
          <w:p w:rsidR="00E17C0A" w:rsidRPr="00AB1427" w:rsidRDefault="00E17C0A" w:rsidP="00E2736D">
            <w:pPr>
              <w:pStyle w:val="TableFigText"/>
              <w:jc w:val="right"/>
            </w:pPr>
            <w:r w:rsidRPr="00AB1427">
              <w:t>n/a</w:t>
            </w:r>
          </w:p>
        </w:tc>
        <w:tc>
          <w:tcPr>
            <w:tcW w:w="1355" w:type="dxa"/>
            <w:vAlign w:val="bottom"/>
          </w:tcPr>
          <w:p w:rsidR="00E17C0A" w:rsidRPr="00AB1427" w:rsidRDefault="00E17C0A" w:rsidP="00E2736D">
            <w:pPr>
              <w:pStyle w:val="TableFigText"/>
              <w:jc w:val="right"/>
            </w:pPr>
            <w:r w:rsidRPr="00AB1427">
              <w:t>20.3</w:t>
            </w:r>
          </w:p>
        </w:tc>
        <w:tc>
          <w:tcPr>
            <w:tcW w:w="1225" w:type="dxa"/>
            <w:vAlign w:val="bottom"/>
          </w:tcPr>
          <w:p w:rsidR="00E17C0A" w:rsidRPr="00AB1427" w:rsidRDefault="00E17C0A" w:rsidP="00E2736D">
            <w:pPr>
              <w:pStyle w:val="TableFigText"/>
              <w:jc w:val="right"/>
            </w:pPr>
            <w:r w:rsidRPr="00AB1427">
              <w:t>4.5</w:t>
            </w:r>
          </w:p>
        </w:tc>
        <w:tc>
          <w:tcPr>
            <w:tcW w:w="1023" w:type="dxa"/>
            <w:vAlign w:val="bottom"/>
          </w:tcPr>
          <w:p w:rsidR="00E17C0A" w:rsidRPr="00AB1427" w:rsidRDefault="00E17C0A" w:rsidP="00E2736D">
            <w:pPr>
              <w:pStyle w:val="TableFigText"/>
              <w:jc w:val="right"/>
            </w:pPr>
            <w:r w:rsidRPr="00AB1427">
              <w:t>0.0</w:t>
            </w:r>
          </w:p>
        </w:tc>
        <w:tc>
          <w:tcPr>
            <w:tcW w:w="1070" w:type="dxa"/>
            <w:vAlign w:val="bottom"/>
          </w:tcPr>
          <w:p w:rsidR="00E17C0A" w:rsidRPr="00AB1427" w:rsidRDefault="00E17C0A" w:rsidP="00E2736D">
            <w:pPr>
              <w:pStyle w:val="TableFigText"/>
              <w:jc w:val="right"/>
            </w:pPr>
            <w:r w:rsidRPr="00AB1427">
              <w:t>0.0</w:t>
            </w:r>
          </w:p>
        </w:tc>
        <w:tc>
          <w:tcPr>
            <w:tcW w:w="1054" w:type="dxa"/>
            <w:vAlign w:val="bottom"/>
          </w:tcPr>
          <w:p w:rsidR="00E17C0A" w:rsidRPr="00AB1427" w:rsidRDefault="00E17C0A" w:rsidP="00E2736D">
            <w:pPr>
              <w:pStyle w:val="TableFigText"/>
              <w:jc w:val="right"/>
            </w:pPr>
            <w:r w:rsidRPr="00AB1427">
              <w:t>24.8</w:t>
            </w:r>
          </w:p>
        </w:tc>
      </w:tr>
      <w:tr w:rsidR="00E17C0A" w:rsidRPr="00EF5802" w:rsidTr="005B2C04">
        <w:tc>
          <w:tcPr>
            <w:tcW w:w="2412" w:type="dxa"/>
          </w:tcPr>
          <w:p w:rsidR="00E17C0A" w:rsidRPr="00EF5802" w:rsidRDefault="00E17C0A" w:rsidP="005B2C04">
            <w:pPr>
              <w:pStyle w:val="TableFigText"/>
              <w:keepNext/>
              <w:rPr>
                <w:rFonts w:asciiTheme="minorHAnsi" w:hAnsiTheme="minorHAnsi" w:cstheme="minorHAnsi"/>
                <w:szCs w:val="22"/>
              </w:rPr>
            </w:pPr>
            <w:r w:rsidRPr="00EF5802">
              <w:rPr>
                <w:rFonts w:asciiTheme="minorHAnsi" w:hAnsiTheme="minorHAnsi" w:cstheme="minorHAnsi"/>
                <w:szCs w:val="22"/>
              </w:rPr>
              <w:t>Diagnostic and health professionals</w:t>
            </w:r>
            <w:r w:rsidRPr="00EF5802">
              <w:rPr>
                <w:rFonts w:asciiTheme="minorHAnsi" w:hAnsiTheme="minorHAnsi" w:cstheme="minorHAnsi"/>
                <w:szCs w:val="22"/>
                <w:vertAlign w:val="superscript"/>
              </w:rPr>
              <w:t>(b)</w:t>
            </w:r>
          </w:p>
        </w:tc>
        <w:tc>
          <w:tcPr>
            <w:tcW w:w="1147" w:type="dxa"/>
          </w:tcPr>
          <w:p w:rsidR="00E17C0A" w:rsidRPr="00AB1427" w:rsidRDefault="00E17C0A" w:rsidP="00E2736D">
            <w:pPr>
              <w:pStyle w:val="TableFigText"/>
              <w:jc w:val="right"/>
            </w:pPr>
            <w:r w:rsidRPr="00AB1427">
              <w:t>n/a</w:t>
            </w:r>
          </w:p>
        </w:tc>
        <w:tc>
          <w:tcPr>
            <w:tcW w:w="1355" w:type="dxa"/>
            <w:vAlign w:val="bottom"/>
          </w:tcPr>
          <w:p w:rsidR="00E17C0A" w:rsidRPr="00AB1427" w:rsidRDefault="00E17C0A" w:rsidP="00E2736D">
            <w:pPr>
              <w:pStyle w:val="TableFigText"/>
              <w:jc w:val="right"/>
            </w:pPr>
            <w:r w:rsidRPr="00AB1427">
              <w:t>55.9</w:t>
            </w:r>
          </w:p>
        </w:tc>
        <w:tc>
          <w:tcPr>
            <w:tcW w:w="1225" w:type="dxa"/>
            <w:vAlign w:val="bottom"/>
          </w:tcPr>
          <w:p w:rsidR="00E17C0A" w:rsidRPr="00AB1427" w:rsidRDefault="00E17C0A" w:rsidP="00E2736D">
            <w:pPr>
              <w:pStyle w:val="TableFigText"/>
              <w:jc w:val="right"/>
            </w:pPr>
            <w:r w:rsidRPr="00AB1427">
              <w:t>12.3</w:t>
            </w:r>
          </w:p>
        </w:tc>
        <w:tc>
          <w:tcPr>
            <w:tcW w:w="1023" w:type="dxa"/>
            <w:vAlign w:val="bottom"/>
          </w:tcPr>
          <w:p w:rsidR="00E17C0A" w:rsidRPr="00AB1427" w:rsidRDefault="00E17C0A" w:rsidP="00E2736D">
            <w:pPr>
              <w:pStyle w:val="TableFigText"/>
              <w:jc w:val="right"/>
            </w:pPr>
            <w:r w:rsidRPr="00AB1427">
              <w:t>0.0</w:t>
            </w:r>
          </w:p>
        </w:tc>
        <w:tc>
          <w:tcPr>
            <w:tcW w:w="1070" w:type="dxa"/>
            <w:vAlign w:val="bottom"/>
          </w:tcPr>
          <w:p w:rsidR="00E17C0A" w:rsidRPr="00AB1427" w:rsidRDefault="00E17C0A" w:rsidP="00E2736D">
            <w:pPr>
              <w:pStyle w:val="TableFigText"/>
              <w:jc w:val="right"/>
            </w:pPr>
            <w:r w:rsidRPr="00AB1427">
              <w:t>0.0</w:t>
            </w:r>
          </w:p>
        </w:tc>
        <w:tc>
          <w:tcPr>
            <w:tcW w:w="1054" w:type="dxa"/>
            <w:vAlign w:val="bottom"/>
          </w:tcPr>
          <w:p w:rsidR="00E17C0A" w:rsidRPr="00AB1427" w:rsidRDefault="00E17C0A" w:rsidP="00E2736D">
            <w:pPr>
              <w:pStyle w:val="TableFigText"/>
              <w:jc w:val="right"/>
            </w:pPr>
            <w:r w:rsidRPr="00AB1427">
              <w:t>68.2</w:t>
            </w:r>
          </w:p>
        </w:tc>
      </w:tr>
      <w:tr w:rsidR="00E17C0A" w:rsidRPr="00EF5802" w:rsidTr="005B2C04">
        <w:tc>
          <w:tcPr>
            <w:tcW w:w="2412" w:type="dxa"/>
          </w:tcPr>
          <w:p w:rsidR="00E17C0A" w:rsidRPr="00EF5802" w:rsidRDefault="00E17C0A" w:rsidP="005B2C04">
            <w:pPr>
              <w:pStyle w:val="TableFigText"/>
              <w:keepNext/>
              <w:rPr>
                <w:rFonts w:asciiTheme="minorHAnsi" w:hAnsiTheme="minorHAnsi" w:cstheme="minorHAnsi"/>
                <w:szCs w:val="22"/>
              </w:rPr>
            </w:pPr>
            <w:r w:rsidRPr="00EF5802">
              <w:rPr>
                <w:rFonts w:asciiTheme="minorHAnsi" w:hAnsiTheme="minorHAnsi" w:cstheme="minorHAnsi"/>
                <w:szCs w:val="22"/>
              </w:rPr>
              <w:t>Nurses</w:t>
            </w:r>
            <w:r w:rsidRPr="00EF5802">
              <w:rPr>
                <w:rFonts w:asciiTheme="minorHAnsi" w:hAnsiTheme="minorHAnsi" w:cstheme="minorHAnsi"/>
                <w:szCs w:val="22"/>
                <w:vertAlign w:val="superscript"/>
              </w:rPr>
              <w:t>(c)</w:t>
            </w:r>
          </w:p>
        </w:tc>
        <w:tc>
          <w:tcPr>
            <w:tcW w:w="1147" w:type="dxa"/>
          </w:tcPr>
          <w:p w:rsidR="00E17C0A" w:rsidRPr="00AB1427" w:rsidRDefault="00E17C0A" w:rsidP="00E2736D">
            <w:pPr>
              <w:pStyle w:val="TableFigText"/>
              <w:jc w:val="right"/>
            </w:pPr>
            <w:r w:rsidRPr="00AB1427">
              <w:t>n/a</w:t>
            </w:r>
          </w:p>
        </w:tc>
        <w:tc>
          <w:tcPr>
            <w:tcW w:w="1355" w:type="dxa"/>
            <w:vAlign w:val="bottom"/>
          </w:tcPr>
          <w:p w:rsidR="00E17C0A" w:rsidRPr="00AB1427" w:rsidRDefault="00E17C0A" w:rsidP="00E2736D">
            <w:pPr>
              <w:pStyle w:val="TableFigText"/>
              <w:jc w:val="right"/>
            </w:pPr>
            <w:r w:rsidRPr="00AB1427">
              <w:t>310.6</w:t>
            </w:r>
          </w:p>
        </w:tc>
        <w:tc>
          <w:tcPr>
            <w:tcW w:w="1225" w:type="dxa"/>
            <w:vAlign w:val="bottom"/>
          </w:tcPr>
          <w:p w:rsidR="00E17C0A" w:rsidRPr="00AB1427" w:rsidRDefault="00E17C0A" w:rsidP="00E2736D">
            <w:pPr>
              <w:pStyle w:val="TableFigText"/>
              <w:jc w:val="right"/>
            </w:pPr>
            <w:r w:rsidRPr="00AB1427">
              <w:t>37.5</w:t>
            </w:r>
          </w:p>
        </w:tc>
        <w:tc>
          <w:tcPr>
            <w:tcW w:w="1023" w:type="dxa"/>
            <w:vAlign w:val="bottom"/>
          </w:tcPr>
          <w:p w:rsidR="00E17C0A" w:rsidRPr="00AB1427" w:rsidRDefault="00E17C0A" w:rsidP="00E2736D">
            <w:pPr>
              <w:pStyle w:val="TableFigText"/>
              <w:jc w:val="right"/>
            </w:pPr>
            <w:r w:rsidRPr="00AB1427">
              <w:t>0.0</w:t>
            </w:r>
          </w:p>
        </w:tc>
        <w:tc>
          <w:tcPr>
            <w:tcW w:w="1070" w:type="dxa"/>
            <w:vAlign w:val="bottom"/>
          </w:tcPr>
          <w:p w:rsidR="00E17C0A" w:rsidRPr="00AB1427" w:rsidRDefault="00E17C0A" w:rsidP="00E2736D">
            <w:pPr>
              <w:pStyle w:val="TableFigText"/>
              <w:jc w:val="right"/>
            </w:pPr>
            <w:r w:rsidRPr="00AB1427">
              <w:t>0.0</w:t>
            </w:r>
          </w:p>
        </w:tc>
        <w:tc>
          <w:tcPr>
            <w:tcW w:w="1054" w:type="dxa"/>
            <w:vAlign w:val="bottom"/>
          </w:tcPr>
          <w:p w:rsidR="00E17C0A" w:rsidRPr="00AB1427" w:rsidRDefault="00E17C0A" w:rsidP="00E2736D">
            <w:pPr>
              <w:pStyle w:val="TableFigText"/>
              <w:jc w:val="right"/>
            </w:pPr>
            <w:r w:rsidRPr="00AB1427">
              <w:t>348.1</w:t>
            </w:r>
          </w:p>
        </w:tc>
      </w:tr>
      <w:tr w:rsidR="00E17C0A" w:rsidRPr="00EF5802" w:rsidTr="005B2C04">
        <w:tc>
          <w:tcPr>
            <w:tcW w:w="2412" w:type="dxa"/>
          </w:tcPr>
          <w:p w:rsidR="00E17C0A" w:rsidRPr="00EF5802" w:rsidRDefault="00E17C0A" w:rsidP="005B2C04">
            <w:pPr>
              <w:pStyle w:val="TableFigText"/>
              <w:keepNext/>
              <w:rPr>
                <w:rFonts w:asciiTheme="minorHAnsi" w:hAnsiTheme="minorHAnsi" w:cstheme="minorHAnsi"/>
                <w:szCs w:val="22"/>
              </w:rPr>
            </w:pPr>
            <w:r w:rsidRPr="00EF5802">
              <w:rPr>
                <w:rFonts w:asciiTheme="minorHAnsi" w:hAnsiTheme="minorHAnsi" w:cstheme="minorHAnsi"/>
                <w:szCs w:val="22"/>
              </w:rPr>
              <w:t>Carer workers</w:t>
            </w:r>
            <w:r w:rsidRPr="00EF5802">
              <w:rPr>
                <w:rFonts w:asciiTheme="minorHAnsi" w:hAnsiTheme="minorHAnsi" w:cstheme="minorHAnsi"/>
                <w:szCs w:val="22"/>
                <w:vertAlign w:val="superscript"/>
              </w:rPr>
              <w:t>(d)</w:t>
            </w:r>
          </w:p>
        </w:tc>
        <w:tc>
          <w:tcPr>
            <w:tcW w:w="1147" w:type="dxa"/>
          </w:tcPr>
          <w:p w:rsidR="00E17C0A" w:rsidRPr="00AB1427" w:rsidRDefault="00E17C0A" w:rsidP="00E2736D">
            <w:pPr>
              <w:pStyle w:val="TableFigText"/>
              <w:jc w:val="right"/>
            </w:pPr>
            <w:r w:rsidRPr="00AB1427">
              <w:t>n/a</w:t>
            </w:r>
          </w:p>
        </w:tc>
        <w:tc>
          <w:tcPr>
            <w:tcW w:w="1355" w:type="dxa"/>
            <w:vAlign w:val="bottom"/>
          </w:tcPr>
          <w:p w:rsidR="00E17C0A" w:rsidRPr="00AB1427" w:rsidRDefault="00E17C0A" w:rsidP="00E2736D">
            <w:pPr>
              <w:pStyle w:val="TableFigText"/>
              <w:jc w:val="right"/>
            </w:pPr>
            <w:r w:rsidRPr="00AB1427">
              <w:t>0.0</w:t>
            </w:r>
          </w:p>
        </w:tc>
        <w:tc>
          <w:tcPr>
            <w:tcW w:w="1225" w:type="dxa"/>
            <w:vAlign w:val="bottom"/>
          </w:tcPr>
          <w:p w:rsidR="00E17C0A" w:rsidRPr="00AB1427" w:rsidRDefault="00E17C0A" w:rsidP="00E2736D">
            <w:pPr>
              <w:pStyle w:val="TableFigText"/>
              <w:jc w:val="right"/>
            </w:pPr>
            <w:r w:rsidRPr="00AB1427">
              <w:t>0.0</w:t>
            </w:r>
          </w:p>
        </w:tc>
        <w:tc>
          <w:tcPr>
            <w:tcW w:w="1023" w:type="dxa"/>
            <w:vAlign w:val="bottom"/>
          </w:tcPr>
          <w:p w:rsidR="00E17C0A" w:rsidRPr="00AB1427" w:rsidRDefault="00E17C0A" w:rsidP="00E2736D">
            <w:pPr>
              <w:pStyle w:val="TableFigText"/>
              <w:jc w:val="right"/>
            </w:pPr>
            <w:r w:rsidRPr="00AB1427">
              <w:t>0.0</w:t>
            </w:r>
          </w:p>
        </w:tc>
        <w:tc>
          <w:tcPr>
            <w:tcW w:w="1070" w:type="dxa"/>
            <w:vAlign w:val="bottom"/>
          </w:tcPr>
          <w:p w:rsidR="00E17C0A" w:rsidRPr="00AB1427" w:rsidRDefault="00E17C0A" w:rsidP="00E2736D">
            <w:pPr>
              <w:pStyle w:val="TableFigText"/>
              <w:jc w:val="right"/>
            </w:pPr>
            <w:r w:rsidRPr="00AB1427">
              <w:t>0.0</w:t>
            </w:r>
          </w:p>
        </w:tc>
        <w:tc>
          <w:tcPr>
            <w:tcW w:w="1054" w:type="dxa"/>
            <w:vAlign w:val="bottom"/>
          </w:tcPr>
          <w:p w:rsidR="00E17C0A" w:rsidRPr="00AB1427" w:rsidRDefault="00E17C0A" w:rsidP="00E2736D">
            <w:pPr>
              <w:pStyle w:val="TableFigText"/>
              <w:jc w:val="right"/>
            </w:pPr>
            <w:r w:rsidRPr="00AB1427">
              <w:t>0.0</w:t>
            </w:r>
          </w:p>
        </w:tc>
      </w:tr>
      <w:tr w:rsidR="00E17C0A" w:rsidRPr="00EF5802" w:rsidTr="005B2C04">
        <w:tc>
          <w:tcPr>
            <w:tcW w:w="2412" w:type="dxa"/>
          </w:tcPr>
          <w:p w:rsidR="00E17C0A" w:rsidRPr="00EF5802" w:rsidRDefault="00E17C0A" w:rsidP="005B2C04">
            <w:pPr>
              <w:pStyle w:val="TableFigText"/>
              <w:keepNext/>
              <w:rPr>
                <w:rFonts w:asciiTheme="minorHAnsi" w:hAnsiTheme="minorHAnsi" w:cstheme="minorHAnsi"/>
                <w:szCs w:val="22"/>
              </w:rPr>
            </w:pPr>
            <w:r w:rsidRPr="00EF5802">
              <w:rPr>
                <w:rFonts w:asciiTheme="minorHAnsi" w:hAnsiTheme="minorHAnsi" w:cstheme="minorHAnsi"/>
                <w:szCs w:val="22"/>
              </w:rPr>
              <w:t>Consumer workers</w:t>
            </w:r>
            <w:r w:rsidRPr="00EF5802">
              <w:rPr>
                <w:rFonts w:asciiTheme="minorHAnsi" w:hAnsiTheme="minorHAnsi" w:cstheme="minorHAnsi"/>
                <w:szCs w:val="22"/>
                <w:vertAlign w:val="superscript"/>
              </w:rPr>
              <w:t>(d)</w:t>
            </w:r>
          </w:p>
        </w:tc>
        <w:tc>
          <w:tcPr>
            <w:tcW w:w="1147" w:type="dxa"/>
          </w:tcPr>
          <w:p w:rsidR="00E17C0A" w:rsidRPr="00AB1427" w:rsidRDefault="00E17C0A" w:rsidP="00E2736D">
            <w:pPr>
              <w:pStyle w:val="TableFigText"/>
              <w:jc w:val="right"/>
            </w:pPr>
            <w:r w:rsidRPr="00AB1427">
              <w:t>n/a</w:t>
            </w:r>
          </w:p>
        </w:tc>
        <w:tc>
          <w:tcPr>
            <w:tcW w:w="1355" w:type="dxa"/>
            <w:vAlign w:val="bottom"/>
          </w:tcPr>
          <w:p w:rsidR="00E17C0A" w:rsidRPr="00AB1427" w:rsidRDefault="00E17C0A" w:rsidP="00E2736D">
            <w:pPr>
              <w:pStyle w:val="TableFigText"/>
              <w:jc w:val="right"/>
            </w:pPr>
            <w:r w:rsidRPr="00AB1427">
              <w:t>0.0</w:t>
            </w:r>
          </w:p>
        </w:tc>
        <w:tc>
          <w:tcPr>
            <w:tcW w:w="1225" w:type="dxa"/>
            <w:vAlign w:val="bottom"/>
          </w:tcPr>
          <w:p w:rsidR="00E17C0A" w:rsidRPr="00AB1427" w:rsidRDefault="00E17C0A" w:rsidP="00E2736D">
            <w:pPr>
              <w:pStyle w:val="TableFigText"/>
              <w:jc w:val="right"/>
            </w:pPr>
            <w:r w:rsidRPr="00AB1427">
              <w:t>0.0</w:t>
            </w:r>
          </w:p>
        </w:tc>
        <w:tc>
          <w:tcPr>
            <w:tcW w:w="1023" w:type="dxa"/>
            <w:vAlign w:val="bottom"/>
          </w:tcPr>
          <w:p w:rsidR="00E17C0A" w:rsidRPr="00AB1427" w:rsidRDefault="00E17C0A" w:rsidP="00E2736D">
            <w:pPr>
              <w:pStyle w:val="TableFigText"/>
              <w:jc w:val="right"/>
            </w:pPr>
            <w:r w:rsidRPr="00AB1427">
              <w:t>0.0</w:t>
            </w:r>
          </w:p>
        </w:tc>
        <w:tc>
          <w:tcPr>
            <w:tcW w:w="1070" w:type="dxa"/>
            <w:vAlign w:val="bottom"/>
          </w:tcPr>
          <w:p w:rsidR="00E17C0A" w:rsidRPr="00AB1427" w:rsidRDefault="00E17C0A" w:rsidP="00E2736D">
            <w:pPr>
              <w:pStyle w:val="TableFigText"/>
              <w:jc w:val="right"/>
            </w:pPr>
            <w:r w:rsidRPr="00AB1427">
              <w:t>0.0</w:t>
            </w:r>
          </w:p>
        </w:tc>
        <w:tc>
          <w:tcPr>
            <w:tcW w:w="1054" w:type="dxa"/>
            <w:vAlign w:val="bottom"/>
          </w:tcPr>
          <w:p w:rsidR="00E17C0A" w:rsidRPr="00AB1427" w:rsidRDefault="00E17C0A" w:rsidP="00E2736D">
            <w:pPr>
              <w:pStyle w:val="TableFigText"/>
              <w:jc w:val="right"/>
            </w:pPr>
            <w:r w:rsidRPr="00AB1427">
              <w:t>0.0</w:t>
            </w:r>
          </w:p>
        </w:tc>
      </w:tr>
      <w:tr w:rsidR="00E17C0A" w:rsidRPr="00EF5802" w:rsidTr="005B2C04">
        <w:tc>
          <w:tcPr>
            <w:tcW w:w="2412" w:type="dxa"/>
          </w:tcPr>
          <w:p w:rsidR="00E17C0A" w:rsidRPr="00EF5802" w:rsidRDefault="00E17C0A" w:rsidP="005B2C04">
            <w:pPr>
              <w:pStyle w:val="TableFigText"/>
              <w:keepNext/>
              <w:rPr>
                <w:rFonts w:asciiTheme="minorHAnsi" w:hAnsiTheme="minorHAnsi" w:cstheme="minorHAnsi"/>
                <w:szCs w:val="22"/>
              </w:rPr>
            </w:pPr>
            <w:r w:rsidRPr="00EF5802">
              <w:rPr>
                <w:rFonts w:asciiTheme="minorHAnsi" w:hAnsiTheme="minorHAnsi" w:cstheme="minorHAnsi"/>
                <w:szCs w:val="22"/>
              </w:rPr>
              <w:t>Other personal care</w:t>
            </w:r>
            <w:r w:rsidRPr="00EF5802">
              <w:rPr>
                <w:rFonts w:asciiTheme="minorHAnsi" w:hAnsiTheme="minorHAnsi" w:cstheme="minorHAnsi"/>
                <w:szCs w:val="22"/>
                <w:vertAlign w:val="superscript"/>
              </w:rPr>
              <w:t>(e)</w:t>
            </w:r>
          </w:p>
        </w:tc>
        <w:tc>
          <w:tcPr>
            <w:tcW w:w="1147" w:type="dxa"/>
          </w:tcPr>
          <w:p w:rsidR="00E17C0A" w:rsidRPr="00AB1427" w:rsidRDefault="00E17C0A" w:rsidP="00E2736D">
            <w:pPr>
              <w:pStyle w:val="TableFigText"/>
              <w:jc w:val="right"/>
            </w:pPr>
            <w:r w:rsidRPr="00AB1427">
              <w:t>n/a</w:t>
            </w:r>
          </w:p>
        </w:tc>
        <w:tc>
          <w:tcPr>
            <w:tcW w:w="1355" w:type="dxa"/>
            <w:vAlign w:val="bottom"/>
          </w:tcPr>
          <w:p w:rsidR="00E17C0A" w:rsidRPr="00AB1427" w:rsidRDefault="00E17C0A" w:rsidP="00E2736D">
            <w:pPr>
              <w:pStyle w:val="TableFigText"/>
              <w:jc w:val="right"/>
            </w:pPr>
            <w:r w:rsidRPr="00AB1427">
              <w:t>134.8</w:t>
            </w:r>
          </w:p>
        </w:tc>
        <w:tc>
          <w:tcPr>
            <w:tcW w:w="1225" w:type="dxa"/>
            <w:vAlign w:val="bottom"/>
          </w:tcPr>
          <w:p w:rsidR="00E17C0A" w:rsidRPr="00AB1427" w:rsidRDefault="00E17C0A" w:rsidP="00E2736D">
            <w:pPr>
              <w:pStyle w:val="TableFigText"/>
              <w:jc w:val="right"/>
            </w:pPr>
            <w:r w:rsidRPr="00AB1427">
              <w:t>19.9</w:t>
            </w:r>
          </w:p>
        </w:tc>
        <w:tc>
          <w:tcPr>
            <w:tcW w:w="1023" w:type="dxa"/>
            <w:vAlign w:val="bottom"/>
          </w:tcPr>
          <w:p w:rsidR="00E17C0A" w:rsidRPr="00AB1427" w:rsidRDefault="00E17C0A" w:rsidP="00E2736D">
            <w:pPr>
              <w:pStyle w:val="TableFigText"/>
              <w:jc w:val="right"/>
            </w:pPr>
            <w:r w:rsidRPr="00AB1427">
              <w:t>0.0</w:t>
            </w:r>
          </w:p>
        </w:tc>
        <w:tc>
          <w:tcPr>
            <w:tcW w:w="1070" w:type="dxa"/>
            <w:vAlign w:val="bottom"/>
          </w:tcPr>
          <w:p w:rsidR="00E17C0A" w:rsidRPr="00AB1427" w:rsidRDefault="00E17C0A" w:rsidP="00E2736D">
            <w:pPr>
              <w:pStyle w:val="TableFigText"/>
              <w:jc w:val="right"/>
            </w:pPr>
            <w:r w:rsidRPr="00AB1427">
              <w:t>0.0</w:t>
            </w:r>
          </w:p>
        </w:tc>
        <w:tc>
          <w:tcPr>
            <w:tcW w:w="1054" w:type="dxa"/>
            <w:vAlign w:val="bottom"/>
          </w:tcPr>
          <w:p w:rsidR="00E17C0A" w:rsidRPr="00AB1427" w:rsidRDefault="00E17C0A" w:rsidP="00E2736D">
            <w:pPr>
              <w:pStyle w:val="TableFigText"/>
              <w:jc w:val="right"/>
            </w:pPr>
            <w:r w:rsidRPr="00AB1427">
              <w:t>154.7</w:t>
            </w:r>
          </w:p>
        </w:tc>
      </w:tr>
      <w:tr w:rsidR="00E17C0A" w:rsidRPr="00EF5802" w:rsidTr="005B2C04">
        <w:tc>
          <w:tcPr>
            <w:tcW w:w="2412" w:type="dxa"/>
          </w:tcPr>
          <w:p w:rsidR="00E17C0A" w:rsidRPr="00EF5802" w:rsidRDefault="00E17C0A" w:rsidP="005B2C04">
            <w:pPr>
              <w:pStyle w:val="TableFigText"/>
              <w:keepNext/>
              <w:rPr>
                <w:rFonts w:asciiTheme="minorHAnsi" w:hAnsiTheme="minorHAnsi" w:cstheme="minorHAnsi"/>
                <w:szCs w:val="22"/>
              </w:rPr>
            </w:pPr>
            <w:r w:rsidRPr="00EF5802">
              <w:rPr>
                <w:rFonts w:asciiTheme="minorHAnsi" w:hAnsiTheme="minorHAnsi" w:cstheme="minorHAnsi"/>
                <w:szCs w:val="22"/>
              </w:rPr>
              <w:t>Other staffing categories</w:t>
            </w:r>
            <w:r w:rsidRPr="00EF5802">
              <w:rPr>
                <w:rFonts w:asciiTheme="minorHAnsi" w:hAnsiTheme="minorHAnsi" w:cstheme="minorHAnsi"/>
                <w:szCs w:val="22"/>
                <w:vertAlign w:val="superscript"/>
              </w:rPr>
              <w:t>(f)</w:t>
            </w:r>
          </w:p>
        </w:tc>
        <w:tc>
          <w:tcPr>
            <w:tcW w:w="1147" w:type="dxa"/>
          </w:tcPr>
          <w:p w:rsidR="00E17C0A" w:rsidRPr="00AB1427" w:rsidRDefault="00E17C0A" w:rsidP="00E2736D">
            <w:pPr>
              <w:pStyle w:val="TableFigText"/>
              <w:jc w:val="right"/>
            </w:pPr>
            <w:r w:rsidRPr="00AB1427">
              <w:t>n/a</w:t>
            </w:r>
          </w:p>
        </w:tc>
        <w:tc>
          <w:tcPr>
            <w:tcW w:w="1355" w:type="dxa"/>
            <w:vAlign w:val="bottom"/>
          </w:tcPr>
          <w:p w:rsidR="00E17C0A" w:rsidRPr="00AB1427" w:rsidRDefault="00E17C0A" w:rsidP="00E2736D">
            <w:pPr>
              <w:pStyle w:val="TableFigText"/>
              <w:jc w:val="right"/>
            </w:pPr>
            <w:r w:rsidRPr="00AB1427">
              <w:t>105.7</w:t>
            </w:r>
          </w:p>
        </w:tc>
        <w:tc>
          <w:tcPr>
            <w:tcW w:w="1225" w:type="dxa"/>
            <w:vAlign w:val="bottom"/>
          </w:tcPr>
          <w:p w:rsidR="00E17C0A" w:rsidRPr="00AB1427" w:rsidRDefault="00E17C0A" w:rsidP="00E2736D">
            <w:pPr>
              <w:pStyle w:val="TableFigText"/>
              <w:jc w:val="right"/>
            </w:pPr>
            <w:r w:rsidRPr="00AB1427">
              <w:t>12.3</w:t>
            </w:r>
          </w:p>
        </w:tc>
        <w:tc>
          <w:tcPr>
            <w:tcW w:w="1023" w:type="dxa"/>
            <w:vAlign w:val="bottom"/>
          </w:tcPr>
          <w:p w:rsidR="00E17C0A" w:rsidRPr="00AB1427" w:rsidRDefault="00E17C0A" w:rsidP="00E2736D">
            <w:pPr>
              <w:pStyle w:val="TableFigText"/>
              <w:jc w:val="right"/>
            </w:pPr>
            <w:r w:rsidRPr="00AB1427">
              <w:t>0.0</w:t>
            </w:r>
          </w:p>
        </w:tc>
        <w:tc>
          <w:tcPr>
            <w:tcW w:w="1070" w:type="dxa"/>
            <w:vAlign w:val="bottom"/>
          </w:tcPr>
          <w:p w:rsidR="00E17C0A" w:rsidRPr="00AB1427" w:rsidRDefault="00E17C0A" w:rsidP="00E2736D">
            <w:pPr>
              <w:pStyle w:val="TableFigText"/>
              <w:jc w:val="right"/>
            </w:pPr>
            <w:r w:rsidRPr="00AB1427">
              <w:t>0.0</w:t>
            </w:r>
          </w:p>
        </w:tc>
        <w:tc>
          <w:tcPr>
            <w:tcW w:w="1054" w:type="dxa"/>
            <w:vAlign w:val="bottom"/>
          </w:tcPr>
          <w:p w:rsidR="00E17C0A" w:rsidRPr="00AB1427" w:rsidRDefault="00E17C0A" w:rsidP="00E2736D">
            <w:pPr>
              <w:pStyle w:val="TableFigText"/>
              <w:jc w:val="right"/>
            </w:pPr>
            <w:r w:rsidRPr="00AB1427">
              <w:t>118.0</w:t>
            </w:r>
          </w:p>
        </w:tc>
      </w:tr>
      <w:tr w:rsidR="00E17C0A" w:rsidRPr="00EF5802" w:rsidTr="005B2C04">
        <w:tc>
          <w:tcPr>
            <w:tcW w:w="2412" w:type="dxa"/>
          </w:tcPr>
          <w:p w:rsidR="00E17C0A" w:rsidRPr="00EF5802" w:rsidRDefault="00E17C0A" w:rsidP="005B2C04">
            <w:pPr>
              <w:pStyle w:val="TableFigText"/>
              <w:keepNext/>
              <w:rPr>
                <w:rFonts w:asciiTheme="minorHAnsi" w:hAnsiTheme="minorHAnsi" w:cstheme="minorHAnsi"/>
                <w:b/>
                <w:szCs w:val="22"/>
              </w:rPr>
            </w:pPr>
            <w:r w:rsidRPr="00EF5802">
              <w:rPr>
                <w:rFonts w:asciiTheme="minorHAnsi" w:hAnsiTheme="minorHAnsi" w:cstheme="minorHAnsi"/>
                <w:b/>
                <w:szCs w:val="22"/>
              </w:rPr>
              <w:t>Total</w:t>
            </w:r>
            <w:r w:rsidRPr="00EF5802">
              <w:rPr>
                <w:rFonts w:asciiTheme="minorHAnsi" w:hAnsiTheme="minorHAnsi" w:cstheme="minorHAnsi"/>
                <w:b/>
                <w:szCs w:val="22"/>
                <w:vertAlign w:val="superscript"/>
              </w:rPr>
              <w:t>(a)</w:t>
            </w:r>
          </w:p>
        </w:tc>
        <w:tc>
          <w:tcPr>
            <w:tcW w:w="1147" w:type="dxa"/>
          </w:tcPr>
          <w:p w:rsidR="00E17C0A" w:rsidRPr="00E2736D" w:rsidRDefault="00E17C0A" w:rsidP="00E2736D">
            <w:pPr>
              <w:pStyle w:val="TableFigText"/>
              <w:jc w:val="right"/>
              <w:rPr>
                <w:b/>
              </w:rPr>
            </w:pPr>
            <w:r w:rsidRPr="00E2736D">
              <w:rPr>
                <w:b/>
              </w:rPr>
              <w:t>n/a</w:t>
            </w:r>
          </w:p>
        </w:tc>
        <w:tc>
          <w:tcPr>
            <w:tcW w:w="1355" w:type="dxa"/>
            <w:vAlign w:val="bottom"/>
          </w:tcPr>
          <w:p w:rsidR="00E17C0A" w:rsidRPr="00E2736D" w:rsidRDefault="00E17C0A" w:rsidP="00E2736D">
            <w:pPr>
              <w:pStyle w:val="TableFigText"/>
              <w:jc w:val="right"/>
              <w:rPr>
                <w:b/>
              </w:rPr>
            </w:pPr>
            <w:r w:rsidRPr="00E2736D">
              <w:rPr>
                <w:b/>
              </w:rPr>
              <w:t>666.5</w:t>
            </w:r>
          </w:p>
        </w:tc>
        <w:tc>
          <w:tcPr>
            <w:tcW w:w="1225" w:type="dxa"/>
            <w:vAlign w:val="bottom"/>
          </w:tcPr>
          <w:p w:rsidR="00E17C0A" w:rsidRPr="00E2736D" w:rsidRDefault="00E17C0A" w:rsidP="00E2736D">
            <w:pPr>
              <w:pStyle w:val="TableFigText"/>
              <w:jc w:val="right"/>
              <w:rPr>
                <w:b/>
              </w:rPr>
            </w:pPr>
            <w:r w:rsidRPr="00E2736D">
              <w:rPr>
                <w:b/>
              </w:rPr>
              <w:t>91.2</w:t>
            </w:r>
          </w:p>
        </w:tc>
        <w:tc>
          <w:tcPr>
            <w:tcW w:w="1023" w:type="dxa"/>
            <w:vAlign w:val="bottom"/>
          </w:tcPr>
          <w:p w:rsidR="00E17C0A" w:rsidRPr="00E2736D" w:rsidRDefault="00E17C0A" w:rsidP="00E2736D">
            <w:pPr>
              <w:pStyle w:val="TableFigText"/>
              <w:jc w:val="right"/>
              <w:rPr>
                <w:b/>
              </w:rPr>
            </w:pPr>
            <w:r w:rsidRPr="00E2736D">
              <w:rPr>
                <w:b/>
              </w:rPr>
              <w:t>0.0</w:t>
            </w:r>
          </w:p>
        </w:tc>
        <w:tc>
          <w:tcPr>
            <w:tcW w:w="1070" w:type="dxa"/>
            <w:vAlign w:val="bottom"/>
          </w:tcPr>
          <w:p w:rsidR="00E17C0A" w:rsidRPr="00E2736D" w:rsidRDefault="00E17C0A" w:rsidP="00E2736D">
            <w:pPr>
              <w:pStyle w:val="TableFigText"/>
              <w:jc w:val="right"/>
              <w:rPr>
                <w:b/>
              </w:rPr>
            </w:pPr>
            <w:r w:rsidRPr="00E2736D">
              <w:rPr>
                <w:b/>
              </w:rPr>
              <w:t>0.0</w:t>
            </w:r>
          </w:p>
        </w:tc>
        <w:tc>
          <w:tcPr>
            <w:tcW w:w="1054" w:type="dxa"/>
            <w:vAlign w:val="bottom"/>
          </w:tcPr>
          <w:p w:rsidR="00E17C0A" w:rsidRPr="00E2736D" w:rsidRDefault="00E17C0A" w:rsidP="00E2736D">
            <w:pPr>
              <w:pStyle w:val="TableFigText"/>
              <w:jc w:val="right"/>
              <w:rPr>
                <w:b/>
              </w:rPr>
            </w:pPr>
            <w:r w:rsidRPr="00E2736D">
              <w:rPr>
                <w:b/>
              </w:rPr>
              <w:t>757.7</w:t>
            </w:r>
          </w:p>
        </w:tc>
      </w:tr>
    </w:tbl>
    <w:p w:rsidR="00E17C0A" w:rsidRPr="00D22EB8" w:rsidRDefault="00E17C0A" w:rsidP="006B2ED0">
      <w:pPr>
        <w:pStyle w:val="TableFigNotesnumbered"/>
        <w:ind w:left="294" w:hanging="294"/>
        <w:rPr>
          <w:rStyle w:val="table-note"/>
        </w:rPr>
      </w:pPr>
      <w:proofErr w:type="gramStart"/>
      <w:r w:rsidRPr="00D22EB8">
        <w:rPr>
          <w:rStyle w:val="table-note"/>
        </w:rPr>
        <w:t>n/a</w:t>
      </w:r>
      <w:proofErr w:type="gramEnd"/>
      <w:r w:rsidRPr="00D22EB8">
        <w:rPr>
          <w:rStyle w:val="table-note"/>
        </w:rPr>
        <w:t xml:space="preserve"> </w:t>
      </w:r>
      <w:r w:rsidRPr="00D22EB8">
        <w:rPr>
          <w:rStyle w:val="table-note"/>
        </w:rPr>
        <w:tab/>
        <w:t>Not applicable.</w:t>
      </w:r>
    </w:p>
    <w:p w:rsidR="00E17C0A" w:rsidRPr="00D22EB8" w:rsidRDefault="00E17C0A" w:rsidP="0097112F">
      <w:pPr>
        <w:pStyle w:val="TableFigNotesnumbered"/>
        <w:numPr>
          <w:ilvl w:val="0"/>
          <w:numId w:val="94"/>
        </w:numPr>
        <w:rPr>
          <w:rStyle w:val="table-note"/>
        </w:rPr>
      </w:pPr>
      <w:r w:rsidRPr="00D22EB8">
        <w:rPr>
          <w:rStyle w:val="table-note"/>
        </w:rPr>
        <w:t>Totals may not add due to rounding.</w:t>
      </w:r>
    </w:p>
    <w:p w:rsidR="00E17C0A" w:rsidRPr="00D22EB8" w:rsidRDefault="00E17C0A" w:rsidP="0097112F">
      <w:pPr>
        <w:pStyle w:val="TableFigNotesnumbered"/>
        <w:numPr>
          <w:ilvl w:val="0"/>
          <w:numId w:val="94"/>
        </w:numPr>
        <w:rPr>
          <w:rStyle w:val="table-note"/>
        </w:rPr>
      </w:pPr>
      <w:r w:rsidRPr="00D22EB8">
        <w:rPr>
          <w:rStyle w:val="table-note"/>
        </w:rPr>
        <w:t>Diagnostic and health professionals includes qualified staff (other than qualified medical or nursing staff) engaged in duties of a diagnostic, professional or technical nature and covers all allied health professionals and laboratory technicians, including Social Workers, Occupational Therapists and others  (</w:t>
      </w:r>
      <w:proofErr w:type="spellStart"/>
      <w:r w:rsidRPr="00D22EB8">
        <w:rPr>
          <w:rStyle w:val="table-note"/>
        </w:rPr>
        <w:t>METeOR</w:t>
      </w:r>
      <w:proofErr w:type="spellEnd"/>
      <w:r w:rsidRPr="00D22EB8">
        <w:rPr>
          <w:rStyle w:val="table-note"/>
        </w:rPr>
        <w:t xml:space="preserve"> identifier 287611).</w:t>
      </w:r>
    </w:p>
    <w:p w:rsidR="00E17C0A" w:rsidRPr="00D22EB8" w:rsidRDefault="00E17C0A" w:rsidP="0097112F">
      <w:pPr>
        <w:pStyle w:val="TableFigNotesnumbered"/>
        <w:numPr>
          <w:ilvl w:val="0"/>
          <w:numId w:val="94"/>
        </w:numPr>
        <w:rPr>
          <w:rStyle w:val="table-note"/>
        </w:rPr>
      </w:pPr>
      <w:r w:rsidRPr="00D22EB8">
        <w:rPr>
          <w:rStyle w:val="table-note"/>
        </w:rPr>
        <w:t>Includes registered and enrolled nurses.</w:t>
      </w:r>
    </w:p>
    <w:p w:rsidR="00E17C0A" w:rsidRPr="00D22EB8" w:rsidRDefault="00E17C0A" w:rsidP="0097112F">
      <w:pPr>
        <w:pStyle w:val="TableFigNotesnumbered"/>
        <w:numPr>
          <w:ilvl w:val="0"/>
          <w:numId w:val="94"/>
        </w:numPr>
        <w:rPr>
          <w:rStyle w:val="table-note"/>
        </w:rPr>
      </w:pPr>
      <w:r w:rsidRPr="00D22EB8">
        <w:rPr>
          <w:rStyle w:val="table-note"/>
        </w:rPr>
        <w:t xml:space="preserve">The definition of these categories was modified from 'consultants' to 'mental health workers' for the 2010–11 collection, in order to capture a variety of contemporary roles. </w:t>
      </w:r>
    </w:p>
    <w:p w:rsidR="00E17C0A" w:rsidRPr="00D22EB8" w:rsidRDefault="00E17C0A" w:rsidP="0097112F">
      <w:pPr>
        <w:pStyle w:val="TableFigNotesnumbered"/>
        <w:numPr>
          <w:ilvl w:val="0"/>
          <w:numId w:val="94"/>
        </w:numPr>
        <w:rPr>
          <w:rStyle w:val="table-note"/>
        </w:rPr>
      </w:pPr>
      <w:r w:rsidRPr="00D22EB8">
        <w:rPr>
          <w:rStyle w:val="table-note"/>
        </w:rPr>
        <w:t>Other personal care staff includes staff engaged primarily in the provision of personal care to patients or residents, not formally qualified, for example attendants, assistants of home assistance, home companions, family aides, ward helpers, warders, orderlies, ward assistants and nursing assistants (</w:t>
      </w:r>
      <w:proofErr w:type="spellStart"/>
      <w:r w:rsidRPr="00D22EB8">
        <w:rPr>
          <w:rStyle w:val="table-note"/>
        </w:rPr>
        <w:t>METeOR</w:t>
      </w:r>
      <w:proofErr w:type="spellEnd"/>
      <w:r w:rsidRPr="00D22EB8">
        <w:rPr>
          <w:rStyle w:val="table-note"/>
        </w:rPr>
        <w:t xml:space="preserve"> 270171).</w:t>
      </w:r>
    </w:p>
    <w:p w:rsidR="00E17C0A" w:rsidRPr="00D22EB8" w:rsidRDefault="00E17C0A" w:rsidP="0097112F">
      <w:pPr>
        <w:pStyle w:val="TableFigNotesnumbered"/>
        <w:numPr>
          <w:ilvl w:val="0"/>
          <w:numId w:val="94"/>
        </w:numPr>
        <w:rPr>
          <w:rStyle w:val="table-note"/>
        </w:rPr>
      </w:pPr>
      <w:r w:rsidRPr="00D22EB8">
        <w:rPr>
          <w:rStyle w:val="table-note"/>
        </w:rPr>
        <w:t xml:space="preserve">Other </w:t>
      </w:r>
      <w:proofErr w:type="gramStart"/>
      <w:r w:rsidRPr="00D22EB8">
        <w:rPr>
          <w:rStyle w:val="table-note"/>
        </w:rPr>
        <w:t>staff</w:t>
      </w:r>
      <w:proofErr w:type="gramEnd"/>
      <w:r w:rsidRPr="00D22EB8">
        <w:rPr>
          <w:rStyle w:val="table-note"/>
        </w:rPr>
        <w:t xml:space="preserve"> includes administrative and clerical and domestic and other staff categories. </w:t>
      </w:r>
    </w:p>
    <w:p w:rsidR="00E17C0A" w:rsidRPr="00207B28" w:rsidRDefault="00E17C0A" w:rsidP="00E17C0A">
      <w:pPr>
        <w:spacing w:before="0" w:after="0" w:line="240" w:lineRule="auto"/>
        <w:rPr>
          <w:rFonts w:asciiTheme="minorHAnsi" w:hAnsiTheme="minorHAnsi" w:cstheme="minorHAnsi"/>
        </w:rPr>
      </w:pPr>
    </w:p>
    <w:p w:rsidR="00E17C0A" w:rsidRPr="008C2A85" w:rsidRDefault="00E17C0A" w:rsidP="00E17C0A">
      <w:pPr>
        <w:spacing w:before="0" w:after="0" w:line="240" w:lineRule="auto"/>
        <w:rPr>
          <w:rFonts w:asciiTheme="minorHAnsi" w:hAnsiTheme="minorHAnsi" w:cstheme="minorHAnsi"/>
          <w:sz w:val="14"/>
          <w:szCs w:val="20"/>
          <w:lang w:eastAsia="en-US"/>
        </w:rPr>
      </w:pPr>
      <w:r w:rsidRPr="00D22EB8">
        <w:rPr>
          <w:rStyle w:val="table-note"/>
          <w:rFonts w:ascii="Arial" w:hAnsi="Arial"/>
          <w:sz w:val="14"/>
          <w:szCs w:val="20"/>
          <w:lang w:eastAsia="en-US"/>
        </w:rPr>
        <w:t>Notes:</w:t>
      </w:r>
      <w:r w:rsidRPr="008C2A85">
        <w:rPr>
          <w:rFonts w:asciiTheme="minorHAnsi" w:hAnsiTheme="minorHAnsi" w:cstheme="minorHAnsi"/>
          <w:sz w:val="14"/>
          <w:szCs w:val="20"/>
          <w:lang w:eastAsia="en-US"/>
        </w:rPr>
        <w:tab/>
      </w:r>
    </w:p>
    <w:p w:rsidR="00E17C0A" w:rsidRPr="00D22EB8" w:rsidRDefault="00E17C0A" w:rsidP="00540186">
      <w:pPr>
        <w:pStyle w:val="ListParagraph"/>
        <w:numPr>
          <w:ilvl w:val="0"/>
          <w:numId w:val="27"/>
        </w:numPr>
        <w:spacing w:after="0" w:line="240" w:lineRule="auto"/>
        <w:rPr>
          <w:rStyle w:val="table-note"/>
          <w:rFonts w:ascii="Arial" w:eastAsia="Times New Roman" w:hAnsi="Arial" w:cs="Times New Roman"/>
          <w:sz w:val="14"/>
          <w:szCs w:val="20"/>
          <w:lang w:eastAsia="en-US"/>
        </w:rPr>
      </w:pPr>
      <w:r w:rsidRPr="00D22EB8">
        <w:rPr>
          <w:rStyle w:val="table-note"/>
          <w:rFonts w:ascii="Arial" w:eastAsia="Times New Roman" w:hAnsi="Arial" w:cs="Times New Roman"/>
          <w:sz w:val="14"/>
          <w:szCs w:val="20"/>
          <w:lang w:eastAsia="en-US"/>
        </w:rPr>
        <w:t xml:space="preserve">Includes consumer and carer workers and staff employed at a higher organisational level. Excludes staff employed at regional or state level in mental health policy units of the associated relevant health department or equivalent. </w:t>
      </w:r>
    </w:p>
    <w:p w:rsidR="00E17C0A" w:rsidRPr="00E80F6E" w:rsidRDefault="00E17C0A" w:rsidP="00E17C0A">
      <w:pPr>
        <w:spacing w:before="0" w:after="0" w:line="240" w:lineRule="auto"/>
        <w:rPr>
          <w:rFonts w:asciiTheme="minorHAnsi" w:hAnsiTheme="minorHAnsi" w:cstheme="minorHAnsi"/>
        </w:rPr>
      </w:pPr>
    </w:p>
    <w:p w:rsidR="00E17C0A" w:rsidRPr="000E0677" w:rsidRDefault="000E0677" w:rsidP="00E17C0A">
      <w:pPr>
        <w:pStyle w:val="TableCaption"/>
        <w:rPr>
          <w:rStyle w:val="table-note"/>
        </w:rPr>
      </w:pPr>
      <w:r w:rsidRPr="000E0677">
        <w:rPr>
          <w:rStyle w:val="table-note"/>
        </w:rPr>
        <w:lastRenderedPageBreak/>
        <w:t xml:space="preserve">Table 59: </w:t>
      </w:r>
      <w:r w:rsidR="00E17C0A" w:rsidRPr="000E0677">
        <w:rPr>
          <w:rStyle w:val="table-note"/>
        </w:rPr>
        <w:t xml:space="preserve">TAS: Full-time-equivalent staff, state and territory specialised mental health care facilities, by staffing category, 2011–12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S: Full-time-equivalent staff, state and territory specialised mental health care facilities, by staffing category, 2011–12 "/>
        <w:tblDescription w:val="Table showing, in 2011-12, the number of full-time-equivalent (FTE) staff in specialised mental health care facilities across Tas region types.  Inner regional areas have the highest number of all types of FTE staff at 627.0. Nurses were the highest FTE staff type overall, across all region types, at 337.5. The major cities category was not applicable."/>
      </w:tblPr>
      <w:tblGrid>
        <w:gridCol w:w="2409"/>
        <w:gridCol w:w="1147"/>
        <w:gridCol w:w="1354"/>
        <w:gridCol w:w="1229"/>
        <w:gridCol w:w="1023"/>
        <w:gridCol w:w="1070"/>
        <w:gridCol w:w="1054"/>
      </w:tblGrid>
      <w:tr w:rsidR="00E17C0A" w:rsidRPr="00EF5802" w:rsidTr="000C3DEA">
        <w:trPr>
          <w:tblHeader/>
        </w:trPr>
        <w:tc>
          <w:tcPr>
            <w:tcW w:w="2409" w:type="dxa"/>
          </w:tcPr>
          <w:p w:rsidR="00E17C0A" w:rsidRPr="00EF5802" w:rsidRDefault="00E17C0A" w:rsidP="005B2C04">
            <w:pPr>
              <w:pStyle w:val="TableFigText"/>
              <w:keepNext/>
              <w:rPr>
                <w:rFonts w:asciiTheme="minorHAnsi" w:hAnsiTheme="minorHAnsi" w:cstheme="minorHAnsi"/>
                <w:szCs w:val="22"/>
              </w:rPr>
            </w:pPr>
          </w:p>
        </w:tc>
        <w:tc>
          <w:tcPr>
            <w:tcW w:w="1147"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Major cities</w:t>
            </w:r>
          </w:p>
        </w:tc>
        <w:tc>
          <w:tcPr>
            <w:tcW w:w="1354"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Inner regional</w:t>
            </w:r>
          </w:p>
        </w:tc>
        <w:tc>
          <w:tcPr>
            <w:tcW w:w="1229"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Outer regional</w:t>
            </w:r>
          </w:p>
        </w:tc>
        <w:tc>
          <w:tcPr>
            <w:tcW w:w="1023"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Remote</w:t>
            </w:r>
          </w:p>
        </w:tc>
        <w:tc>
          <w:tcPr>
            <w:tcW w:w="1070"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Very remote</w:t>
            </w:r>
          </w:p>
        </w:tc>
        <w:tc>
          <w:tcPr>
            <w:tcW w:w="1054"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Total</w:t>
            </w:r>
            <w:r w:rsidRPr="00E86D05">
              <w:rPr>
                <w:rFonts w:asciiTheme="minorHAnsi" w:hAnsiTheme="minorHAnsi" w:cstheme="minorHAnsi"/>
                <w:b/>
                <w:szCs w:val="22"/>
                <w:vertAlign w:val="superscript"/>
              </w:rPr>
              <w:t>(a)</w:t>
            </w:r>
          </w:p>
        </w:tc>
      </w:tr>
      <w:tr w:rsidR="00E17C0A" w:rsidRPr="00EF5802" w:rsidTr="005B2C04">
        <w:tc>
          <w:tcPr>
            <w:tcW w:w="2409" w:type="dxa"/>
          </w:tcPr>
          <w:p w:rsidR="00E17C0A" w:rsidRPr="00EF5802" w:rsidRDefault="00E17C0A" w:rsidP="005B2C04">
            <w:pPr>
              <w:pStyle w:val="TableFigText"/>
              <w:keepNext/>
              <w:rPr>
                <w:rFonts w:asciiTheme="minorHAnsi" w:hAnsiTheme="minorHAnsi" w:cstheme="minorHAnsi"/>
                <w:szCs w:val="22"/>
              </w:rPr>
            </w:pPr>
            <w:r w:rsidRPr="00EF5802">
              <w:rPr>
                <w:rFonts w:asciiTheme="minorHAnsi" w:hAnsiTheme="minorHAnsi" w:cstheme="minorHAnsi"/>
                <w:szCs w:val="22"/>
              </w:rPr>
              <w:t>Consultant psychiatrists and psychiatrists</w:t>
            </w:r>
          </w:p>
        </w:tc>
        <w:tc>
          <w:tcPr>
            <w:tcW w:w="1147" w:type="dxa"/>
            <w:vAlign w:val="bottom"/>
          </w:tcPr>
          <w:p w:rsidR="00E17C0A" w:rsidRPr="00AB1427" w:rsidRDefault="00E17C0A" w:rsidP="00E2736D">
            <w:pPr>
              <w:pStyle w:val="TableFigText"/>
              <w:jc w:val="right"/>
            </w:pPr>
            <w:r w:rsidRPr="00AB1427">
              <w:t>n/a</w:t>
            </w:r>
          </w:p>
        </w:tc>
        <w:tc>
          <w:tcPr>
            <w:tcW w:w="1354" w:type="dxa"/>
            <w:vAlign w:val="bottom"/>
          </w:tcPr>
          <w:p w:rsidR="00E17C0A" w:rsidRPr="00AB1427" w:rsidRDefault="00E17C0A" w:rsidP="00E2736D">
            <w:pPr>
              <w:pStyle w:val="TableFigText"/>
              <w:jc w:val="right"/>
            </w:pPr>
            <w:r w:rsidRPr="00AB1427">
              <w:t>25.1</w:t>
            </w:r>
          </w:p>
        </w:tc>
        <w:tc>
          <w:tcPr>
            <w:tcW w:w="1229" w:type="dxa"/>
            <w:vAlign w:val="bottom"/>
          </w:tcPr>
          <w:p w:rsidR="00E17C0A" w:rsidRPr="00AB1427" w:rsidRDefault="00E17C0A" w:rsidP="00E2736D">
            <w:pPr>
              <w:pStyle w:val="TableFigText"/>
              <w:jc w:val="right"/>
            </w:pPr>
            <w:r w:rsidRPr="00AB1427">
              <w:t>4.6</w:t>
            </w:r>
          </w:p>
        </w:tc>
        <w:tc>
          <w:tcPr>
            <w:tcW w:w="1023" w:type="dxa"/>
            <w:vAlign w:val="bottom"/>
          </w:tcPr>
          <w:p w:rsidR="00E17C0A" w:rsidRPr="00AB1427" w:rsidRDefault="00E17C0A" w:rsidP="00E2736D">
            <w:pPr>
              <w:pStyle w:val="TableFigText"/>
              <w:jc w:val="right"/>
            </w:pPr>
            <w:r w:rsidRPr="00AB1427">
              <w:t>0.1</w:t>
            </w:r>
          </w:p>
        </w:tc>
        <w:tc>
          <w:tcPr>
            <w:tcW w:w="1070" w:type="dxa"/>
            <w:vAlign w:val="bottom"/>
          </w:tcPr>
          <w:p w:rsidR="00E17C0A" w:rsidRPr="00AB1427" w:rsidRDefault="00E17C0A" w:rsidP="00E2736D">
            <w:pPr>
              <w:pStyle w:val="TableFigText"/>
              <w:jc w:val="right"/>
            </w:pPr>
            <w:r w:rsidRPr="00AB1427">
              <w:t>0.0</w:t>
            </w:r>
          </w:p>
        </w:tc>
        <w:tc>
          <w:tcPr>
            <w:tcW w:w="1054" w:type="dxa"/>
            <w:vAlign w:val="bottom"/>
          </w:tcPr>
          <w:p w:rsidR="00E17C0A" w:rsidRPr="00AB1427" w:rsidRDefault="00E17C0A" w:rsidP="00E2736D">
            <w:pPr>
              <w:pStyle w:val="TableFigText"/>
              <w:jc w:val="right"/>
            </w:pPr>
            <w:r w:rsidRPr="00AB1427">
              <w:t>29.8</w:t>
            </w:r>
          </w:p>
        </w:tc>
      </w:tr>
      <w:tr w:rsidR="00E17C0A" w:rsidRPr="00EF5802" w:rsidTr="005B2C04">
        <w:tc>
          <w:tcPr>
            <w:tcW w:w="2409" w:type="dxa"/>
          </w:tcPr>
          <w:p w:rsidR="00E17C0A" w:rsidRPr="00EF5802" w:rsidRDefault="00E17C0A" w:rsidP="005B2C04">
            <w:pPr>
              <w:pStyle w:val="TableFigText"/>
              <w:keepNext/>
              <w:rPr>
                <w:rFonts w:asciiTheme="minorHAnsi" w:hAnsiTheme="minorHAnsi" w:cstheme="minorHAnsi"/>
                <w:szCs w:val="22"/>
              </w:rPr>
            </w:pPr>
            <w:r w:rsidRPr="00EF5802">
              <w:rPr>
                <w:rFonts w:asciiTheme="minorHAnsi" w:hAnsiTheme="minorHAnsi" w:cstheme="minorHAnsi"/>
                <w:szCs w:val="22"/>
              </w:rPr>
              <w:t>Psychiatry registrars and trainees</w:t>
            </w:r>
          </w:p>
        </w:tc>
        <w:tc>
          <w:tcPr>
            <w:tcW w:w="1147" w:type="dxa"/>
          </w:tcPr>
          <w:p w:rsidR="00E17C0A" w:rsidRPr="00AB1427" w:rsidRDefault="00E17C0A" w:rsidP="00E2736D">
            <w:pPr>
              <w:pStyle w:val="TableFigText"/>
              <w:jc w:val="right"/>
            </w:pPr>
            <w:r w:rsidRPr="00AB1427">
              <w:t>n/a</w:t>
            </w:r>
          </w:p>
        </w:tc>
        <w:tc>
          <w:tcPr>
            <w:tcW w:w="1354" w:type="dxa"/>
            <w:vAlign w:val="bottom"/>
          </w:tcPr>
          <w:p w:rsidR="00E17C0A" w:rsidRPr="00AB1427" w:rsidRDefault="00E17C0A" w:rsidP="00E2736D">
            <w:pPr>
              <w:pStyle w:val="TableFigText"/>
              <w:jc w:val="right"/>
            </w:pPr>
            <w:r w:rsidRPr="00AB1427">
              <w:t>13.2</w:t>
            </w:r>
          </w:p>
        </w:tc>
        <w:tc>
          <w:tcPr>
            <w:tcW w:w="1229" w:type="dxa"/>
            <w:vAlign w:val="bottom"/>
          </w:tcPr>
          <w:p w:rsidR="00E17C0A" w:rsidRPr="00AB1427" w:rsidRDefault="00E17C0A" w:rsidP="00E2736D">
            <w:pPr>
              <w:pStyle w:val="TableFigText"/>
              <w:jc w:val="right"/>
            </w:pPr>
            <w:r w:rsidRPr="00AB1427">
              <w:t>2.2</w:t>
            </w:r>
          </w:p>
        </w:tc>
        <w:tc>
          <w:tcPr>
            <w:tcW w:w="1023" w:type="dxa"/>
            <w:vAlign w:val="bottom"/>
          </w:tcPr>
          <w:p w:rsidR="00E17C0A" w:rsidRPr="00AB1427" w:rsidRDefault="00E17C0A" w:rsidP="00E2736D">
            <w:pPr>
              <w:pStyle w:val="TableFigText"/>
              <w:jc w:val="right"/>
            </w:pPr>
            <w:r w:rsidRPr="00AB1427">
              <w:t>0.1</w:t>
            </w:r>
          </w:p>
        </w:tc>
        <w:tc>
          <w:tcPr>
            <w:tcW w:w="1070" w:type="dxa"/>
            <w:vAlign w:val="bottom"/>
          </w:tcPr>
          <w:p w:rsidR="00E17C0A" w:rsidRPr="00AB1427" w:rsidRDefault="00E17C0A" w:rsidP="00E2736D">
            <w:pPr>
              <w:pStyle w:val="TableFigText"/>
              <w:jc w:val="right"/>
            </w:pPr>
            <w:r w:rsidRPr="00AB1427">
              <w:t>0.0</w:t>
            </w:r>
          </w:p>
        </w:tc>
        <w:tc>
          <w:tcPr>
            <w:tcW w:w="1054" w:type="dxa"/>
            <w:vAlign w:val="bottom"/>
          </w:tcPr>
          <w:p w:rsidR="00E17C0A" w:rsidRPr="00AB1427" w:rsidRDefault="00E17C0A" w:rsidP="00E2736D">
            <w:pPr>
              <w:pStyle w:val="TableFigText"/>
              <w:jc w:val="right"/>
            </w:pPr>
            <w:r w:rsidRPr="00AB1427">
              <w:t>15.5</w:t>
            </w:r>
          </w:p>
        </w:tc>
      </w:tr>
      <w:tr w:rsidR="00E17C0A" w:rsidRPr="00EF5802" w:rsidTr="005B2C04">
        <w:tc>
          <w:tcPr>
            <w:tcW w:w="2409" w:type="dxa"/>
          </w:tcPr>
          <w:p w:rsidR="00E17C0A" w:rsidRPr="00EF5802" w:rsidRDefault="00E17C0A" w:rsidP="005B2C04">
            <w:pPr>
              <w:pStyle w:val="TableFigText"/>
              <w:keepNext/>
              <w:rPr>
                <w:rFonts w:asciiTheme="minorHAnsi" w:hAnsiTheme="minorHAnsi" w:cstheme="minorHAnsi"/>
                <w:szCs w:val="22"/>
              </w:rPr>
            </w:pPr>
            <w:r w:rsidRPr="00EF5802">
              <w:rPr>
                <w:rFonts w:asciiTheme="minorHAnsi" w:hAnsiTheme="minorHAnsi" w:cstheme="minorHAnsi"/>
                <w:szCs w:val="22"/>
              </w:rPr>
              <w:t>Other medical officers</w:t>
            </w:r>
          </w:p>
        </w:tc>
        <w:tc>
          <w:tcPr>
            <w:tcW w:w="1147" w:type="dxa"/>
          </w:tcPr>
          <w:p w:rsidR="00E17C0A" w:rsidRPr="00AB1427" w:rsidRDefault="00E17C0A" w:rsidP="00E2736D">
            <w:pPr>
              <w:pStyle w:val="TableFigText"/>
              <w:jc w:val="right"/>
            </w:pPr>
            <w:r w:rsidRPr="00AB1427">
              <w:t>n/a</w:t>
            </w:r>
          </w:p>
        </w:tc>
        <w:tc>
          <w:tcPr>
            <w:tcW w:w="1354" w:type="dxa"/>
            <w:vAlign w:val="bottom"/>
          </w:tcPr>
          <w:p w:rsidR="00E17C0A" w:rsidRPr="00AB1427" w:rsidRDefault="00E17C0A" w:rsidP="00E2736D">
            <w:pPr>
              <w:pStyle w:val="TableFigText"/>
              <w:jc w:val="right"/>
            </w:pPr>
            <w:r w:rsidRPr="00AB1427">
              <w:t>3.7</w:t>
            </w:r>
          </w:p>
        </w:tc>
        <w:tc>
          <w:tcPr>
            <w:tcW w:w="1229" w:type="dxa"/>
            <w:vAlign w:val="bottom"/>
          </w:tcPr>
          <w:p w:rsidR="00E17C0A" w:rsidRPr="00AB1427" w:rsidRDefault="00E17C0A" w:rsidP="00E2736D">
            <w:pPr>
              <w:pStyle w:val="TableFigText"/>
              <w:jc w:val="right"/>
            </w:pPr>
            <w:r w:rsidRPr="00AB1427">
              <w:t>2.0</w:t>
            </w:r>
          </w:p>
        </w:tc>
        <w:tc>
          <w:tcPr>
            <w:tcW w:w="1023" w:type="dxa"/>
            <w:vAlign w:val="bottom"/>
          </w:tcPr>
          <w:p w:rsidR="00E17C0A" w:rsidRPr="00AB1427" w:rsidRDefault="00E17C0A" w:rsidP="00E2736D">
            <w:pPr>
              <w:pStyle w:val="TableFigText"/>
              <w:jc w:val="right"/>
            </w:pPr>
            <w:r w:rsidRPr="00AB1427">
              <w:t>0.0</w:t>
            </w:r>
          </w:p>
        </w:tc>
        <w:tc>
          <w:tcPr>
            <w:tcW w:w="1070" w:type="dxa"/>
            <w:vAlign w:val="bottom"/>
          </w:tcPr>
          <w:p w:rsidR="00E17C0A" w:rsidRPr="00AB1427" w:rsidRDefault="00E17C0A" w:rsidP="00E2736D">
            <w:pPr>
              <w:pStyle w:val="TableFigText"/>
              <w:jc w:val="right"/>
            </w:pPr>
            <w:r w:rsidRPr="00AB1427">
              <w:t>0.0</w:t>
            </w:r>
          </w:p>
        </w:tc>
        <w:tc>
          <w:tcPr>
            <w:tcW w:w="1054" w:type="dxa"/>
            <w:vAlign w:val="bottom"/>
          </w:tcPr>
          <w:p w:rsidR="00E17C0A" w:rsidRPr="00AB1427" w:rsidRDefault="00E17C0A" w:rsidP="00E2736D">
            <w:pPr>
              <w:pStyle w:val="TableFigText"/>
              <w:jc w:val="right"/>
            </w:pPr>
            <w:r w:rsidRPr="00AB1427">
              <w:t>5.7</w:t>
            </w:r>
          </w:p>
        </w:tc>
      </w:tr>
      <w:tr w:rsidR="00E17C0A" w:rsidRPr="00EF5802" w:rsidTr="005B2C04">
        <w:tc>
          <w:tcPr>
            <w:tcW w:w="2409" w:type="dxa"/>
          </w:tcPr>
          <w:p w:rsidR="00E17C0A" w:rsidRPr="00EF5802" w:rsidRDefault="00E17C0A" w:rsidP="005B2C04">
            <w:pPr>
              <w:pStyle w:val="TableFigText"/>
              <w:keepNext/>
              <w:rPr>
                <w:rFonts w:asciiTheme="minorHAnsi" w:hAnsiTheme="minorHAnsi" w:cstheme="minorHAnsi"/>
                <w:szCs w:val="22"/>
              </w:rPr>
            </w:pPr>
            <w:r w:rsidRPr="00EF5802">
              <w:rPr>
                <w:rFonts w:asciiTheme="minorHAnsi" w:hAnsiTheme="minorHAnsi" w:cstheme="minorHAnsi"/>
                <w:szCs w:val="22"/>
              </w:rPr>
              <w:t>Psychologists</w:t>
            </w:r>
          </w:p>
        </w:tc>
        <w:tc>
          <w:tcPr>
            <w:tcW w:w="1147" w:type="dxa"/>
          </w:tcPr>
          <w:p w:rsidR="00E17C0A" w:rsidRPr="00AB1427" w:rsidRDefault="00E17C0A" w:rsidP="00E2736D">
            <w:pPr>
              <w:pStyle w:val="TableFigText"/>
              <w:jc w:val="right"/>
            </w:pPr>
            <w:r w:rsidRPr="00AB1427">
              <w:t>n/a</w:t>
            </w:r>
          </w:p>
        </w:tc>
        <w:tc>
          <w:tcPr>
            <w:tcW w:w="1354" w:type="dxa"/>
            <w:vAlign w:val="bottom"/>
          </w:tcPr>
          <w:p w:rsidR="00E17C0A" w:rsidRPr="00AB1427" w:rsidRDefault="00E17C0A" w:rsidP="00E2736D">
            <w:pPr>
              <w:pStyle w:val="TableFigText"/>
              <w:jc w:val="right"/>
            </w:pPr>
            <w:r w:rsidRPr="00AB1427">
              <w:t>15.0</w:t>
            </w:r>
          </w:p>
        </w:tc>
        <w:tc>
          <w:tcPr>
            <w:tcW w:w="1229" w:type="dxa"/>
            <w:vAlign w:val="bottom"/>
          </w:tcPr>
          <w:p w:rsidR="00E17C0A" w:rsidRPr="00AB1427" w:rsidRDefault="00E17C0A" w:rsidP="00E2736D">
            <w:pPr>
              <w:pStyle w:val="TableFigText"/>
              <w:jc w:val="right"/>
            </w:pPr>
            <w:r w:rsidRPr="00AB1427">
              <w:t>4.8</w:t>
            </w:r>
          </w:p>
        </w:tc>
        <w:tc>
          <w:tcPr>
            <w:tcW w:w="1023" w:type="dxa"/>
            <w:vAlign w:val="bottom"/>
          </w:tcPr>
          <w:p w:rsidR="00E17C0A" w:rsidRPr="00AB1427" w:rsidRDefault="00E17C0A" w:rsidP="00E2736D">
            <w:pPr>
              <w:pStyle w:val="TableFigText"/>
              <w:jc w:val="right"/>
            </w:pPr>
            <w:r w:rsidRPr="00AB1427">
              <w:t>0.1</w:t>
            </w:r>
          </w:p>
        </w:tc>
        <w:tc>
          <w:tcPr>
            <w:tcW w:w="1070" w:type="dxa"/>
            <w:vAlign w:val="bottom"/>
          </w:tcPr>
          <w:p w:rsidR="00E17C0A" w:rsidRPr="00AB1427" w:rsidRDefault="00E17C0A" w:rsidP="00E2736D">
            <w:pPr>
              <w:pStyle w:val="TableFigText"/>
              <w:jc w:val="right"/>
            </w:pPr>
            <w:r w:rsidRPr="00AB1427">
              <w:t>0.0</w:t>
            </w:r>
          </w:p>
        </w:tc>
        <w:tc>
          <w:tcPr>
            <w:tcW w:w="1054" w:type="dxa"/>
            <w:vAlign w:val="bottom"/>
          </w:tcPr>
          <w:p w:rsidR="00E17C0A" w:rsidRPr="00AB1427" w:rsidRDefault="00E17C0A" w:rsidP="00E2736D">
            <w:pPr>
              <w:pStyle w:val="TableFigText"/>
              <w:jc w:val="right"/>
            </w:pPr>
            <w:r w:rsidRPr="00AB1427">
              <w:t>19.9</w:t>
            </w:r>
          </w:p>
        </w:tc>
      </w:tr>
      <w:tr w:rsidR="00E17C0A" w:rsidRPr="00EF5802" w:rsidTr="005B2C04">
        <w:tc>
          <w:tcPr>
            <w:tcW w:w="2409" w:type="dxa"/>
          </w:tcPr>
          <w:p w:rsidR="00E17C0A" w:rsidRPr="00EF5802" w:rsidRDefault="00E17C0A" w:rsidP="005B2C04">
            <w:pPr>
              <w:pStyle w:val="TableFigText"/>
              <w:keepNext/>
              <w:rPr>
                <w:rFonts w:asciiTheme="minorHAnsi" w:hAnsiTheme="minorHAnsi" w:cstheme="minorHAnsi"/>
                <w:szCs w:val="22"/>
              </w:rPr>
            </w:pPr>
            <w:r w:rsidRPr="00EF5802">
              <w:rPr>
                <w:rFonts w:asciiTheme="minorHAnsi" w:hAnsiTheme="minorHAnsi" w:cstheme="minorHAnsi"/>
                <w:szCs w:val="22"/>
              </w:rPr>
              <w:t>Diagnostic and health professionals</w:t>
            </w:r>
            <w:r w:rsidRPr="00EF5802">
              <w:rPr>
                <w:rFonts w:asciiTheme="minorHAnsi" w:hAnsiTheme="minorHAnsi" w:cstheme="minorHAnsi"/>
                <w:szCs w:val="22"/>
                <w:vertAlign w:val="superscript"/>
              </w:rPr>
              <w:t>(b)</w:t>
            </w:r>
          </w:p>
        </w:tc>
        <w:tc>
          <w:tcPr>
            <w:tcW w:w="1147" w:type="dxa"/>
          </w:tcPr>
          <w:p w:rsidR="00E17C0A" w:rsidRPr="00AB1427" w:rsidRDefault="00E17C0A" w:rsidP="00E2736D">
            <w:pPr>
              <w:pStyle w:val="TableFigText"/>
              <w:jc w:val="right"/>
            </w:pPr>
            <w:r w:rsidRPr="00AB1427">
              <w:t>n/a</w:t>
            </w:r>
          </w:p>
        </w:tc>
        <w:tc>
          <w:tcPr>
            <w:tcW w:w="1354" w:type="dxa"/>
            <w:vAlign w:val="bottom"/>
          </w:tcPr>
          <w:p w:rsidR="00E17C0A" w:rsidRPr="00AB1427" w:rsidRDefault="00E17C0A" w:rsidP="00E2736D">
            <w:pPr>
              <w:pStyle w:val="TableFigText"/>
              <w:jc w:val="right"/>
            </w:pPr>
            <w:r w:rsidRPr="00AB1427">
              <w:t>59.7</w:t>
            </w:r>
          </w:p>
        </w:tc>
        <w:tc>
          <w:tcPr>
            <w:tcW w:w="1229" w:type="dxa"/>
            <w:vAlign w:val="bottom"/>
          </w:tcPr>
          <w:p w:rsidR="00E17C0A" w:rsidRPr="00AB1427" w:rsidRDefault="00E17C0A" w:rsidP="00E2736D">
            <w:pPr>
              <w:pStyle w:val="TableFigText"/>
              <w:jc w:val="right"/>
            </w:pPr>
            <w:r w:rsidRPr="00AB1427">
              <w:t>14.8</w:t>
            </w:r>
          </w:p>
        </w:tc>
        <w:tc>
          <w:tcPr>
            <w:tcW w:w="1023" w:type="dxa"/>
            <w:vAlign w:val="bottom"/>
          </w:tcPr>
          <w:p w:rsidR="00E17C0A" w:rsidRPr="00AB1427" w:rsidRDefault="00E17C0A" w:rsidP="00E2736D">
            <w:pPr>
              <w:pStyle w:val="TableFigText"/>
              <w:jc w:val="right"/>
            </w:pPr>
            <w:r w:rsidRPr="00AB1427">
              <w:t>0.3</w:t>
            </w:r>
          </w:p>
        </w:tc>
        <w:tc>
          <w:tcPr>
            <w:tcW w:w="1070" w:type="dxa"/>
            <w:vAlign w:val="bottom"/>
          </w:tcPr>
          <w:p w:rsidR="00E17C0A" w:rsidRPr="00AB1427" w:rsidRDefault="00E17C0A" w:rsidP="00E2736D">
            <w:pPr>
              <w:pStyle w:val="TableFigText"/>
              <w:jc w:val="right"/>
            </w:pPr>
            <w:r w:rsidRPr="00AB1427">
              <w:t>0.0</w:t>
            </w:r>
          </w:p>
        </w:tc>
        <w:tc>
          <w:tcPr>
            <w:tcW w:w="1054" w:type="dxa"/>
            <w:vAlign w:val="bottom"/>
          </w:tcPr>
          <w:p w:rsidR="00E17C0A" w:rsidRPr="00AB1427" w:rsidRDefault="00E17C0A" w:rsidP="00E2736D">
            <w:pPr>
              <w:pStyle w:val="TableFigText"/>
              <w:jc w:val="right"/>
            </w:pPr>
            <w:r w:rsidRPr="00AB1427">
              <w:t>74.8</w:t>
            </w:r>
          </w:p>
        </w:tc>
      </w:tr>
      <w:tr w:rsidR="00E17C0A" w:rsidRPr="00EF5802" w:rsidTr="005B2C04">
        <w:tc>
          <w:tcPr>
            <w:tcW w:w="2409" w:type="dxa"/>
          </w:tcPr>
          <w:p w:rsidR="00E17C0A" w:rsidRPr="00EF5802" w:rsidRDefault="00E17C0A" w:rsidP="005B2C04">
            <w:pPr>
              <w:pStyle w:val="TableFigText"/>
              <w:keepNext/>
              <w:rPr>
                <w:rFonts w:asciiTheme="minorHAnsi" w:hAnsiTheme="minorHAnsi" w:cstheme="minorHAnsi"/>
                <w:szCs w:val="22"/>
              </w:rPr>
            </w:pPr>
            <w:r w:rsidRPr="00EF5802">
              <w:rPr>
                <w:rFonts w:asciiTheme="minorHAnsi" w:hAnsiTheme="minorHAnsi" w:cstheme="minorHAnsi"/>
                <w:szCs w:val="22"/>
              </w:rPr>
              <w:t>Nurses</w:t>
            </w:r>
            <w:r w:rsidRPr="00EF5802">
              <w:rPr>
                <w:rFonts w:asciiTheme="minorHAnsi" w:hAnsiTheme="minorHAnsi" w:cstheme="minorHAnsi"/>
                <w:szCs w:val="22"/>
                <w:vertAlign w:val="superscript"/>
              </w:rPr>
              <w:t>(c)</w:t>
            </w:r>
          </w:p>
        </w:tc>
        <w:tc>
          <w:tcPr>
            <w:tcW w:w="1147" w:type="dxa"/>
          </w:tcPr>
          <w:p w:rsidR="00E17C0A" w:rsidRPr="00AB1427" w:rsidRDefault="00E17C0A" w:rsidP="00E2736D">
            <w:pPr>
              <w:pStyle w:val="TableFigText"/>
              <w:jc w:val="right"/>
            </w:pPr>
            <w:r w:rsidRPr="00AB1427">
              <w:t>n/a</w:t>
            </w:r>
          </w:p>
        </w:tc>
        <w:tc>
          <w:tcPr>
            <w:tcW w:w="1354" w:type="dxa"/>
            <w:vAlign w:val="bottom"/>
          </w:tcPr>
          <w:p w:rsidR="00E17C0A" w:rsidRPr="00AB1427" w:rsidRDefault="00E17C0A" w:rsidP="00E2736D">
            <w:pPr>
              <w:pStyle w:val="TableFigText"/>
              <w:jc w:val="right"/>
            </w:pPr>
            <w:r w:rsidRPr="00AB1427">
              <w:t>283.0</w:t>
            </w:r>
          </w:p>
        </w:tc>
        <w:tc>
          <w:tcPr>
            <w:tcW w:w="1229" w:type="dxa"/>
            <w:vAlign w:val="bottom"/>
          </w:tcPr>
          <w:p w:rsidR="00E17C0A" w:rsidRPr="00AB1427" w:rsidRDefault="00E17C0A" w:rsidP="00E2736D">
            <w:pPr>
              <w:pStyle w:val="TableFigText"/>
              <w:jc w:val="right"/>
            </w:pPr>
            <w:r w:rsidRPr="00AB1427">
              <w:t>53.2</w:t>
            </w:r>
          </w:p>
        </w:tc>
        <w:tc>
          <w:tcPr>
            <w:tcW w:w="1023" w:type="dxa"/>
            <w:vAlign w:val="bottom"/>
          </w:tcPr>
          <w:p w:rsidR="00E17C0A" w:rsidRPr="00AB1427" w:rsidRDefault="00E17C0A" w:rsidP="00E2736D">
            <w:pPr>
              <w:pStyle w:val="TableFigText"/>
              <w:jc w:val="right"/>
            </w:pPr>
            <w:r w:rsidRPr="00AB1427">
              <w:t>1.2</w:t>
            </w:r>
          </w:p>
        </w:tc>
        <w:tc>
          <w:tcPr>
            <w:tcW w:w="1070" w:type="dxa"/>
            <w:vAlign w:val="bottom"/>
          </w:tcPr>
          <w:p w:rsidR="00E17C0A" w:rsidRPr="00AB1427" w:rsidRDefault="00E17C0A" w:rsidP="00E2736D">
            <w:pPr>
              <w:pStyle w:val="TableFigText"/>
              <w:jc w:val="right"/>
            </w:pPr>
            <w:r w:rsidRPr="00AB1427">
              <w:t>0.0</w:t>
            </w:r>
          </w:p>
        </w:tc>
        <w:tc>
          <w:tcPr>
            <w:tcW w:w="1054" w:type="dxa"/>
            <w:vAlign w:val="bottom"/>
          </w:tcPr>
          <w:p w:rsidR="00E17C0A" w:rsidRPr="00AB1427" w:rsidRDefault="00E17C0A" w:rsidP="00E2736D">
            <w:pPr>
              <w:pStyle w:val="TableFigText"/>
              <w:jc w:val="right"/>
            </w:pPr>
            <w:r w:rsidRPr="00AB1427">
              <w:t>337.5</w:t>
            </w:r>
          </w:p>
        </w:tc>
      </w:tr>
      <w:tr w:rsidR="00E17C0A" w:rsidRPr="00EF5802" w:rsidTr="005B2C04">
        <w:tc>
          <w:tcPr>
            <w:tcW w:w="2409" w:type="dxa"/>
          </w:tcPr>
          <w:p w:rsidR="00E17C0A" w:rsidRPr="00EF5802" w:rsidRDefault="00E17C0A" w:rsidP="005B2C04">
            <w:pPr>
              <w:pStyle w:val="TableFigText"/>
              <w:keepNext/>
              <w:rPr>
                <w:rFonts w:asciiTheme="minorHAnsi" w:hAnsiTheme="minorHAnsi" w:cstheme="minorHAnsi"/>
                <w:szCs w:val="22"/>
              </w:rPr>
            </w:pPr>
            <w:r w:rsidRPr="00EF5802">
              <w:rPr>
                <w:rFonts w:asciiTheme="minorHAnsi" w:hAnsiTheme="minorHAnsi" w:cstheme="minorHAnsi"/>
                <w:szCs w:val="22"/>
              </w:rPr>
              <w:t>Carer workers</w:t>
            </w:r>
            <w:r w:rsidRPr="00EF5802">
              <w:rPr>
                <w:rFonts w:asciiTheme="minorHAnsi" w:hAnsiTheme="minorHAnsi" w:cstheme="minorHAnsi"/>
                <w:szCs w:val="22"/>
                <w:vertAlign w:val="superscript"/>
              </w:rPr>
              <w:t>(d)</w:t>
            </w:r>
          </w:p>
        </w:tc>
        <w:tc>
          <w:tcPr>
            <w:tcW w:w="1147" w:type="dxa"/>
          </w:tcPr>
          <w:p w:rsidR="00E17C0A" w:rsidRPr="00AB1427" w:rsidRDefault="00E17C0A" w:rsidP="00E2736D">
            <w:pPr>
              <w:pStyle w:val="TableFigText"/>
              <w:jc w:val="right"/>
            </w:pPr>
            <w:r w:rsidRPr="00AB1427">
              <w:t>n/a</w:t>
            </w:r>
          </w:p>
        </w:tc>
        <w:tc>
          <w:tcPr>
            <w:tcW w:w="1354" w:type="dxa"/>
            <w:vAlign w:val="bottom"/>
          </w:tcPr>
          <w:p w:rsidR="00E17C0A" w:rsidRPr="00AB1427" w:rsidRDefault="00E17C0A" w:rsidP="00E2736D">
            <w:pPr>
              <w:pStyle w:val="TableFigText"/>
              <w:jc w:val="right"/>
            </w:pPr>
            <w:r w:rsidRPr="00AB1427">
              <w:t>0.4</w:t>
            </w:r>
          </w:p>
        </w:tc>
        <w:tc>
          <w:tcPr>
            <w:tcW w:w="1229" w:type="dxa"/>
            <w:vAlign w:val="bottom"/>
          </w:tcPr>
          <w:p w:rsidR="00E17C0A" w:rsidRPr="00AB1427" w:rsidRDefault="00E17C0A" w:rsidP="00E2736D">
            <w:pPr>
              <w:pStyle w:val="TableFigText"/>
              <w:jc w:val="right"/>
            </w:pPr>
            <w:r w:rsidRPr="00AB1427">
              <w:t>0.1</w:t>
            </w:r>
          </w:p>
        </w:tc>
        <w:tc>
          <w:tcPr>
            <w:tcW w:w="1023" w:type="dxa"/>
            <w:vAlign w:val="bottom"/>
          </w:tcPr>
          <w:p w:rsidR="00E17C0A" w:rsidRPr="00AB1427" w:rsidRDefault="00E17C0A" w:rsidP="00E2736D">
            <w:pPr>
              <w:pStyle w:val="TableFigText"/>
              <w:jc w:val="right"/>
            </w:pPr>
            <w:r w:rsidRPr="00AB1427">
              <w:t>0.0</w:t>
            </w:r>
          </w:p>
        </w:tc>
        <w:tc>
          <w:tcPr>
            <w:tcW w:w="1070" w:type="dxa"/>
            <w:vAlign w:val="bottom"/>
          </w:tcPr>
          <w:p w:rsidR="00E17C0A" w:rsidRPr="00AB1427" w:rsidRDefault="00E17C0A" w:rsidP="00E2736D">
            <w:pPr>
              <w:pStyle w:val="TableFigText"/>
              <w:jc w:val="right"/>
            </w:pPr>
            <w:r w:rsidRPr="00AB1427">
              <w:t>0.0</w:t>
            </w:r>
          </w:p>
        </w:tc>
        <w:tc>
          <w:tcPr>
            <w:tcW w:w="1054" w:type="dxa"/>
            <w:vAlign w:val="bottom"/>
          </w:tcPr>
          <w:p w:rsidR="00E17C0A" w:rsidRPr="00AB1427" w:rsidRDefault="00E17C0A" w:rsidP="00E2736D">
            <w:pPr>
              <w:pStyle w:val="TableFigText"/>
              <w:jc w:val="right"/>
            </w:pPr>
            <w:r w:rsidRPr="00AB1427">
              <w:t>0.6</w:t>
            </w:r>
          </w:p>
        </w:tc>
      </w:tr>
      <w:tr w:rsidR="00E17C0A" w:rsidRPr="00EF5802" w:rsidTr="005B2C04">
        <w:tc>
          <w:tcPr>
            <w:tcW w:w="2409" w:type="dxa"/>
          </w:tcPr>
          <w:p w:rsidR="00E17C0A" w:rsidRPr="00EF5802" w:rsidRDefault="00E17C0A" w:rsidP="005B2C04">
            <w:pPr>
              <w:pStyle w:val="TableFigText"/>
              <w:keepNext/>
              <w:rPr>
                <w:rFonts w:asciiTheme="minorHAnsi" w:hAnsiTheme="minorHAnsi" w:cstheme="minorHAnsi"/>
                <w:szCs w:val="22"/>
              </w:rPr>
            </w:pPr>
            <w:r w:rsidRPr="00EF5802">
              <w:rPr>
                <w:rFonts w:asciiTheme="minorHAnsi" w:hAnsiTheme="minorHAnsi" w:cstheme="minorHAnsi"/>
                <w:szCs w:val="22"/>
              </w:rPr>
              <w:t>Consumer workers</w:t>
            </w:r>
            <w:r w:rsidRPr="00EF5802">
              <w:rPr>
                <w:rFonts w:asciiTheme="minorHAnsi" w:hAnsiTheme="minorHAnsi" w:cstheme="minorHAnsi"/>
                <w:szCs w:val="22"/>
                <w:vertAlign w:val="superscript"/>
              </w:rPr>
              <w:t>(d)</w:t>
            </w:r>
          </w:p>
        </w:tc>
        <w:tc>
          <w:tcPr>
            <w:tcW w:w="1147" w:type="dxa"/>
          </w:tcPr>
          <w:p w:rsidR="00E17C0A" w:rsidRPr="00AB1427" w:rsidRDefault="00E17C0A" w:rsidP="00E2736D">
            <w:pPr>
              <w:pStyle w:val="TableFigText"/>
              <w:jc w:val="right"/>
            </w:pPr>
            <w:r w:rsidRPr="00AB1427">
              <w:t>n/a</w:t>
            </w:r>
          </w:p>
        </w:tc>
        <w:tc>
          <w:tcPr>
            <w:tcW w:w="1354" w:type="dxa"/>
            <w:vAlign w:val="bottom"/>
          </w:tcPr>
          <w:p w:rsidR="00E17C0A" w:rsidRPr="00AB1427" w:rsidRDefault="00E17C0A" w:rsidP="00E2736D">
            <w:pPr>
              <w:pStyle w:val="TableFigText"/>
              <w:jc w:val="right"/>
            </w:pPr>
            <w:r w:rsidRPr="00AB1427">
              <w:t>1.4</w:t>
            </w:r>
          </w:p>
        </w:tc>
        <w:tc>
          <w:tcPr>
            <w:tcW w:w="1229" w:type="dxa"/>
            <w:vAlign w:val="bottom"/>
          </w:tcPr>
          <w:p w:rsidR="00E17C0A" w:rsidRPr="00AB1427" w:rsidRDefault="00E17C0A" w:rsidP="00E2736D">
            <w:pPr>
              <w:pStyle w:val="TableFigText"/>
              <w:jc w:val="right"/>
            </w:pPr>
            <w:r w:rsidRPr="00AB1427">
              <w:t>0.1</w:t>
            </w:r>
          </w:p>
        </w:tc>
        <w:tc>
          <w:tcPr>
            <w:tcW w:w="1023" w:type="dxa"/>
            <w:vAlign w:val="bottom"/>
          </w:tcPr>
          <w:p w:rsidR="00E17C0A" w:rsidRPr="00AB1427" w:rsidRDefault="00E17C0A" w:rsidP="00E2736D">
            <w:pPr>
              <w:pStyle w:val="TableFigText"/>
              <w:jc w:val="right"/>
            </w:pPr>
            <w:r w:rsidRPr="00AB1427">
              <w:t>0.0</w:t>
            </w:r>
          </w:p>
        </w:tc>
        <w:tc>
          <w:tcPr>
            <w:tcW w:w="1070" w:type="dxa"/>
            <w:vAlign w:val="bottom"/>
          </w:tcPr>
          <w:p w:rsidR="00E17C0A" w:rsidRPr="00AB1427" w:rsidRDefault="00E17C0A" w:rsidP="00E2736D">
            <w:pPr>
              <w:pStyle w:val="TableFigText"/>
              <w:jc w:val="right"/>
            </w:pPr>
            <w:r w:rsidRPr="00AB1427">
              <w:t>0.0</w:t>
            </w:r>
          </w:p>
        </w:tc>
        <w:tc>
          <w:tcPr>
            <w:tcW w:w="1054" w:type="dxa"/>
            <w:vAlign w:val="bottom"/>
          </w:tcPr>
          <w:p w:rsidR="00E17C0A" w:rsidRPr="00AB1427" w:rsidRDefault="00E17C0A" w:rsidP="00E2736D">
            <w:pPr>
              <w:pStyle w:val="TableFigText"/>
              <w:jc w:val="right"/>
            </w:pPr>
            <w:r w:rsidRPr="00AB1427">
              <w:t>1.5</w:t>
            </w:r>
          </w:p>
        </w:tc>
      </w:tr>
      <w:tr w:rsidR="00E17C0A" w:rsidRPr="00EF5802" w:rsidTr="005B2C04">
        <w:tc>
          <w:tcPr>
            <w:tcW w:w="2409" w:type="dxa"/>
          </w:tcPr>
          <w:p w:rsidR="00E17C0A" w:rsidRPr="00EF5802" w:rsidRDefault="00E17C0A" w:rsidP="005B2C04">
            <w:pPr>
              <w:pStyle w:val="TableFigText"/>
              <w:keepNext/>
              <w:rPr>
                <w:rFonts w:asciiTheme="minorHAnsi" w:hAnsiTheme="minorHAnsi" w:cstheme="minorHAnsi"/>
                <w:szCs w:val="22"/>
              </w:rPr>
            </w:pPr>
            <w:r w:rsidRPr="00EF5802">
              <w:rPr>
                <w:rFonts w:asciiTheme="minorHAnsi" w:hAnsiTheme="minorHAnsi" w:cstheme="minorHAnsi"/>
                <w:szCs w:val="22"/>
              </w:rPr>
              <w:t>Other personal care</w:t>
            </w:r>
            <w:r w:rsidRPr="00EF5802">
              <w:rPr>
                <w:rFonts w:asciiTheme="minorHAnsi" w:hAnsiTheme="minorHAnsi" w:cstheme="minorHAnsi"/>
                <w:szCs w:val="22"/>
                <w:vertAlign w:val="superscript"/>
              </w:rPr>
              <w:t>(e)</w:t>
            </w:r>
          </w:p>
        </w:tc>
        <w:tc>
          <w:tcPr>
            <w:tcW w:w="1147" w:type="dxa"/>
          </w:tcPr>
          <w:p w:rsidR="00E17C0A" w:rsidRPr="00AB1427" w:rsidRDefault="00E17C0A" w:rsidP="00E2736D">
            <w:pPr>
              <w:pStyle w:val="TableFigText"/>
              <w:jc w:val="right"/>
            </w:pPr>
            <w:r w:rsidRPr="00AB1427">
              <w:t>n/a</w:t>
            </w:r>
          </w:p>
        </w:tc>
        <w:tc>
          <w:tcPr>
            <w:tcW w:w="1354" w:type="dxa"/>
            <w:vAlign w:val="bottom"/>
          </w:tcPr>
          <w:p w:rsidR="00E17C0A" w:rsidRPr="00AB1427" w:rsidRDefault="00E17C0A" w:rsidP="00E2736D">
            <w:pPr>
              <w:pStyle w:val="TableFigText"/>
              <w:jc w:val="right"/>
            </w:pPr>
            <w:r w:rsidRPr="00AB1427">
              <w:t>142.9</w:t>
            </w:r>
          </w:p>
        </w:tc>
        <w:tc>
          <w:tcPr>
            <w:tcW w:w="1229" w:type="dxa"/>
            <w:vAlign w:val="bottom"/>
          </w:tcPr>
          <w:p w:rsidR="00E17C0A" w:rsidRPr="00AB1427" w:rsidRDefault="00E17C0A" w:rsidP="00E2736D">
            <w:pPr>
              <w:pStyle w:val="TableFigText"/>
              <w:jc w:val="right"/>
            </w:pPr>
            <w:r w:rsidRPr="00AB1427">
              <w:t>18.4</w:t>
            </w:r>
          </w:p>
        </w:tc>
        <w:tc>
          <w:tcPr>
            <w:tcW w:w="1023" w:type="dxa"/>
            <w:vAlign w:val="bottom"/>
          </w:tcPr>
          <w:p w:rsidR="00E17C0A" w:rsidRPr="00AB1427" w:rsidRDefault="00E17C0A" w:rsidP="00E2736D">
            <w:pPr>
              <w:pStyle w:val="TableFigText"/>
              <w:jc w:val="right"/>
            </w:pPr>
            <w:r w:rsidRPr="00AB1427">
              <w:t>0.3</w:t>
            </w:r>
          </w:p>
        </w:tc>
        <w:tc>
          <w:tcPr>
            <w:tcW w:w="1070" w:type="dxa"/>
            <w:vAlign w:val="bottom"/>
          </w:tcPr>
          <w:p w:rsidR="00E17C0A" w:rsidRPr="00AB1427" w:rsidRDefault="00E17C0A" w:rsidP="00E2736D">
            <w:pPr>
              <w:pStyle w:val="TableFigText"/>
              <w:jc w:val="right"/>
            </w:pPr>
            <w:r w:rsidRPr="00AB1427">
              <w:t>0.0</w:t>
            </w:r>
          </w:p>
        </w:tc>
        <w:tc>
          <w:tcPr>
            <w:tcW w:w="1054" w:type="dxa"/>
            <w:vAlign w:val="bottom"/>
          </w:tcPr>
          <w:p w:rsidR="00E17C0A" w:rsidRPr="00AB1427" w:rsidRDefault="00E17C0A" w:rsidP="00E2736D">
            <w:pPr>
              <w:pStyle w:val="TableFigText"/>
              <w:jc w:val="right"/>
            </w:pPr>
            <w:r w:rsidRPr="00AB1427">
              <w:t>161.5</w:t>
            </w:r>
          </w:p>
        </w:tc>
      </w:tr>
      <w:tr w:rsidR="00E17C0A" w:rsidRPr="00EF5802" w:rsidTr="005B2C04">
        <w:tc>
          <w:tcPr>
            <w:tcW w:w="2409" w:type="dxa"/>
          </w:tcPr>
          <w:p w:rsidR="00E17C0A" w:rsidRPr="00EF5802" w:rsidRDefault="00E17C0A" w:rsidP="005B2C04">
            <w:pPr>
              <w:pStyle w:val="TableFigText"/>
              <w:keepNext/>
              <w:rPr>
                <w:rFonts w:asciiTheme="minorHAnsi" w:hAnsiTheme="minorHAnsi" w:cstheme="minorHAnsi"/>
                <w:szCs w:val="22"/>
              </w:rPr>
            </w:pPr>
            <w:r w:rsidRPr="00EF5802">
              <w:rPr>
                <w:rFonts w:asciiTheme="minorHAnsi" w:hAnsiTheme="minorHAnsi" w:cstheme="minorHAnsi"/>
                <w:szCs w:val="22"/>
              </w:rPr>
              <w:t>Other staffing categories</w:t>
            </w:r>
            <w:r w:rsidRPr="00EF5802">
              <w:rPr>
                <w:rFonts w:asciiTheme="minorHAnsi" w:hAnsiTheme="minorHAnsi" w:cstheme="minorHAnsi"/>
                <w:szCs w:val="22"/>
                <w:vertAlign w:val="superscript"/>
              </w:rPr>
              <w:t>(f)</w:t>
            </w:r>
          </w:p>
        </w:tc>
        <w:tc>
          <w:tcPr>
            <w:tcW w:w="1147" w:type="dxa"/>
          </w:tcPr>
          <w:p w:rsidR="00E17C0A" w:rsidRPr="00AB1427" w:rsidRDefault="00E17C0A" w:rsidP="00E2736D">
            <w:pPr>
              <w:pStyle w:val="TableFigText"/>
              <w:jc w:val="right"/>
            </w:pPr>
            <w:r w:rsidRPr="00AB1427">
              <w:t>n/a</w:t>
            </w:r>
          </w:p>
        </w:tc>
        <w:tc>
          <w:tcPr>
            <w:tcW w:w="1354" w:type="dxa"/>
            <w:vAlign w:val="bottom"/>
          </w:tcPr>
          <w:p w:rsidR="00E17C0A" w:rsidRPr="00AB1427" w:rsidRDefault="00E17C0A" w:rsidP="00E2736D">
            <w:pPr>
              <w:pStyle w:val="TableFigText"/>
              <w:jc w:val="right"/>
            </w:pPr>
            <w:r w:rsidRPr="00AB1427">
              <w:t>82.6</w:t>
            </w:r>
          </w:p>
        </w:tc>
        <w:tc>
          <w:tcPr>
            <w:tcW w:w="1229" w:type="dxa"/>
            <w:vAlign w:val="bottom"/>
          </w:tcPr>
          <w:p w:rsidR="00E17C0A" w:rsidRPr="00AB1427" w:rsidRDefault="00E17C0A" w:rsidP="00E2736D">
            <w:pPr>
              <w:pStyle w:val="TableFigText"/>
              <w:jc w:val="right"/>
            </w:pPr>
            <w:r w:rsidRPr="00AB1427">
              <w:t>16.9</w:t>
            </w:r>
          </w:p>
        </w:tc>
        <w:tc>
          <w:tcPr>
            <w:tcW w:w="1023" w:type="dxa"/>
            <w:vAlign w:val="bottom"/>
          </w:tcPr>
          <w:p w:rsidR="00E17C0A" w:rsidRPr="00AB1427" w:rsidRDefault="00E17C0A" w:rsidP="00E2736D">
            <w:pPr>
              <w:pStyle w:val="TableFigText"/>
              <w:jc w:val="right"/>
            </w:pPr>
            <w:r w:rsidRPr="00AB1427">
              <w:t>0.3</w:t>
            </w:r>
          </w:p>
        </w:tc>
        <w:tc>
          <w:tcPr>
            <w:tcW w:w="1070" w:type="dxa"/>
            <w:vAlign w:val="bottom"/>
          </w:tcPr>
          <w:p w:rsidR="00E17C0A" w:rsidRPr="00AB1427" w:rsidRDefault="00E17C0A" w:rsidP="00E2736D">
            <w:pPr>
              <w:pStyle w:val="TableFigText"/>
              <w:jc w:val="right"/>
            </w:pPr>
            <w:r w:rsidRPr="00AB1427">
              <w:t>0.0</w:t>
            </w:r>
          </w:p>
        </w:tc>
        <w:tc>
          <w:tcPr>
            <w:tcW w:w="1054" w:type="dxa"/>
            <w:vAlign w:val="bottom"/>
          </w:tcPr>
          <w:p w:rsidR="00E17C0A" w:rsidRPr="00AB1427" w:rsidRDefault="00E17C0A" w:rsidP="00E2736D">
            <w:pPr>
              <w:pStyle w:val="TableFigText"/>
              <w:jc w:val="right"/>
            </w:pPr>
            <w:r w:rsidRPr="00AB1427">
              <w:t>99.8</w:t>
            </w:r>
          </w:p>
        </w:tc>
      </w:tr>
      <w:tr w:rsidR="00E17C0A" w:rsidRPr="00EF5802" w:rsidTr="005B2C04">
        <w:tc>
          <w:tcPr>
            <w:tcW w:w="2409" w:type="dxa"/>
          </w:tcPr>
          <w:p w:rsidR="00E17C0A" w:rsidRPr="00EF5802" w:rsidRDefault="00E17C0A" w:rsidP="005B2C04">
            <w:pPr>
              <w:pStyle w:val="TableFigText"/>
              <w:keepNext/>
              <w:rPr>
                <w:rFonts w:asciiTheme="minorHAnsi" w:hAnsiTheme="minorHAnsi" w:cstheme="minorHAnsi"/>
                <w:b/>
                <w:szCs w:val="22"/>
              </w:rPr>
            </w:pPr>
            <w:r w:rsidRPr="00EF5802">
              <w:rPr>
                <w:rFonts w:asciiTheme="minorHAnsi" w:hAnsiTheme="minorHAnsi" w:cstheme="minorHAnsi"/>
                <w:b/>
                <w:szCs w:val="22"/>
              </w:rPr>
              <w:t>Total</w:t>
            </w:r>
            <w:r w:rsidRPr="00EF5802">
              <w:rPr>
                <w:rFonts w:asciiTheme="minorHAnsi" w:hAnsiTheme="minorHAnsi" w:cstheme="minorHAnsi"/>
                <w:b/>
                <w:szCs w:val="22"/>
                <w:vertAlign w:val="superscript"/>
              </w:rPr>
              <w:t>(a)</w:t>
            </w:r>
          </w:p>
        </w:tc>
        <w:tc>
          <w:tcPr>
            <w:tcW w:w="1147" w:type="dxa"/>
          </w:tcPr>
          <w:p w:rsidR="00E17C0A" w:rsidRPr="00E2736D" w:rsidRDefault="00E17C0A" w:rsidP="00E2736D">
            <w:pPr>
              <w:pStyle w:val="TableFigText"/>
              <w:jc w:val="right"/>
              <w:rPr>
                <w:b/>
              </w:rPr>
            </w:pPr>
            <w:r w:rsidRPr="00E2736D">
              <w:rPr>
                <w:b/>
              </w:rPr>
              <w:t>n/a</w:t>
            </w:r>
          </w:p>
        </w:tc>
        <w:tc>
          <w:tcPr>
            <w:tcW w:w="1354" w:type="dxa"/>
            <w:vAlign w:val="bottom"/>
          </w:tcPr>
          <w:p w:rsidR="00E17C0A" w:rsidRPr="00E2736D" w:rsidRDefault="00E17C0A" w:rsidP="00E2736D">
            <w:pPr>
              <w:pStyle w:val="TableFigText"/>
              <w:jc w:val="right"/>
              <w:rPr>
                <w:b/>
              </w:rPr>
            </w:pPr>
            <w:r w:rsidRPr="00E2736D">
              <w:rPr>
                <w:b/>
              </w:rPr>
              <w:t>627.0</w:t>
            </w:r>
          </w:p>
        </w:tc>
        <w:tc>
          <w:tcPr>
            <w:tcW w:w="1229" w:type="dxa"/>
            <w:vAlign w:val="bottom"/>
          </w:tcPr>
          <w:p w:rsidR="00E17C0A" w:rsidRPr="00E2736D" w:rsidRDefault="00E17C0A" w:rsidP="00E2736D">
            <w:pPr>
              <w:pStyle w:val="TableFigText"/>
              <w:jc w:val="right"/>
              <w:rPr>
                <w:b/>
              </w:rPr>
            </w:pPr>
            <w:r w:rsidRPr="00E2736D">
              <w:rPr>
                <w:b/>
              </w:rPr>
              <w:t>117.3</w:t>
            </w:r>
          </w:p>
        </w:tc>
        <w:tc>
          <w:tcPr>
            <w:tcW w:w="1023" w:type="dxa"/>
            <w:vAlign w:val="bottom"/>
          </w:tcPr>
          <w:p w:rsidR="00E17C0A" w:rsidRPr="00E2736D" w:rsidRDefault="00E17C0A" w:rsidP="00E2736D">
            <w:pPr>
              <w:pStyle w:val="TableFigText"/>
              <w:jc w:val="right"/>
              <w:rPr>
                <w:b/>
              </w:rPr>
            </w:pPr>
            <w:r w:rsidRPr="00E2736D">
              <w:rPr>
                <w:b/>
              </w:rPr>
              <w:t>2.4</w:t>
            </w:r>
          </w:p>
        </w:tc>
        <w:tc>
          <w:tcPr>
            <w:tcW w:w="1070" w:type="dxa"/>
            <w:vAlign w:val="bottom"/>
          </w:tcPr>
          <w:p w:rsidR="00E17C0A" w:rsidRPr="00E2736D" w:rsidRDefault="00E17C0A" w:rsidP="00E2736D">
            <w:pPr>
              <w:pStyle w:val="TableFigText"/>
              <w:jc w:val="right"/>
              <w:rPr>
                <w:b/>
              </w:rPr>
            </w:pPr>
            <w:r w:rsidRPr="00E2736D">
              <w:rPr>
                <w:b/>
              </w:rPr>
              <w:t>0.0</w:t>
            </w:r>
          </w:p>
        </w:tc>
        <w:tc>
          <w:tcPr>
            <w:tcW w:w="1054" w:type="dxa"/>
            <w:vAlign w:val="bottom"/>
          </w:tcPr>
          <w:p w:rsidR="00E17C0A" w:rsidRPr="00E2736D" w:rsidRDefault="00E17C0A" w:rsidP="00E2736D">
            <w:pPr>
              <w:pStyle w:val="TableFigText"/>
              <w:jc w:val="right"/>
              <w:rPr>
                <w:b/>
              </w:rPr>
            </w:pPr>
            <w:r w:rsidRPr="00E2736D">
              <w:rPr>
                <w:b/>
              </w:rPr>
              <w:t>746.6</w:t>
            </w:r>
          </w:p>
        </w:tc>
      </w:tr>
    </w:tbl>
    <w:p w:rsidR="00E17C0A" w:rsidRPr="00207B28" w:rsidRDefault="00E17C0A" w:rsidP="006B2ED0">
      <w:pPr>
        <w:pStyle w:val="TableFigNotesnumbered"/>
        <w:ind w:left="294" w:hanging="294"/>
        <w:rPr>
          <w:rFonts w:asciiTheme="minorHAnsi" w:hAnsiTheme="minorHAnsi" w:cstheme="minorHAnsi"/>
        </w:rPr>
      </w:pPr>
      <w:proofErr w:type="gramStart"/>
      <w:r w:rsidRPr="000E77A4">
        <w:rPr>
          <w:rStyle w:val="table-note"/>
        </w:rPr>
        <w:t>n/a</w:t>
      </w:r>
      <w:proofErr w:type="gramEnd"/>
      <w:r w:rsidRPr="000E77A4">
        <w:rPr>
          <w:rStyle w:val="table-note"/>
        </w:rPr>
        <w:t xml:space="preserve"> </w:t>
      </w:r>
      <w:r w:rsidRPr="000E77A4">
        <w:rPr>
          <w:rStyle w:val="table-note"/>
        </w:rPr>
        <w:tab/>
        <w:t>Not applicable</w:t>
      </w:r>
      <w:r w:rsidRPr="00207B28">
        <w:rPr>
          <w:rFonts w:asciiTheme="minorHAnsi" w:hAnsiTheme="minorHAnsi" w:cstheme="minorHAnsi"/>
        </w:rPr>
        <w:t>.</w:t>
      </w:r>
    </w:p>
    <w:p w:rsidR="00E17C0A" w:rsidRPr="000E77A4" w:rsidRDefault="00E17C0A" w:rsidP="0097112F">
      <w:pPr>
        <w:pStyle w:val="TableFigNotesnumbered"/>
        <w:numPr>
          <w:ilvl w:val="0"/>
          <w:numId w:val="95"/>
        </w:numPr>
        <w:rPr>
          <w:rStyle w:val="table-note"/>
        </w:rPr>
      </w:pPr>
      <w:r w:rsidRPr="000E77A4">
        <w:rPr>
          <w:rStyle w:val="table-note"/>
        </w:rPr>
        <w:t>Totals may not add due to rounding.</w:t>
      </w:r>
    </w:p>
    <w:p w:rsidR="000E77A4" w:rsidRPr="000E77A4" w:rsidRDefault="00E17C0A" w:rsidP="0097112F">
      <w:pPr>
        <w:pStyle w:val="TableFigNotesnumbered"/>
        <w:numPr>
          <w:ilvl w:val="0"/>
          <w:numId w:val="95"/>
        </w:numPr>
        <w:rPr>
          <w:rStyle w:val="table-note"/>
        </w:rPr>
      </w:pPr>
      <w:r w:rsidRPr="000E77A4">
        <w:rPr>
          <w:rStyle w:val="table-note"/>
        </w:rPr>
        <w:t xml:space="preserve">Diagnostic and health professionals includes qualified staff (other than qualified medical or nursing staff) engaged in duties of a diagnostic, professional or technical </w:t>
      </w:r>
      <w:r w:rsidRPr="000E77A4">
        <w:rPr>
          <w:rFonts w:asciiTheme="minorHAnsi" w:hAnsiTheme="minorHAnsi" w:cstheme="minorHAnsi"/>
        </w:rPr>
        <w:t>nature</w:t>
      </w:r>
      <w:r w:rsidRPr="000E77A4">
        <w:rPr>
          <w:rStyle w:val="table-note"/>
        </w:rPr>
        <w:t xml:space="preserve"> and covers all allied health professionals and laboratory technicians, including Social Workers, Occupational Therapists and others  (</w:t>
      </w:r>
      <w:proofErr w:type="spellStart"/>
      <w:r w:rsidRPr="000E77A4">
        <w:rPr>
          <w:rStyle w:val="table-note"/>
        </w:rPr>
        <w:t>METeOR</w:t>
      </w:r>
      <w:proofErr w:type="spellEnd"/>
      <w:r w:rsidRPr="000E77A4">
        <w:rPr>
          <w:rStyle w:val="table-note"/>
        </w:rPr>
        <w:t xml:space="preserve"> identifier 287611).</w:t>
      </w:r>
      <w:r w:rsidRPr="000E77A4" w:rsidDel="000D1392">
        <w:rPr>
          <w:rStyle w:val="table-note"/>
        </w:rPr>
        <w:t xml:space="preserve"> </w:t>
      </w:r>
    </w:p>
    <w:p w:rsidR="00E17C0A" w:rsidRPr="000E77A4" w:rsidRDefault="00E17C0A" w:rsidP="0097112F">
      <w:pPr>
        <w:pStyle w:val="TableFigNotesnumbered"/>
        <w:numPr>
          <w:ilvl w:val="0"/>
          <w:numId w:val="95"/>
        </w:numPr>
        <w:rPr>
          <w:rStyle w:val="table-note"/>
        </w:rPr>
      </w:pPr>
      <w:r w:rsidRPr="000E77A4">
        <w:rPr>
          <w:rStyle w:val="table-note"/>
        </w:rPr>
        <w:t>Includes registered and enrolled nurses.</w:t>
      </w:r>
    </w:p>
    <w:p w:rsidR="00E17C0A" w:rsidRPr="000E77A4" w:rsidRDefault="00E17C0A" w:rsidP="0097112F">
      <w:pPr>
        <w:pStyle w:val="TableFigNotesnumbered"/>
        <w:numPr>
          <w:ilvl w:val="0"/>
          <w:numId w:val="95"/>
        </w:numPr>
        <w:rPr>
          <w:rStyle w:val="table-note"/>
        </w:rPr>
      </w:pPr>
      <w:r w:rsidRPr="000E77A4">
        <w:rPr>
          <w:rStyle w:val="table-note"/>
        </w:rPr>
        <w:t xml:space="preserve">The definition of these categories was modified from 'consultants' to 'mental health workers' for the 2010–11 collection, in order to capture a variety of contemporary roles. </w:t>
      </w:r>
    </w:p>
    <w:p w:rsidR="00E17C0A" w:rsidRPr="000E77A4" w:rsidRDefault="00E17C0A" w:rsidP="0097112F">
      <w:pPr>
        <w:pStyle w:val="TableFigNotesnumbered"/>
        <w:numPr>
          <w:ilvl w:val="0"/>
          <w:numId w:val="95"/>
        </w:numPr>
        <w:rPr>
          <w:rStyle w:val="table-note"/>
        </w:rPr>
      </w:pPr>
      <w:r w:rsidRPr="000E77A4">
        <w:rPr>
          <w:rStyle w:val="table-note"/>
        </w:rPr>
        <w:t>Other personal care staff includes staff engaged primarily in the provision of personal care to patients or residents, not formally qualified, for example attendants, assistants of home assistance, home companions, family aides, ward helpers, warders, orderlies, ward assistants and nursing assistants (</w:t>
      </w:r>
      <w:proofErr w:type="spellStart"/>
      <w:r w:rsidRPr="000E77A4">
        <w:rPr>
          <w:rStyle w:val="table-note"/>
        </w:rPr>
        <w:t>METeOR</w:t>
      </w:r>
      <w:proofErr w:type="spellEnd"/>
      <w:r w:rsidRPr="000E77A4">
        <w:rPr>
          <w:rStyle w:val="table-note"/>
        </w:rPr>
        <w:t xml:space="preserve"> 270171).</w:t>
      </w:r>
    </w:p>
    <w:p w:rsidR="00E17C0A" w:rsidRPr="000E77A4" w:rsidRDefault="00E17C0A" w:rsidP="0097112F">
      <w:pPr>
        <w:pStyle w:val="TableFigNotesnumbered"/>
        <w:numPr>
          <w:ilvl w:val="0"/>
          <w:numId w:val="95"/>
        </w:numPr>
        <w:rPr>
          <w:rStyle w:val="table-note"/>
        </w:rPr>
      </w:pPr>
      <w:r w:rsidRPr="000E77A4">
        <w:rPr>
          <w:rStyle w:val="table-note"/>
        </w:rPr>
        <w:t xml:space="preserve">Other </w:t>
      </w:r>
      <w:proofErr w:type="gramStart"/>
      <w:r w:rsidRPr="000E77A4">
        <w:rPr>
          <w:rStyle w:val="table-note"/>
        </w:rPr>
        <w:t>staff</w:t>
      </w:r>
      <w:proofErr w:type="gramEnd"/>
      <w:r w:rsidRPr="000E77A4">
        <w:rPr>
          <w:rStyle w:val="table-note"/>
        </w:rPr>
        <w:t xml:space="preserve"> includes administrative and clerical and domestic and other staff categories. </w:t>
      </w:r>
    </w:p>
    <w:p w:rsidR="00E17C0A" w:rsidRPr="000E77A4" w:rsidRDefault="00E17C0A" w:rsidP="00E17C0A">
      <w:pPr>
        <w:spacing w:before="0" w:after="0" w:line="240" w:lineRule="auto"/>
        <w:rPr>
          <w:rStyle w:val="table-note"/>
          <w:rFonts w:ascii="Arial" w:hAnsi="Arial"/>
          <w:sz w:val="14"/>
          <w:szCs w:val="20"/>
          <w:lang w:eastAsia="en-US"/>
        </w:rPr>
      </w:pPr>
    </w:p>
    <w:p w:rsidR="00E17C0A" w:rsidRPr="008C2A85" w:rsidRDefault="00E17C0A" w:rsidP="00E17C0A">
      <w:pPr>
        <w:spacing w:before="0" w:after="0" w:line="240" w:lineRule="auto"/>
        <w:rPr>
          <w:rFonts w:asciiTheme="minorHAnsi" w:hAnsiTheme="minorHAnsi" w:cstheme="minorHAnsi"/>
          <w:sz w:val="14"/>
          <w:szCs w:val="20"/>
          <w:lang w:eastAsia="en-US"/>
        </w:rPr>
      </w:pPr>
      <w:r w:rsidRPr="000E77A4">
        <w:rPr>
          <w:rStyle w:val="table-note"/>
          <w:rFonts w:ascii="Arial" w:hAnsi="Arial"/>
          <w:sz w:val="14"/>
          <w:szCs w:val="20"/>
          <w:lang w:eastAsia="en-US"/>
        </w:rPr>
        <w:t>Notes:</w:t>
      </w:r>
      <w:r w:rsidRPr="008C2A85">
        <w:rPr>
          <w:rFonts w:asciiTheme="minorHAnsi" w:hAnsiTheme="minorHAnsi" w:cstheme="minorHAnsi"/>
          <w:sz w:val="14"/>
          <w:szCs w:val="20"/>
          <w:lang w:eastAsia="en-US"/>
        </w:rPr>
        <w:tab/>
      </w:r>
    </w:p>
    <w:p w:rsidR="00E17C0A" w:rsidRPr="000E77A4" w:rsidRDefault="00E17C0A" w:rsidP="00540186">
      <w:pPr>
        <w:pStyle w:val="ListParagraph"/>
        <w:numPr>
          <w:ilvl w:val="0"/>
          <w:numId w:val="28"/>
        </w:numPr>
        <w:spacing w:after="0" w:line="240" w:lineRule="auto"/>
        <w:rPr>
          <w:rStyle w:val="table-note"/>
          <w:rFonts w:ascii="Arial" w:eastAsia="Times New Roman" w:hAnsi="Arial" w:cs="Times New Roman"/>
          <w:sz w:val="14"/>
          <w:szCs w:val="20"/>
          <w:lang w:eastAsia="en-US"/>
        </w:rPr>
      </w:pPr>
      <w:r w:rsidRPr="000E77A4">
        <w:rPr>
          <w:rStyle w:val="table-note"/>
          <w:rFonts w:ascii="Arial" w:eastAsia="Times New Roman" w:hAnsi="Arial" w:cs="Times New Roman"/>
          <w:sz w:val="14"/>
          <w:szCs w:val="20"/>
          <w:lang w:eastAsia="en-US"/>
        </w:rPr>
        <w:t xml:space="preserve">Includes consumer and carer workers and staff employed at a higher organisational level. Excludes staff employed at regional or state level in mental health policy units of the associated relevant health department or equivalent. </w:t>
      </w:r>
    </w:p>
    <w:p w:rsidR="00E441F7" w:rsidRDefault="00E441F7">
      <w:pPr>
        <w:spacing w:before="0" w:after="0" w:line="240" w:lineRule="auto"/>
        <w:rPr>
          <w:rFonts w:asciiTheme="minorHAnsi" w:hAnsiTheme="minorHAnsi" w:cstheme="minorHAnsi"/>
          <w:b/>
          <w:sz w:val="20"/>
          <w:szCs w:val="20"/>
          <w:lang w:eastAsia="en-US"/>
        </w:rPr>
      </w:pPr>
      <w:r>
        <w:rPr>
          <w:rFonts w:asciiTheme="minorHAnsi" w:hAnsiTheme="minorHAnsi" w:cstheme="minorHAnsi"/>
        </w:rPr>
        <w:br w:type="page"/>
      </w:r>
    </w:p>
    <w:p w:rsidR="00E17C0A" w:rsidRPr="000E0677" w:rsidRDefault="000E0677" w:rsidP="00E17C0A">
      <w:pPr>
        <w:pStyle w:val="TableCaption"/>
        <w:rPr>
          <w:rStyle w:val="table-note"/>
        </w:rPr>
      </w:pPr>
      <w:r w:rsidRPr="000E0677">
        <w:rPr>
          <w:rStyle w:val="table-note"/>
        </w:rPr>
        <w:lastRenderedPageBreak/>
        <w:t xml:space="preserve">Table 60: </w:t>
      </w:r>
      <w:r w:rsidR="00E17C0A" w:rsidRPr="000E0677">
        <w:rPr>
          <w:rStyle w:val="table-note"/>
        </w:rPr>
        <w:t xml:space="preserve">TAS: State and territory specialised mental health service activity, by service type, </w:t>
      </w:r>
      <w:r w:rsidR="00591D14">
        <w:rPr>
          <w:rStyle w:val="table-note"/>
        </w:rPr>
        <w:br/>
      </w:r>
      <w:r w:rsidR="00E17C0A" w:rsidRPr="000E0677">
        <w:rPr>
          <w:rStyle w:val="table-note"/>
        </w:rPr>
        <w:t xml:space="preserve">2007–08 </w:t>
      </w:r>
    </w:p>
    <w:tbl>
      <w:tblPr>
        <w:tblStyle w:val="TableGrid"/>
        <w:tblW w:w="0" w:type="auto"/>
        <w:tblLook w:val="04A0" w:firstRow="1" w:lastRow="0" w:firstColumn="1" w:lastColumn="0" w:noHBand="0" w:noVBand="1"/>
        <w:tblCaption w:val="TAS: State and territory specialised mental health service activity, by service type, 2007–08 "/>
        <w:tblDescription w:val="Table showing that, in 2007-08, community mental health care contacts was the highest specialised mental health service activity type recorded across all region types in Tas at 94,449, followed by residential mental health care days at 48,086 and hospital days at 38,052. The major cities category was not applicable. "/>
      </w:tblPr>
      <w:tblGrid>
        <w:gridCol w:w="2362"/>
        <w:gridCol w:w="1096"/>
        <w:gridCol w:w="1372"/>
        <w:gridCol w:w="1246"/>
        <w:gridCol w:w="1042"/>
        <w:gridCol w:w="1088"/>
        <w:gridCol w:w="1080"/>
      </w:tblGrid>
      <w:tr w:rsidR="00E17C0A" w:rsidRPr="00EF5802" w:rsidTr="000C3DEA">
        <w:trPr>
          <w:tblHeader/>
        </w:trPr>
        <w:tc>
          <w:tcPr>
            <w:tcW w:w="2462" w:type="dxa"/>
          </w:tcPr>
          <w:p w:rsidR="00E17C0A" w:rsidRPr="00EF5802" w:rsidRDefault="00E17C0A" w:rsidP="005B2C04">
            <w:pPr>
              <w:pStyle w:val="TableFigText"/>
              <w:keepNext/>
              <w:rPr>
                <w:rFonts w:asciiTheme="minorHAnsi" w:hAnsiTheme="minorHAnsi" w:cstheme="minorHAnsi"/>
                <w:szCs w:val="22"/>
              </w:rPr>
            </w:pPr>
          </w:p>
        </w:tc>
        <w:tc>
          <w:tcPr>
            <w:tcW w:w="1130"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Major cities</w:t>
            </w:r>
          </w:p>
        </w:tc>
        <w:tc>
          <w:tcPr>
            <w:tcW w:w="1416"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Inner regional</w:t>
            </w:r>
          </w:p>
        </w:tc>
        <w:tc>
          <w:tcPr>
            <w:tcW w:w="1281"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Outer regional</w:t>
            </w:r>
          </w:p>
        </w:tc>
        <w:tc>
          <w:tcPr>
            <w:tcW w:w="1064"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Remote</w:t>
            </w:r>
          </w:p>
        </w:tc>
        <w:tc>
          <w:tcPr>
            <w:tcW w:w="1116"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Very remote</w:t>
            </w:r>
          </w:p>
        </w:tc>
        <w:tc>
          <w:tcPr>
            <w:tcW w:w="1107"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Total</w:t>
            </w:r>
          </w:p>
        </w:tc>
      </w:tr>
      <w:tr w:rsidR="00E17C0A" w:rsidRPr="00EF5802" w:rsidTr="005B2C04">
        <w:tc>
          <w:tcPr>
            <w:tcW w:w="2462" w:type="dxa"/>
          </w:tcPr>
          <w:p w:rsidR="00E17C0A" w:rsidRPr="00EF5802" w:rsidRDefault="00E17C0A" w:rsidP="005B2C04">
            <w:pPr>
              <w:pStyle w:val="TableFigText"/>
              <w:keepNext/>
              <w:rPr>
                <w:rFonts w:asciiTheme="minorHAnsi" w:hAnsiTheme="minorHAnsi" w:cstheme="minorHAnsi"/>
                <w:szCs w:val="22"/>
              </w:rPr>
            </w:pPr>
            <w:r w:rsidRPr="00EF5802">
              <w:rPr>
                <w:rFonts w:asciiTheme="minorHAnsi" w:hAnsiTheme="minorHAnsi" w:cstheme="minorHAnsi"/>
                <w:szCs w:val="22"/>
              </w:rPr>
              <w:t>Hospital days</w:t>
            </w:r>
            <w:r w:rsidRPr="00EF5802">
              <w:rPr>
                <w:rFonts w:asciiTheme="minorHAnsi" w:hAnsiTheme="minorHAnsi" w:cstheme="minorHAnsi"/>
                <w:szCs w:val="22"/>
                <w:vertAlign w:val="superscript"/>
              </w:rPr>
              <w:t>(a)</w:t>
            </w:r>
          </w:p>
        </w:tc>
        <w:tc>
          <w:tcPr>
            <w:tcW w:w="1130" w:type="dxa"/>
            <w:vAlign w:val="center"/>
          </w:tcPr>
          <w:p w:rsidR="00E17C0A" w:rsidRPr="00AB1427" w:rsidRDefault="00E17C0A" w:rsidP="00E2736D">
            <w:pPr>
              <w:pStyle w:val="TableFigText"/>
              <w:jc w:val="right"/>
            </w:pPr>
            <w:r w:rsidRPr="00AB1427">
              <w:t>n/a</w:t>
            </w:r>
          </w:p>
        </w:tc>
        <w:tc>
          <w:tcPr>
            <w:tcW w:w="1416" w:type="dxa"/>
            <w:vAlign w:val="center"/>
          </w:tcPr>
          <w:p w:rsidR="00E17C0A" w:rsidRPr="00AB1427" w:rsidRDefault="00E17C0A" w:rsidP="00E2736D">
            <w:pPr>
              <w:pStyle w:val="TableFigText"/>
              <w:jc w:val="right"/>
            </w:pPr>
            <w:r w:rsidRPr="00AB1427">
              <w:t>32,428</w:t>
            </w:r>
          </w:p>
        </w:tc>
        <w:tc>
          <w:tcPr>
            <w:tcW w:w="1281" w:type="dxa"/>
            <w:vAlign w:val="center"/>
          </w:tcPr>
          <w:p w:rsidR="00E17C0A" w:rsidRPr="00AB1427" w:rsidRDefault="00E17C0A" w:rsidP="00E2736D">
            <w:pPr>
              <w:pStyle w:val="TableFigText"/>
              <w:jc w:val="right"/>
            </w:pPr>
            <w:r w:rsidRPr="00AB1427">
              <w:t>5,624</w:t>
            </w:r>
          </w:p>
        </w:tc>
        <w:tc>
          <w:tcPr>
            <w:tcW w:w="1064" w:type="dxa"/>
            <w:vAlign w:val="center"/>
          </w:tcPr>
          <w:p w:rsidR="00E17C0A" w:rsidRPr="00AB1427" w:rsidRDefault="00E17C0A" w:rsidP="00E2736D">
            <w:pPr>
              <w:pStyle w:val="TableFigText"/>
              <w:jc w:val="right"/>
            </w:pPr>
            <w:r w:rsidRPr="00AB1427">
              <w:t>0</w:t>
            </w:r>
          </w:p>
        </w:tc>
        <w:tc>
          <w:tcPr>
            <w:tcW w:w="1116" w:type="dxa"/>
            <w:vAlign w:val="center"/>
          </w:tcPr>
          <w:p w:rsidR="00E17C0A" w:rsidRPr="00AB1427" w:rsidRDefault="00E17C0A" w:rsidP="00E2736D">
            <w:pPr>
              <w:pStyle w:val="TableFigText"/>
              <w:jc w:val="right"/>
            </w:pPr>
            <w:r w:rsidRPr="00AB1427">
              <w:t>0</w:t>
            </w:r>
          </w:p>
        </w:tc>
        <w:tc>
          <w:tcPr>
            <w:tcW w:w="1107" w:type="dxa"/>
            <w:vAlign w:val="center"/>
          </w:tcPr>
          <w:p w:rsidR="00E17C0A" w:rsidRPr="00AB1427" w:rsidRDefault="00E17C0A" w:rsidP="00E2736D">
            <w:pPr>
              <w:pStyle w:val="TableFigText"/>
              <w:jc w:val="right"/>
            </w:pPr>
            <w:r w:rsidRPr="00AB1427">
              <w:t>38,052</w:t>
            </w:r>
          </w:p>
        </w:tc>
      </w:tr>
      <w:tr w:rsidR="00E17C0A" w:rsidRPr="00EF5802" w:rsidTr="005B2C04">
        <w:tc>
          <w:tcPr>
            <w:tcW w:w="2462" w:type="dxa"/>
          </w:tcPr>
          <w:p w:rsidR="00E17C0A" w:rsidRPr="00EF5802" w:rsidRDefault="00E17C0A" w:rsidP="005B2C04">
            <w:pPr>
              <w:pStyle w:val="TableFigText"/>
              <w:keepNext/>
              <w:rPr>
                <w:rFonts w:asciiTheme="minorHAnsi" w:hAnsiTheme="minorHAnsi" w:cstheme="minorHAnsi"/>
                <w:szCs w:val="22"/>
              </w:rPr>
            </w:pPr>
            <w:r w:rsidRPr="00EF5802">
              <w:rPr>
                <w:rFonts w:asciiTheme="minorHAnsi" w:hAnsiTheme="minorHAnsi" w:cstheme="minorHAnsi"/>
                <w:szCs w:val="22"/>
              </w:rPr>
              <w:t>Community mental health care contacts</w:t>
            </w:r>
            <w:r w:rsidRPr="00EF5802">
              <w:rPr>
                <w:rFonts w:asciiTheme="minorHAnsi" w:hAnsiTheme="minorHAnsi" w:cstheme="minorHAnsi"/>
                <w:szCs w:val="22"/>
                <w:vertAlign w:val="superscript"/>
              </w:rPr>
              <w:t>(b)</w:t>
            </w:r>
            <w:r w:rsidRPr="00EF5802">
              <w:rPr>
                <w:rFonts w:asciiTheme="minorHAnsi" w:hAnsiTheme="minorHAnsi" w:cstheme="minorHAnsi"/>
                <w:szCs w:val="22"/>
              </w:rPr>
              <w:t xml:space="preserve"> </w:t>
            </w:r>
          </w:p>
        </w:tc>
        <w:tc>
          <w:tcPr>
            <w:tcW w:w="1130" w:type="dxa"/>
            <w:vAlign w:val="center"/>
          </w:tcPr>
          <w:p w:rsidR="00E17C0A" w:rsidRPr="00AB1427" w:rsidRDefault="00E17C0A" w:rsidP="00E2736D">
            <w:pPr>
              <w:pStyle w:val="TableFigText"/>
              <w:jc w:val="right"/>
            </w:pPr>
            <w:r w:rsidRPr="00AB1427">
              <w:t>n/a</w:t>
            </w:r>
          </w:p>
        </w:tc>
        <w:tc>
          <w:tcPr>
            <w:tcW w:w="1416" w:type="dxa"/>
            <w:vAlign w:val="center"/>
          </w:tcPr>
          <w:p w:rsidR="00E17C0A" w:rsidRPr="00AB1427" w:rsidRDefault="00E17C0A" w:rsidP="00E2736D">
            <w:pPr>
              <w:pStyle w:val="TableFigText"/>
              <w:jc w:val="right"/>
            </w:pPr>
            <w:r w:rsidRPr="00AB1427">
              <w:t>79,143</w:t>
            </w:r>
          </w:p>
        </w:tc>
        <w:tc>
          <w:tcPr>
            <w:tcW w:w="1281" w:type="dxa"/>
            <w:vAlign w:val="center"/>
          </w:tcPr>
          <w:p w:rsidR="00E17C0A" w:rsidRPr="00AB1427" w:rsidRDefault="00E17C0A" w:rsidP="00E2736D">
            <w:pPr>
              <w:pStyle w:val="TableFigText"/>
              <w:jc w:val="right"/>
            </w:pPr>
            <w:r w:rsidRPr="00AB1427">
              <w:t>15,306</w:t>
            </w:r>
          </w:p>
        </w:tc>
        <w:tc>
          <w:tcPr>
            <w:tcW w:w="1064" w:type="dxa"/>
            <w:vAlign w:val="center"/>
          </w:tcPr>
          <w:p w:rsidR="00E17C0A" w:rsidRPr="00AB1427" w:rsidRDefault="00E17C0A" w:rsidP="00E2736D">
            <w:pPr>
              <w:pStyle w:val="TableFigText"/>
              <w:jc w:val="right"/>
            </w:pPr>
            <w:r w:rsidRPr="00AB1427">
              <w:t>0</w:t>
            </w:r>
          </w:p>
        </w:tc>
        <w:tc>
          <w:tcPr>
            <w:tcW w:w="1116" w:type="dxa"/>
            <w:vAlign w:val="center"/>
          </w:tcPr>
          <w:p w:rsidR="00E17C0A" w:rsidRPr="00AB1427" w:rsidRDefault="00E17C0A" w:rsidP="00E2736D">
            <w:pPr>
              <w:pStyle w:val="TableFigText"/>
              <w:jc w:val="right"/>
            </w:pPr>
            <w:r w:rsidRPr="00AB1427">
              <w:t>0</w:t>
            </w:r>
          </w:p>
        </w:tc>
        <w:tc>
          <w:tcPr>
            <w:tcW w:w="1107" w:type="dxa"/>
            <w:vAlign w:val="center"/>
          </w:tcPr>
          <w:p w:rsidR="00E17C0A" w:rsidRPr="00AB1427" w:rsidRDefault="00E17C0A" w:rsidP="00E2736D">
            <w:pPr>
              <w:pStyle w:val="TableFigText"/>
              <w:jc w:val="right"/>
            </w:pPr>
            <w:r w:rsidRPr="00AB1427">
              <w:t>94,449</w:t>
            </w:r>
          </w:p>
        </w:tc>
      </w:tr>
      <w:tr w:rsidR="00E17C0A" w:rsidRPr="00EF5802" w:rsidTr="005B2C04">
        <w:tc>
          <w:tcPr>
            <w:tcW w:w="2462" w:type="dxa"/>
          </w:tcPr>
          <w:p w:rsidR="00E17C0A" w:rsidRPr="00EF5802" w:rsidRDefault="00E17C0A" w:rsidP="005B2C04">
            <w:pPr>
              <w:pStyle w:val="TableFigText"/>
              <w:keepNext/>
              <w:rPr>
                <w:rFonts w:asciiTheme="minorHAnsi" w:hAnsiTheme="minorHAnsi" w:cstheme="minorHAnsi"/>
                <w:szCs w:val="22"/>
              </w:rPr>
            </w:pPr>
            <w:r w:rsidRPr="00EF5802">
              <w:rPr>
                <w:rFonts w:asciiTheme="minorHAnsi" w:hAnsiTheme="minorHAnsi" w:cstheme="minorHAnsi"/>
                <w:szCs w:val="22"/>
              </w:rPr>
              <w:t>Residential mental health care days</w:t>
            </w:r>
            <w:r w:rsidRPr="00EF5802">
              <w:rPr>
                <w:rFonts w:asciiTheme="minorHAnsi" w:hAnsiTheme="minorHAnsi" w:cstheme="minorHAnsi"/>
                <w:szCs w:val="22"/>
                <w:vertAlign w:val="superscript"/>
              </w:rPr>
              <w:t>(c)</w:t>
            </w:r>
          </w:p>
        </w:tc>
        <w:tc>
          <w:tcPr>
            <w:tcW w:w="1130" w:type="dxa"/>
            <w:vAlign w:val="center"/>
          </w:tcPr>
          <w:p w:rsidR="00E17C0A" w:rsidRPr="00AB1427" w:rsidRDefault="00E17C0A" w:rsidP="00E2736D">
            <w:pPr>
              <w:pStyle w:val="TableFigText"/>
              <w:jc w:val="right"/>
            </w:pPr>
            <w:r w:rsidRPr="00AB1427">
              <w:t>n/a</w:t>
            </w:r>
          </w:p>
        </w:tc>
        <w:tc>
          <w:tcPr>
            <w:tcW w:w="1416" w:type="dxa"/>
            <w:vAlign w:val="center"/>
          </w:tcPr>
          <w:p w:rsidR="00E17C0A" w:rsidRPr="00AB1427" w:rsidRDefault="00E17C0A" w:rsidP="00E2736D">
            <w:pPr>
              <w:pStyle w:val="TableFigText"/>
              <w:jc w:val="right"/>
            </w:pPr>
            <w:r w:rsidRPr="00AB1427">
              <w:t>43,560</w:t>
            </w:r>
          </w:p>
        </w:tc>
        <w:tc>
          <w:tcPr>
            <w:tcW w:w="1281" w:type="dxa"/>
            <w:vAlign w:val="center"/>
          </w:tcPr>
          <w:p w:rsidR="00E17C0A" w:rsidRPr="00AB1427" w:rsidRDefault="00E17C0A" w:rsidP="00E2736D">
            <w:pPr>
              <w:pStyle w:val="TableFigText"/>
              <w:jc w:val="right"/>
            </w:pPr>
            <w:r w:rsidRPr="00AB1427">
              <w:t>4,526</w:t>
            </w:r>
          </w:p>
        </w:tc>
        <w:tc>
          <w:tcPr>
            <w:tcW w:w="1064" w:type="dxa"/>
            <w:vAlign w:val="center"/>
          </w:tcPr>
          <w:p w:rsidR="00E17C0A" w:rsidRPr="00AB1427" w:rsidRDefault="00E17C0A" w:rsidP="00E2736D">
            <w:pPr>
              <w:pStyle w:val="TableFigText"/>
              <w:jc w:val="right"/>
            </w:pPr>
            <w:r w:rsidRPr="00AB1427">
              <w:t>0</w:t>
            </w:r>
          </w:p>
        </w:tc>
        <w:tc>
          <w:tcPr>
            <w:tcW w:w="1116" w:type="dxa"/>
            <w:vAlign w:val="center"/>
          </w:tcPr>
          <w:p w:rsidR="00E17C0A" w:rsidRPr="00AB1427" w:rsidRDefault="00E17C0A" w:rsidP="00E2736D">
            <w:pPr>
              <w:pStyle w:val="TableFigText"/>
              <w:jc w:val="right"/>
            </w:pPr>
            <w:r w:rsidRPr="00AB1427">
              <w:t>0</w:t>
            </w:r>
          </w:p>
        </w:tc>
        <w:tc>
          <w:tcPr>
            <w:tcW w:w="1107" w:type="dxa"/>
            <w:vAlign w:val="center"/>
          </w:tcPr>
          <w:p w:rsidR="00E17C0A" w:rsidRPr="00EF5802" w:rsidRDefault="00E17C0A" w:rsidP="00E2736D">
            <w:pPr>
              <w:pStyle w:val="TableFigText"/>
              <w:jc w:val="right"/>
            </w:pPr>
            <w:r w:rsidRPr="00EF5802">
              <w:t>48,086</w:t>
            </w:r>
          </w:p>
        </w:tc>
      </w:tr>
    </w:tbl>
    <w:p w:rsidR="00E17C0A" w:rsidRPr="00A41517" w:rsidRDefault="00E17C0A" w:rsidP="006B2ED0">
      <w:pPr>
        <w:pStyle w:val="TableFigNotesnumbered"/>
        <w:ind w:left="294" w:hanging="294"/>
        <w:rPr>
          <w:rStyle w:val="table-note"/>
        </w:rPr>
      </w:pPr>
      <w:proofErr w:type="gramStart"/>
      <w:r w:rsidRPr="00A41517">
        <w:rPr>
          <w:rStyle w:val="table-note"/>
        </w:rPr>
        <w:t>n/a</w:t>
      </w:r>
      <w:proofErr w:type="gramEnd"/>
      <w:r w:rsidRPr="00A41517">
        <w:rPr>
          <w:rStyle w:val="table-note"/>
        </w:rPr>
        <w:t xml:space="preserve"> </w:t>
      </w:r>
      <w:r w:rsidRPr="00A41517">
        <w:rPr>
          <w:rStyle w:val="table-note"/>
        </w:rPr>
        <w:tab/>
        <w:t>Not applicable.</w:t>
      </w:r>
    </w:p>
    <w:p w:rsidR="00E17C0A" w:rsidRPr="00A41517" w:rsidRDefault="00E17C0A" w:rsidP="0097112F">
      <w:pPr>
        <w:pStyle w:val="TableFigNotesnumbered"/>
        <w:numPr>
          <w:ilvl w:val="0"/>
          <w:numId w:val="96"/>
        </w:numPr>
        <w:rPr>
          <w:rStyle w:val="table-note"/>
        </w:rPr>
      </w:pPr>
      <w:r w:rsidRPr="00A41517">
        <w:rPr>
          <w:rStyle w:val="table-note"/>
        </w:rPr>
        <w:t xml:space="preserve">Hospital days, also known as accrued mental health care days for public hospital services, will not equal figures reported from the National hospital morbidity database due to scope differences between the two collections.  </w:t>
      </w:r>
    </w:p>
    <w:p w:rsidR="00E17C0A" w:rsidRPr="00A41517" w:rsidRDefault="00E17C0A" w:rsidP="0097112F">
      <w:pPr>
        <w:pStyle w:val="TableFigNotesnumbered"/>
        <w:numPr>
          <w:ilvl w:val="0"/>
          <w:numId w:val="96"/>
        </w:numPr>
        <w:rPr>
          <w:rStyle w:val="table-note"/>
        </w:rPr>
      </w:pPr>
      <w:r w:rsidRPr="00A41517">
        <w:rPr>
          <w:rStyle w:val="table-note"/>
        </w:rPr>
        <w:t xml:space="preserve">Community mental health care contacts will not equate to those reported from the Community mental health care database due to differing scope. </w:t>
      </w:r>
    </w:p>
    <w:p w:rsidR="00E17C0A" w:rsidRPr="00A41517" w:rsidRDefault="00E17C0A" w:rsidP="0097112F">
      <w:pPr>
        <w:pStyle w:val="TableFigNotesnumbered"/>
        <w:numPr>
          <w:ilvl w:val="0"/>
          <w:numId w:val="96"/>
        </w:numPr>
        <w:rPr>
          <w:rStyle w:val="table-note"/>
        </w:rPr>
      </w:pPr>
      <w:proofErr w:type="gramStart"/>
      <w:r w:rsidRPr="00A41517">
        <w:rPr>
          <w:rStyle w:val="table-note"/>
        </w:rPr>
        <w:t>Residential mental health care days comprises</w:t>
      </w:r>
      <w:proofErr w:type="gramEnd"/>
      <w:r w:rsidRPr="00A41517">
        <w:rPr>
          <w:rStyle w:val="table-note"/>
        </w:rPr>
        <w:t xml:space="preserve"> the number of care days provided by all services, including government and non-government operated services, and 24-hour and non-24-hour staffed services. Figures will not equate to those reported from the Residential mental health care database due to differing collection scopes.</w:t>
      </w:r>
    </w:p>
    <w:p w:rsidR="00E17C0A" w:rsidRPr="00207B28" w:rsidRDefault="00E17C0A" w:rsidP="00E17C0A">
      <w:pPr>
        <w:pStyle w:val="AIHWbodytext"/>
        <w:rPr>
          <w:rFonts w:asciiTheme="minorHAnsi" w:hAnsiTheme="minorHAnsi"/>
        </w:rPr>
      </w:pPr>
    </w:p>
    <w:p w:rsidR="00E17C0A" w:rsidRPr="000E0677" w:rsidRDefault="000E0677" w:rsidP="00E17C0A">
      <w:pPr>
        <w:pStyle w:val="TableCaption"/>
        <w:rPr>
          <w:rStyle w:val="table-note"/>
        </w:rPr>
      </w:pPr>
      <w:r w:rsidRPr="000E0677">
        <w:rPr>
          <w:rStyle w:val="table-note"/>
        </w:rPr>
        <w:t xml:space="preserve">Table 61: </w:t>
      </w:r>
      <w:r w:rsidR="00E17C0A" w:rsidRPr="000E0677">
        <w:rPr>
          <w:rStyle w:val="table-note"/>
        </w:rPr>
        <w:t xml:space="preserve">TAS: State and territory specialised mental health service activity, by service type, </w:t>
      </w:r>
      <w:r w:rsidR="00591D14">
        <w:rPr>
          <w:rStyle w:val="table-note"/>
        </w:rPr>
        <w:br/>
      </w:r>
      <w:r w:rsidR="00E17C0A" w:rsidRPr="000E0677">
        <w:rPr>
          <w:rStyle w:val="table-note"/>
        </w:rPr>
        <w:t>2011–12</w:t>
      </w:r>
    </w:p>
    <w:tbl>
      <w:tblPr>
        <w:tblStyle w:val="TableGrid"/>
        <w:tblW w:w="0" w:type="auto"/>
        <w:tblLook w:val="04A0" w:firstRow="1" w:lastRow="0" w:firstColumn="1" w:lastColumn="0" w:noHBand="0" w:noVBand="1"/>
        <w:tblCaption w:val="TAS: State and territory specialised mental health service activity, by service type, 2011–12"/>
        <w:tblDescription w:val="Table showing that, in 2011-12, community mental health care contacts was the highest specialised mental health service activity type recorded across all region types in Tas at 98,109, followed by residential mental health care days at 49,411 and hospital days at 42,159. The major cities category was not applicable. "/>
      </w:tblPr>
      <w:tblGrid>
        <w:gridCol w:w="2388"/>
        <w:gridCol w:w="1048"/>
        <w:gridCol w:w="1382"/>
        <w:gridCol w:w="1253"/>
        <w:gridCol w:w="1049"/>
        <w:gridCol w:w="1095"/>
        <w:gridCol w:w="1071"/>
      </w:tblGrid>
      <w:tr w:rsidR="00E17C0A" w:rsidRPr="00EF5802" w:rsidTr="000C3DEA">
        <w:trPr>
          <w:tblHeader/>
        </w:trPr>
        <w:tc>
          <w:tcPr>
            <w:tcW w:w="2490" w:type="dxa"/>
          </w:tcPr>
          <w:p w:rsidR="00E17C0A" w:rsidRPr="00EF5802" w:rsidRDefault="00E17C0A" w:rsidP="005B2C04">
            <w:pPr>
              <w:pStyle w:val="TableFigText"/>
              <w:rPr>
                <w:rFonts w:asciiTheme="minorHAnsi" w:hAnsiTheme="minorHAnsi" w:cstheme="minorHAnsi"/>
                <w:szCs w:val="22"/>
              </w:rPr>
            </w:pPr>
          </w:p>
        </w:tc>
        <w:tc>
          <w:tcPr>
            <w:tcW w:w="1079" w:type="dxa"/>
          </w:tcPr>
          <w:p w:rsidR="00E17C0A" w:rsidRPr="00EF5802" w:rsidRDefault="00E17C0A" w:rsidP="005B2C04">
            <w:pPr>
              <w:pStyle w:val="TableFigText"/>
              <w:jc w:val="right"/>
              <w:rPr>
                <w:rFonts w:asciiTheme="minorHAnsi" w:hAnsiTheme="minorHAnsi" w:cstheme="minorHAnsi"/>
                <w:b/>
                <w:szCs w:val="22"/>
              </w:rPr>
            </w:pPr>
            <w:r w:rsidRPr="00EF5802">
              <w:rPr>
                <w:rFonts w:asciiTheme="minorHAnsi" w:hAnsiTheme="minorHAnsi" w:cstheme="minorHAnsi"/>
                <w:b/>
                <w:szCs w:val="22"/>
              </w:rPr>
              <w:t>Major cities</w:t>
            </w:r>
          </w:p>
        </w:tc>
        <w:tc>
          <w:tcPr>
            <w:tcW w:w="1427" w:type="dxa"/>
          </w:tcPr>
          <w:p w:rsidR="00E17C0A" w:rsidRPr="00EF5802" w:rsidRDefault="00E17C0A" w:rsidP="005B2C04">
            <w:pPr>
              <w:pStyle w:val="TableFigText"/>
              <w:jc w:val="right"/>
              <w:rPr>
                <w:rFonts w:asciiTheme="minorHAnsi" w:hAnsiTheme="minorHAnsi" w:cstheme="minorHAnsi"/>
                <w:b/>
                <w:szCs w:val="22"/>
              </w:rPr>
            </w:pPr>
            <w:r w:rsidRPr="00EF5802">
              <w:rPr>
                <w:rFonts w:asciiTheme="minorHAnsi" w:hAnsiTheme="minorHAnsi" w:cstheme="minorHAnsi"/>
                <w:b/>
                <w:szCs w:val="22"/>
              </w:rPr>
              <w:t>Inner regional</w:t>
            </w:r>
          </w:p>
        </w:tc>
        <w:tc>
          <w:tcPr>
            <w:tcW w:w="1289" w:type="dxa"/>
          </w:tcPr>
          <w:p w:rsidR="00E17C0A" w:rsidRPr="00EF5802" w:rsidRDefault="00E17C0A" w:rsidP="005B2C04">
            <w:pPr>
              <w:pStyle w:val="TableFigText"/>
              <w:jc w:val="right"/>
              <w:rPr>
                <w:rFonts w:asciiTheme="minorHAnsi" w:hAnsiTheme="minorHAnsi" w:cstheme="minorHAnsi"/>
                <w:b/>
                <w:szCs w:val="22"/>
              </w:rPr>
            </w:pPr>
            <w:r w:rsidRPr="00EF5802">
              <w:rPr>
                <w:rFonts w:asciiTheme="minorHAnsi" w:hAnsiTheme="minorHAnsi" w:cstheme="minorHAnsi"/>
                <w:b/>
                <w:szCs w:val="22"/>
              </w:rPr>
              <w:t>Outer regional</w:t>
            </w:r>
          </w:p>
        </w:tc>
        <w:tc>
          <w:tcPr>
            <w:tcW w:w="1071" w:type="dxa"/>
          </w:tcPr>
          <w:p w:rsidR="00E17C0A" w:rsidRPr="00EF5802" w:rsidRDefault="00E17C0A" w:rsidP="005B2C04">
            <w:pPr>
              <w:pStyle w:val="TableFigText"/>
              <w:jc w:val="right"/>
              <w:rPr>
                <w:rFonts w:asciiTheme="minorHAnsi" w:hAnsiTheme="minorHAnsi" w:cstheme="minorHAnsi"/>
                <w:b/>
                <w:szCs w:val="22"/>
              </w:rPr>
            </w:pPr>
            <w:r w:rsidRPr="00EF5802">
              <w:rPr>
                <w:rFonts w:asciiTheme="minorHAnsi" w:hAnsiTheme="minorHAnsi" w:cstheme="minorHAnsi"/>
                <w:b/>
                <w:szCs w:val="22"/>
              </w:rPr>
              <w:t>Remote</w:t>
            </w:r>
          </w:p>
        </w:tc>
        <w:tc>
          <w:tcPr>
            <w:tcW w:w="1123" w:type="dxa"/>
          </w:tcPr>
          <w:p w:rsidR="00E17C0A" w:rsidRPr="00EF5802" w:rsidRDefault="00E17C0A" w:rsidP="005B2C04">
            <w:pPr>
              <w:pStyle w:val="TableFigText"/>
              <w:jc w:val="right"/>
              <w:rPr>
                <w:rFonts w:asciiTheme="minorHAnsi" w:hAnsiTheme="minorHAnsi" w:cstheme="minorHAnsi"/>
                <w:b/>
                <w:szCs w:val="22"/>
              </w:rPr>
            </w:pPr>
            <w:r w:rsidRPr="00EF5802">
              <w:rPr>
                <w:rFonts w:asciiTheme="minorHAnsi" w:hAnsiTheme="minorHAnsi" w:cstheme="minorHAnsi"/>
                <w:b/>
                <w:szCs w:val="22"/>
              </w:rPr>
              <w:t>Very remote</w:t>
            </w:r>
          </w:p>
        </w:tc>
        <w:tc>
          <w:tcPr>
            <w:tcW w:w="1097" w:type="dxa"/>
          </w:tcPr>
          <w:p w:rsidR="00E17C0A" w:rsidRPr="00EF5802" w:rsidRDefault="00E17C0A" w:rsidP="005B2C04">
            <w:pPr>
              <w:pStyle w:val="TableFigText"/>
              <w:jc w:val="right"/>
              <w:rPr>
                <w:rFonts w:asciiTheme="minorHAnsi" w:hAnsiTheme="minorHAnsi" w:cstheme="minorHAnsi"/>
                <w:b/>
                <w:szCs w:val="22"/>
              </w:rPr>
            </w:pPr>
            <w:r w:rsidRPr="00EF5802">
              <w:rPr>
                <w:rFonts w:asciiTheme="minorHAnsi" w:hAnsiTheme="minorHAnsi" w:cstheme="minorHAnsi"/>
                <w:b/>
                <w:szCs w:val="22"/>
              </w:rPr>
              <w:t>Total</w:t>
            </w:r>
          </w:p>
        </w:tc>
      </w:tr>
      <w:tr w:rsidR="00E17C0A" w:rsidRPr="00EF5802" w:rsidTr="005B2C04">
        <w:tc>
          <w:tcPr>
            <w:tcW w:w="2490" w:type="dxa"/>
          </w:tcPr>
          <w:p w:rsidR="00E17C0A" w:rsidRPr="00EF5802" w:rsidRDefault="00E17C0A" w:rsidP="005B2C04">
            <w:pPr>
              <w:pStyle w:val="TableFigText"/>
              <w:rPr>
                <w:rFonts w:asciiTheme="minorHAnsi" w:hAnsiTheme="minorHAnsi" w:cstheme="minorHAnsi"/>
                <w:szCs w:val="22"/>
              </w:rPr>
            </w:pPr>
            <w:r w:rsidRPr="00EF5802">
              <w:rPr>
                <w:rFonts w:asciiTheme="minorHAnsi" w:hAnsiTheme="minorHAnsi" w:cstheme="minorHAnsi"/>
                <w:szCs w:val="22"/>
              </w:rPr>
              <w:t>Hospital days</w:t>
            </w:r>
            <w:r w:rsidRPr="00EF5802">
              <w:rPr>
                <w:rFonts w:asciiTheme="minorHAnsi" w:hAnsiTheme="minorHAnsi" w:cstheme="minorHAnsi"/>
                <w:szCs w:val="22"/>
                <w:vertAlign w:val="superscript"/>
              </w:rPr>
              <w:t>(a)</w:t>
            </w:r>
          </w:p>
        </w:tc>
        <w:tc>
          <w:tcPr>
            <w:tcW w:w="1079" w:type="dxa"/>
            <w:vAlign w:val="center"/>
          </w:tcPr>
          <w:p w:rsidR="00E17C0A" w:rsidRPr="00AB1427" w:rsidRDefault="00E17C0A" w:rsidP="00E2736D">
            <w:pPr>
              <w:pStyle w:val="TableFigText"/>
              <w:jc w:val="right"/>
            </w:pPr>
            <w:r w:rsidRPr="00AB1427">
              <w:t>n/a</w:t>
            </w:r>
          </w:p>
        </w:tc>
        <w:tc>
          <w:tcPr>
            <w:tcW w:w="1427" w:type="dxa"/>
            <w:vAlign w:val="center"/>
          </w:tcPr>
          <w:p w:rsidR="00E17C0A" w:rsidRPr="00AB1427" w:rsidRDefault="00E17C0A" w:rsidP="00E2736D">
            <w:pPr>
              <w:pStyle w:val="TableFigText"/>
              <w:jc w:val="right"/>
            </w:pPr>
            <w:r w:rsidRPr="00AB1427">
              <w:t>30,542</w:t>
            </w:r>
          </w:p>
        </w:tc>
        <w:tc>
          <w:tcPr>
            <w:tcW w:w="1289" w:type="dxa"/>
            <w:vAlign w:val="center"/>
          </w:tcPr>
          <w:p w:rsidR="00E17C0A" w:rsidRPr="00AB1427" w:rsidRDefault="00E17C0A" w:rsidP="00E2736D">
            <w:pPr>
              <w:pStyle w:val="TableFigText"/>
              <w:jc w:val="right"/>
            </w:pPr>
            <w:r w:rsidRPr="00AB1427">
              <w:t>11,042</w:t>
            </w:r>
          </w:p>
        </w:tc>
        <w:tc>
          <w:tcPr>
            <w:tcW w:w="1071" w:type="dxa"/>
            <w:vAlign w:val="center"/>
          </w:tcPr>
          <w:p w:rsidR="00E17C0A" w:rsidRPr="00AB1427" w:rsidRDefault="00E17C0A" w:rsidP="00E2736D">
            <w:pPr>
              <w:pStyle w:val="TableFigText"/>
              <w:jc w:val="right"/>
            </w:pPr>
            <w:r w:rsidRPr="00AB1427">
              <w:t>575</w:t>
            </w:r>
          </w:p>
        </w:tc>
        <w:tc>
          <w:tcPr>
            <w:tcW w:w="1123" w:type="dxa"/>
            <w:vAlign w:val="center"/>
          </w:tcPr>
          <w:p w:rsidR="00E17C0A" w:rsidRPr="00AB1427" w:rsidRDefault="00E17C0A" w:rsidP="00E2736D">
            <w:pPr>
              <w:pStyle w:val="TableFigText"/>
              <w:jc w:val="right"/>
            </w:pPr>
            <w:r w:rsidRPr="00AB1427">
              <w:t>0</w:t>
            </w:r>
          </w:p>
        </w:tc>
        <w:tc>
          <w:tcPr>
            <w:tcW w:w="1097" w:type="dxa"/>
            <w:vAlign w:val="center"/>
          </w:tcPr>
          <w:p w:rsidR="00E17C0A" w:rsidRPr="00AB1427" w:rsidRDefault="00E17C0A" w:rsidP="00E2736D">
            <w:pPr>
              <w:pStyle w:val="TableFigText"/>
              <w:jc w:val="right"/>
            </w:pPr>
            <w:r w:rsidRPr="00AB1427">
              <w:t>42,159</w:t>
            </w:r>
          </w:p>
        </w:tc>
      </w:tr>
      <w:tr w:rsidR="00E17C0A" w:rsidRPr="00EF5802" w:rsidTr="005B2C04">
        <w:tc>
          <w:tcPr>
            <w:tcW w:w="2490" w:type="dxa"/>
          </w:tcPr>
          <w:p w:rsidR="00E17C0A" w:rsidRPr="00EF5802" w:rsidRDefault="00E17C0A" w:rsidP="005B2C04">
            <w:pPr>
              <w:pStyle w:val="TableFigText"/>
              <w:rPr>
                <w:rFonts w:asciiTheme="minorHAnsi" w:hAnsiTheme="minorHAnsi" w:cstheme="minorHAnsi"/>
                <w:szCs w:val="22"/>
              </w:rPr>
            </w:pPr>
            <w:r w:rsidRPr="00EF5802">
              <w:rPr>
                <w:rFonts w:asciiTheme="minorHAnsi" w:hAnsiTheme="minorHAnsi" w:cstheme="minorHAnsi"/>
                <w:szCs w:val="22"/>
              </w:rPr>
              <w:t>Community mental health care contacts</w:t>
            </w:r>
            <w:r w:rsidRPr="00EF5802">
              <w:rPr>
                <w:rFonts w:asciiTheme="minorHAnsi" w:hAnsiTheme="minorHAnsi" w:cstheme="minorHAnsi"/>
                <w:szCs w:val="22"/>
                <w:vertAlign w:val="superscript"/>
              </w:rPr>
              <w:t>(b)</w:t>
            </w:r>
            <w:r w:rsidRPr="00EF5802">
              <w:rPr>
                <w:rFonts w:asciiTheme="minorHAnsi" w:hAnsiTheme="minorHAnsi" w:cstheme="minorHAnsi"/>
                <w:szCs w:val="22"/>
              </w:rPr>
              <w:t xml:space="preserve"> </w:t>
            </w:r>
          </w:p>
        </w:tc>
        <w:tc>
          <w:tcPr>
            <w:tcW w:w="1079" w:type="dxa"/>
            <w:vAlign w:val="center"/>
          </w:tcPr>
          <w:p w:rsidR="00E17C0A" w:rsidRPr="00AB1427" w:rsidRDefault="00E17C0A" w:rsidP="00E2736D">
            <w:pPr>
              <w:pStyle w:val="TableFigText"/>
              <w:jc w:val="right"/>
            </w:pPr>
            <w:r w:rsidRPr="00AB1427">
              <w:t>n/a</w:t>
            </w:r>
          </w:p>
        </w:tc>
        <w:tc>
          <w:tcPr>
            <w:tcW w:w="1427" w:type="dxa"/>
            <w:vAlign w:val="center"/>
          </w:tcPr>
          <w:p w:rsidR="00E17C0A" w:rsidRPr="00AB1427" w:rsidRDefault="00E17C0A" w:rsidP="00E2736D">
            <w:pPr>
              <w:pStyle w:val="TableFigText"/>
              <w:jc w:val="right"/>
            </w:pPr>
            <w:r w:rsidRPr="00AB1427">
              <w:t>82,037</w:t>
            </w:r>
          </w:p>
        </w:tc>
        <w:tc>
          <w:tcPr>
            <w:tcW w:w="1289" w:type="dxa"/>
            <w:vAlign w:val="center"/>
          </w:tcPr>
          <w:p w:rsidR="00E17C0A" w:rsidRPr="00AB1427" w:rsidRDefault="00E17C0A" w:rsidP="00E2736D">
            <w:pPr>
              <w:pStyle w:val="TableFigText"/>
              <w:jc w:val="right"/>
            </w:pPr>
            <w:r w:rsidRPr="00AB1427">
              <w:t>15,875</w:t>
            </w:r>
          </w:p>
        </w:tc>
        <w:tc>
          <w:tcPr>
            <w:tcW w:w="1071" w:type="dxa"/>
            <w:vAlign w:val="center"/>
          </w:tcPr>
          <w:p w:rsidR="00E17C0A" w:rsidRPr="00AB1427" w:rsidRDefault="00E17C0A" w:rsidP="00E2736D">
            <w:pPr>
              <w:pStyle w:val="TableFigText"/>
              <w:jc w:val="right"/>
            </w:pPr>
            <w:r w:rsidRPr="00AB1427">
              <w:t>198</w:t>
            </w:r>
          </w:p>
        </w:tc>
        <w:tc>
          <w:tcPr>
            <w:tcW w:w="1123" w:type="dxa"/>
            <w:vAlign w:val="center"/>
          </w:tcPr>
          <w:p w:rsidR="00E17C0A" w:rsidRPr="00AB1427" w:rsidRDefault="00E17C0A" w:rsidP="00E2736D">
            <w:pPr>
              <w:pStyle w:val="TableFigText"/>
              <w:jc w:val="right"/>
            </w:pPr>
            <w:r w:rsidRPr="00AB1427">
              <w:t>0</w:t>
            </w:r>
          </w:p>
        </w:tc>
        <w:tc>
          <w:tcPr>
            <w:tcW w:w="1097" w:type="dxa"/>
            <w:vAlign w:val="center"/>
          </w:tcPr>
          <w:p w:rsidR="00E17C0A" w:rsidRPr="00AB1427" w:rsidRDefault="00E17C0A" w:rsidP="00E2736D">
            <w:pPr>
              <w:pStyle w:val="TableFigText"/>
              <w:jc w:val="right"/>
            </w:pPr>
            <w:r w:rsidRPr="00AB1427">
              <w:t>98,109</w:t>
            </w:r>
          </w:p>
        </w:tc>
      </w:tr>
      <w:tr w:rsidR="00E17C0A" w:rsidRPr="00EF5802" w:rsidTr="005B2C04">
        <w:tc>
          <w:tcPr>
            <w:tcW w:w="2490" w:type="dxa"/>
          </w:tcPr>
          <w:p w:rsidR="00E17C0A" w:rsidRPr="00EF5802" w:rsidRDefault="00E17C0A" w:rsidP="005B2C04">
            <w:pPr>
              <w:pStyle w:val="TableFigText"/>
              <w:rPr>
                <w:rFonts w:asciiTheme="minorHAnsi" w:hAnsiTheme="minorHAnsi" w:cstheme="minorHAnsi"/>
                <w:szCs w:val="22"/>
              </w:rPr>
            </w:pPr>
            <w:r w:rsidRPr="00EF5802">
              <w:rPr>
                <w:rFonts w:asciiTheme="minorHAnsi" w:hAnsiTheme="minorHAnsi" w:cstheme="minorHAnsi"/>
                <w:szCs w:val="22"/>
              </w:rPr>
              <w:t>Residential mental health care days</w:t>
            </w:r>
            <w:r w:rsidRPr="00EF5802">
              <w:rPr>
                <w:rFonts w:asciiTheme="minorHAnsi" w:hAnsiTheme="minorHAnsi" w:cstheme="minorHAnsi"/>
                <w:szCs w:val="22"/>
                <w:vertAlign w:val="superscript"/>
              </w:rPr>
              <w:t>(c)</w:t>
            </w:r>
          </w:p>
        </w:tc>
        <w:tc>
          <w:tcPr>
            <w:tcW w:w="1079" w:type="dxa"/>
            <w:vAlign w:val="center"/>
          </w:tcPr>
          <w:p w:rsidR="00E17C0A" w:rsidRPr="00AB1427" w:rsidRDefault="00E17C0A" w:rsidP="00E2736D">
            <w:pPr>
              <w:pStyle w:val="TableFigText"/>
              <w:jc w:val="right"/>
            </w:pPr>
            <w:r w:rsidRPr="00AB1427">
              <w:t>n/a</w:t>
            </w:r>
          </w:p>
        </w:tc>
        <w:tc>
          <w:tcPr>
            <w:tcW w:w="1427" w:type="dxa"/>
            <w:vAlign w:val="center"/>
          </w:tcPr>
          <w:p w:rsidR="00E17C0A" w:rsidRPr="00AB1427" w:rsidRDefault="00E17C0A" w:rsidP="00E2736D">
            <w:pPr>
              <w:pStyle w:val="TableFigText"/>
              <w:jc w:val="right"/>
            </w:pPr>
            <w:r w:rsidRPr="00AB1427">
              <w:t>45,520</w:t>
            </w:r>
          </w:p>
        </w:tc>
        <w:tc>
          <w:tcPr>
            <w:tcW w:w="1289" w:type="dxa"/>
            <w:vAlign w:val="center"/>
          </w:tcPr>
          <w:p w:rsidR="00E17C0A" w:rsidRPr="00AB1427" w:rsidRDefault="00E17C0A" w:rsidP="00E2736D">
            <w:pPr>
              <w:pStyle w:val="TableFigText"/>
              <w:jc w:val="right"/>
            </w:pPr>
            <w:r w:rsidRPr="00AB1427">
              <w:t>3,891</w:t>
            </w:r>
          </w:p>
        </w:tc>
        <w:tc>
          <w:tcPr>
            <w:tcW w:w="1071" w:type="dxa"/>
            <w:vAlign w:val="center"/>
          </w:tcPr>
          <w:p w:rsidR="00E17C0A" w:rsidRPr="00AB1427" w:rsidRDefault="00E17C0A" w:rsidP="00E2736D">
            <w:pPr>
              <w:pStyle w:val="TableFigText"/>
              <w:jc w:val="right"/>
            </w:pPr>
            <w:r w:rsidRPr="00AB1427">
              <w:t>0</w:t>
            </w:r>
          </w:p>
        </w:tc>
        <w:tc>
          <w:tcPr>
            <w:tcW w:w="1123" w:type="dxa"/>
            <w:vAlign w:val="center"/>
          </w:tcPr>
          <w:p w:rsidR="00E17C0A" w:rsidRPr="00AB1427" w:rsidRDefault="00E17C0A" w:rsidP="00E2736D">
            <w:pPr>
              <w:pStyle w:val="TableFigText"/>
              <w:jc w:val="right"/>
            </w:pPr>
            <w:r w:rsidRPr="00AB1427">
              <w:t>0</w:t>
            </w:r>
          </w:p>
        </w:tc>
        <w:tc>
          <w:tcPr>
            <w:tcW w:w="1097" w:type="dxa"/>
            <w:vAlign w:val="center"/>
          </w:tcPr>
          <w:p w:rsidR="00E17C0A" w:rsidRPr="00EF5802" w:rsidRDefault="00E17C0A" w:rsidP="00E2736D">
            <w:pPr>
              <w:pStyle w:val="TableFigText"/>
              <w:jc w:val="right"/>
            </w:pPr>
            <w:r w:rsidRPr="00AB1427">
              <w:t>49,411</w:t>
            </w:r>
          </w:p>
        </w:tc>
      </w:tr>
    </w:tbl>
    <w:p w:rsidR="00E17C0A" w:rsidRPr="00A41517" w:rsidRDefault="00E17C0A" w:rsidP="006B2ED0">
      <w:pPr>
        <w:pStyle w:val="TableFigNotesnumbered"/>
        <w:ind w:left="294" w:hanging="294"/>
        <w:rPr>
          <w:rStyle w:val="table-note"/>
        </w:rPr>
      </w:pPr>
      <w:proofErr w:type="gramStart"/>
      <w:r w:rsidRPr="00A41517">
        <w:rPr>
          <w:rStyle w:val="table-note"/>
        </w:rPr>
        <w:t>n/a</w:t>
      </w:r>
      <w:proofErr w:type="gramEnd"/>
      <w:r w:rsidRPr="00A41517">
        <w:rPr>
          <w:rStyle w:val="table-note"/>
        </w:rPr>
        <w:t xml:space="preserve"> </w:t>
      </w:r>
      <w:r w:rsidRPr="00A41517">
        <w:rPr>
          <w:rStyle w:val="table-note"/>
        </w:rPr>
        <w:tab/>
        <w:t>Not applicable.</w:t>
      </w:r>
    </w:p>
    <w:p w:rsidR="00E17C0A" w:rsidRPr="00A41517" w:rsidRDefault="00E17C0A" w:rsidP="0097112F">
      <w:pPr>
        <w:pStyle w:val="TableFigNotesnumbered"/>
        <w:numPr>
          <w:ilvl w:val="0"/>
          <w:numId w:val="97"/>
        </w:numPr>
        <w:rPr>
          <w:rStyle w:val="table-note"/>
        </w:rPr>
      </w:pPr>
      <w:r w:rsidRPr="00A41517">
        <w:rPr>
          <w:rStyle w:val="table-note"/>
        </w:rPr>
        <w:t xml:space="preserve">Hospital days, also known as accrued mental health care days for public hospital services, will not equal figures reported from the National hospital morbidity database due to scope differences between the two collections.  </w:t>
      </w:r>
    </w:p>
    <w:p w:rsidR="00E17C0A" w:rsidRPr="00A41517" w:rsidRDefault="00E17C0A" w:rsidP="0097112F">
      <w:pPr>
        <w:pStyle w:val="TableFigNotesnumbered"/>
        <w:numPr>
          <w:ilvl w:val="0"/>
          <w:numId w:val="97"/>
        </w:numPr>
        <w:rPr>
          <w:rStyle w:val="table-note"/>
        </w:rPr>
      </w:pPr>
      <w:r w:rsidRPr="00A41517">
        <w:rPr>
          <w:rStyle w:val="table-note"/>
        </w:rPr>
        <w:t>Community mental health care contacts will not equate to those reported from the Community mental health care database due to differing scope. Industrial action in Tasmania in 2011–12 has affected the quality and quantity of Tasmania’s Community mental health care data.</w:t>
      </w:r>
    </w:p>
    <w:p w:rsidR="00E17C0A" w:rsidRPr="00A41517" w:rsidRDefault="00E17C0A" w:rsidP="0097112F">
      <w:pPr>
        <w:pStyle w:val="TableFigNotesnumbered"/>
        <w:numPr>
          <w:ilvl w:val="0"/>
          <w:numId w:val="97"/>
        </w:numPr>
        <w:rPr>
          <w:rStyle w:val="table-note"/>
        </w:rPr>
      </w:pPr>
      <w:proofErr w:type="gramStart"/>
      <w:r w:rsidRPr="00A41517">
        <w:rPr>
          <w:rStyle w:val="table-note"/>
        </w:rPr>
        <w:t>Residential mental health care days comprises</w:t>
      </w:r>
      <w:proofErr w:type="gramEnd"/>
      <w:r w:rsidRPr="00A41517">
        <w:rPr>
          <w:rStyle w:val="table-note"/>
        </w:rPr>
        <w:t xml:space="preserve"> the number of care days provided by all services, including government and non-government operated services, and 24-hour and non-24-hour staffed services. Figures will not equate to those reported from the Residential mental health care database due to differing collection scopes.</w:t>
      </w:r>
    </w:p>
    <w:p w:rsidR="00E17C0A" w:rsidRPr="00257A01" w:rsidRDefault="00E17C0A" w:rsidP="00E17C0A"/>
    <w:p w:rsidR="00E17C0A" w:rsidRDefault="00E17C0A">
      <w:pPr>
        <w:spacing w:before="0" w:after="0" w:line="240" w:lineRule="auto"/>
      </w:pPr>
      <w:r>
        <w:br w:type="page"/>
      </w:r>
    </w:p>
    <w:p w:rsidR="00E17C0A" w:rsidRPr="008B7E34" w:rsidRDefault="00E17C0A" w:rsidP="00E17C0A">
      <w:pPr>
        <w:pStyle w:val="Heading3"/>
      </w:pPr>
      <w:bookmarkStart w:id="17" w:name="_Toc403057868"/>
      <w:r>
        <w:lastRenderedPageBreak/>
        <w:t>Northern Territory</w:t>
      </w:r>
      <w:bookmarkEnd w:id="17"/>
    </w:p>
    <w:p w:rsidR="00E17C0A" w:rsidRPr="000E0677" w:rsidRDefault="000E0677" w:rsidP="00E17C0A">
      <w:pPr>
        <w:pStyle w:val="TableCaption"/>
        <w:rPr>
          <w:rStyle w:val="table-note"/>
        </w:rPr>
      </w:pPr>
      <w:r w:rsidRPr="000E0677">
        <w:rPr>
          <w:rStyle w:val="table-note"/>
        </w:rPr>
        <w:t xml:space="preserve">Table 62: </w:t>
      </w:r>
      <w:r w:rsidR="00E17C0A" w:rsidRPr="000E0677">
        <w:rPr>
          <w:rStyle w:val="table-note"/>
        </w:rPr>
        <w:t xml:space="preserve">NT: Recurrent </w:t>
      </w:r>
      <w:proofErr w:type="gramStart"/>
      <w:r w:rsidR="00E17C0A" w:rsidRPr="000E0677">
        <w:rPr>
          <w:rStyle w:val="table-note"/>
        </w:rPr>
        <w:t>expenditure</w:t>
      </w:r>
      <w:r w:rsidR="00E17C0A" w:rsidRPr="000E0677">
        <w:rPr>
          <w:rStyle w:val="table-note"/>
          <w:vertAlign w:val="superscript"/>
        </w:rPr>
        <w:t>(</w:t>
      </w:r>
      <w:proofErr w:type="gramEnd"/>
      <w:r w:rsidR="00E17C0A" w:rsidRPr="000E0677">
        <w:rPr>
          <w:rStyle w:val="table-note"/>
          <w:vertAlign w:val="superscript"/>
        </w:rPr>
        <w:t>a)(b)</w:t>
      </w:r>
      <w:r w:rsidR="00E17C0A" w:rsidRPr="000E0677">
        <w:rPr>
          <w:rStyle w:val="table-note"/>
        </w:rPr>
        <w:t xml:space="preserve"> ($’000) on state and territory specialised mental health services, by service type, 2007–08 (constant prices)</w:t>
      </w:r>
      <w:r w:rsidR="00E17C0A" w:rsidRPr="000E0677">
        <w:rPr>
          <w:rStyle w:val="table-note"/>
          <w:vertAlign w:val="superscript"/>
        </w:rPr>
        <w:t>(c)</w:t>
      </w:r>
    </w:p>
    <w:tbl>
      <w:tblPr>
        <w:tblStyle w:val="TableGrid"/>
        <w:tblW w:w="0" w:type="auto"/>
        <w:tblInd w:w="108" w:type="dxa"/>
        <w:tblLook w:val="04A0" w:firstRow="1" w:lastRow="0" w:firstColumn="1" w:lastColumn="0" w:noHBand="0" w:noVBand="1"/>
        <w:tblCaption w:val="NT: Recurrent expenditure(a)(b) ($’000) on state and territory specialised mental health services, by service type, 2007–08 (constant prices)(c)"/>
        <w:tblDescription w:val="Table showing that, in 2007-2008, outer regional areas in NT have the highest recurrent expenditure for all specialised mental health services ($19,505,000). Recurrent expenditure decreased as regions became more remote, with the major cities and inner regional categories not applicable. Public hospital services had the highest amount of recurrent expenditure overall across region types at $19,053,000."/>
      </w:tblPr>
      <w:tblGrid>
        <w:gridCol w:w="2285"/>
        <w:gridCol w:w="1043"/>
        <w:gridCol w:w="1374"/>
        <w:gridCol w:w="1247"/>
        <w:gridCol w:w="1044"/>
        <w:gridCol w:w="1090"/>
        <w:gridCol w:w="1095"/>
      </w:tblGrid>
      <w:tr w:rsidR="00E17C0A" w:rsidRPr="00EF5802" w:rsidTr="000C3DEA">
        <w:trPr>
          <w:tblHeader/>
        </w:trPr>
        <w:tc>
          <w:tcPr>
            <w:tcW w:w="2382" w:type="dxa"/>
          </w:tcPr>
          <w:p w:rsidR="00E17C0A" w:rsidRPr="00EF5802" w:rsidRDefault="00E17C0A" w:rsidP="005B2C04">
            <w:pPr>
              <w:pStyle w:val="TableFigText"/>
              <w:rPr>
                <w:rFonts w:asciiTheme="minorHAnsi" w:hAnsiTheme="minorHAnsi" w:cstheme="minorHAnsi"/>
                <w:szCs w:val="22"/>
              </w:rPr>
            </w:pPr>
          </w:p>
        </w:tc>
        <w:tc>
          <w:tcPr>
            <w:tcW w:w="1074" w:type="dxa"/>
          </w:tcPr>
          <w:p w:rsidR="00E17C0A" w:rsidRPr="00EF5802" w:rsidRDefault="00E17C0A" w:rsidP="005B2C04">
            <w:pPr>
              <w:pStyle w:val="TableFigText"/>
              <w:jc w:val="right"/>
              <w:rPr>
                <w:rFonts w:asciiTheme="minorHAnsi" w:hAnsiTheme="minorHAnsi" w:cstheme="minorHAnsi"/>
                <w:b/>
                <w:szCs w:val="22"/>
              </w:rPr>
            </w:pPr>
            <w:r w:rsidRPr="00EF5802">
              <w:rPr>
                <w:rFonts w:asciiTheme="minorHAnsi" w:hAnsiTheme="minorHAnsi" w:cstheme="minorHAnsi"/>
                <w:b/>
                <w:szCs w:val="22"/>
              </w:rPr>
              <w:t>Major cities</w:t>
            </w:r>
          </w:p>
        </w:tc>
        <w:tc>
          <w:tcPr>
            <w:tcW w:w="1420" w:type="dxa"/>
          </w:tcPr>
          <w:p w:rsidR="00E17C0A" w:rsidRPr="00EF5802" w:rsidRDefault="00E17C0A" w:rsidP="005B2C04">
            <w:pPr>
              <w:pStyle w:val="TableFigText"/>
              <w:jc w:val="right"/>
              <w:rPr>
                <w:rFonts w:asciiTheme="minorHAnsi" w:hAnsiTheme="minorHAnsi" w:cstheme="minorHAnsi"/>
                <w:b/>
                <w:szCs w:val="22"/>
              </w:rPr>
            </w:pPr>
            <w:r w:rsidRPr="00EF5802">
              <w:rPr>
                <w:rFonts w:asciiTheme="minorHAnsi" w:hAnsiTheme="minorHAnsi" w:cstheme="minorHAnsi"/>
                <w:b/>
                <w:szCs w:val="22"/>
              </w:rPr>
              <w:t>Inner regional</w:t>
            </w:r>
          </w:p>
        </w:tc>
        <w:tc>
          <w:tcPr>
            <w:tcW w:w="1283" w:type="dxa"/>
          </w:tcPr>
          <w:p w:rsidR="00E17C0A" w:rsidRPr="00EF5802" w:rsidRDefault="00E17C0A" w:rsidP="005B2C04">
            <w:pPr>
              <w:pStyle w:val="TableFigText"/>
              <w:jc w:val="right"/>
              <w:rPr>
                <w:rFonts w:asciiTheme="minorHAnsi" w:hAnsiTheme="minorHAnsi" w:cstheme="minorHAnsi"/>
                <w:b/>
                <w:szCs w:val="22"/>
              </w:rPr>
            </w:pPr>
            <w:r w:rsidRPr="00EF5802">
              <w:rPr>
                <w:rFonts w:asciiTheme="minorHAnsi" w:hAnsiTheme="minorHAnsi" w:cstheme="minorHAnsi"/>
                <w:b/>
                <w:szCs w:val="22"/>
              </w:rPr>
              <w:t>Outer regional</w:t>
            </w:r>
          </w:p>
        </w:tc>
        <w:tc>
          <w:tcPr>
            <w:tcW w:w="1067" w:type="dxa"/>
          </w:tcPr>
          <w:p w:rsidR="00E17C0A" w:rsidRPr="00EF5802" w:rsidRDefault="00E17C0A" w:rsidP="005B2C04">
            <w:pPr>
              <w:pStyle w:val="TableFigText"/>
              <w:jc w:val="right"/>
              <w:rPr>
                <w:rFonts w:asciiTheme="minorHAnsi" w:hAnsiTheme="minorHAnsi" w:cstheme="minorHAnsi"/>
                <w:b/>
                <w:szCs w:val="22"/>
              </w:rPr>
            </w:pPr>
            <w:r w:rsidRPr="00EF5802">
              <w:rPr>
                <w:rFonts w:asciiTheme="minorHAnsi" w:hAnsiTheme="minorHAnsi" w:cstheme="minorHAnsi"/>
                <w:b/>
                <w:szCs w:val="22"/>
              </w:rPr>
              <w:t>Remote</w:t>
            </w:r>
          </w:p>
        </w:tc>
        <w:tc>
          <w:tcPr>
            <w:tcW w:w="1118" w:type="dxa"/>
          </w:tcPr>
          <w:p w:rsidR="00E17C0A" w:rsidRPr="00EF5802" w:rsidRDefault="00E17C0A" w:rsidP="005B2C04">
            <w:pPr>
              <w:pStyle w:val="TableFigText"/>
              <w:jc w:val="right"/>
              <w:rPr>
                <w:rFonts w:asciiTheme="minorHAnsi" w:hAnsiTheme="minorHAnsi" w:cstheme="minorHAnsi"/>
                <w:b/>
                <w:szCs w:val="22"/>
              </w:rPr>
            </w:pPr>
            <w:r w:rsidRPr="00EF5802">
              <w:rPr>
                <w:rFonts w:asciiTheme="minorHAnsi" w:hAnsiTheme="minorHAnsi" w:cstheme="minorHAnsi"/>
                <w:b/>
                <w:szCs w:val="22"/>
              </w:rPr>
              <w:t>Very remote</w:t>
            </w:r>
          </w:p>
        </w:tc>
        <w:tc>
          <w:tcPr>
            <w:tcW w:w="1124" w:type="dxa"/>
          </w:tcPr>
          <w:p w:rsidR="00E17C0A" w:rsidRPr="00EF5802" w:rsidRDefault="00E17C0A" w:rsidP="005B2C04">
            <w:pPr>
              <w:pStyle w:val="TableFigText"/>
              <w:jc w:val="right"/>
              <w:rPr>
                <w:rFonts w:asciiTheme="minorHAnsi" w:hAnsiTheme="minorHAnsi" w:cstheme="minorHAnsi"/>
                <w:b/>
                <w:szCs w:val="22"/>
              </w:rPr>
            </w:pPr>
            <w:r w:rsidRPr="00EF5802">
              <w:rPr>
                <w:rFonts w:asciiTheme="minorHAnsi" w:hAnsiTheme="minorHAnsi" w:cstheme="minorHAnsi"/>
                <w:b/>
                <w:szCs w:val="22"/>
              </w:rPr>
              <w:t>Total</w:t>
            </w:r>
            <w:r w:rsidRPr="00EF5802">
              <w:rPr>
                <w:rFonts w:asciiTheme="minorHAnsi" w:hAnsiTheme="minorHAnsi" w:cstheme="minorHAnsi"/>
                <w:szCs w:val="22"/>
                <w:vertAlign w:val="superscript"/>
              </w:rPr>
              <w:t>(</w:t>
            </w:r>
            <w:r>
              <w:rPr>
                <w:rFonts w:asciiTheme="minorHAnsi" w:hAnsiTheme="minorHAnsi" w:cstheme="minorHAnsi"/>
                <w:szCs w:val="22"/>
                <w:vertAlign w:val="superscript"/>
              </w:rPr>
              <w:t>d</w:t>
            </w:r>
            <w:r w:rsidRPr="00EF5802">
              <w:rPr>
                <w:rFonts w:asciiTheme="minorHAnsi" w:hAnsiTheme="minorHAnsi" w:cstheme="minorHAnsi"/>
                <w:szCs w:val="22"/>
                <w:vertAlign w:val="superscript"/>
              </w:rPr>
              <w:t>)</w:t>
            </w:r>
          </w:p>
        </w:tc>
      </w:tr>
      <w:tr w:rsidR="00E17C0A" w:rsidRPr="00EF5802" w:rsidTr="005B2C04">
        <w:tc>
          <w:tcPr>
            <w:tcW w:w="2382" w:type="dxa"/>
          </w:tcPr>
          <w:p w:rsidR="00E17C0A" w:rsidRPr="00EF5802" w:rsidRDefault="00E17C0A" w:rsidP="005B2C04">
            <w:pPr>
              <w:pStyle w:val="TableFigText"/>
              <w:rPr>
                <w:rFonts w:asciiTheme="minorHAnsi" w:hAnsiTheme="minorHAnsi" w:cstheme="minorHAnsi"/>
                <w:szCs w:val="22"/>
              </w:rPr>
            </w:pPr>
            <w:r w:rsidRPr="00EF5802">
              <w:rPr>
                <w:rFonts w:asciiTheme="minorHAnsi" w:hAnsiTheme="minorHAnsi" w:cstheme="minorHAnsi"/>
                <w:szCs w:val="22"/>
              </w:rPr>
              <w:t>Public hospital services</w:t>
            </w:r>
            <w:r w:rsidRPr="00EF5802">
              <w:rPr>
                <w:rFonts w:asciiTheme="minorHAnsi" w:hAnsiTheme="minorHAnsi" w:cstheme="minorHAnsi"/>
                <w:szCs w:val="22"/>
                <w:vertAlign w:val="superscript"/>
              </w:rPr>
              <w:t>(</w:t>
            </w:r>
            <w:r>
              <w:rPr>
                <w:rFonts w:asciiTheme="minorHAnsi" w:hAnsiTheme="minorHAnsi" w:cstheme="minorHAnsi"/>
                <w:szCs w:val="22"/>
                <w:vertAlign w:val="superscript"/>
              </w:rPr>
              <w:t>e</w:t>
            </w:r>
            <w:r w:rsidRPr="00EF5802">
              <w:rPr>
                <w:rFonts w:asciiTheme="minorHAnsi" w:hAnsiTheme="minorHAnsi" w:cstheme="minorHAnsi"/>
                <w:szCs w:val="22"/>
                <w:vertAlign w:val="superscript"/>
              </w:rPr>
              <w:t>)(</w:t>
            </w:r>
            <w:r>
              <w:rPr>
                <w:rFonts w:asciiTheme="minorHAnsi" w:hAnsiTheme="minorHAnsi" w:cstheme="minorHAnsi"/>
                <w:szCs w:val="22"/>
                <w:vertAlign w:val="superscript"/>
              </w:rPr>
              <w:t>f</w:t>
            </w:r>
            <w:r w:rsidRPr="00EF5802">
              <w:rPr>
                <w:rFonts w:asciiTheme="minorHAnsi" w:hAnsiTheme="minorHAnsi" w:cstheme="minorHAnsi"/>
                <w:szCs w:val="22"/>
                <w:vertAlign w:val="superscript"/>
              </w:rPr>
              <w:t>)</w:t>
            </w:r>
          </w:p>
        </w:tc>
        <w:tc>
          <w:tcPr>
            <w:tcW w:w="1074" w:type="dxa"/>
            <w:vAlign w:val="center"/>
          </w:tcPr>
          <w:p w:rsidR="00E17C0A" w:rsidRPr="00271376" w:rsidRDefault="00E17C0A" w:rsidP="003D2B2B">
            <w:pPr>
              <w:pStyle w:val="TableFigText"/>
              <w:jc w:val="right"/>
            </w:pPr>
            <w:r w:rsidRPr="00271376">
              <w:t>n/a</w:t>
            </w:r>
          </w:p>
        </w:tc>
        <w:tc>
          <w:tcPr>
            <w:tcW w:w="1420" w:type="dxa"/>
            <w:vAlign w:val="center"/>
          </w:tcPr>
          <w:p w:rsidR="00E17C0A" w:rsidRPr="00271376" w:rsidRDefault="00E17C0A" w:rsidP="003D2B2B">
            <w:pPr>
              <w:pStyle w:val="TableFigText"/>
              <w:jc w:val="right"/>
            </w:pPr>
            <w:r w:rsidRPr="00271376">
              <w:t>n/a</w:t>
            </w:r>
          </w:p>
        </w:tc>
        <w:tc>
          <w:tcPr>
            <w:tcW w:w="1283" w:type="dxa"/>
            <w:vAlign w:val="center"/>
          </w:tcPr>
          <w:p w:rsidR="00E17C0A" w:rsidRPr="00271376" w:rsidRDefault="00E17C0A" w:rsidP="003D2B2B">
            <w:pPr>
              <w:pStyle w:val="TableFigText"/>
              <w:jc w:val="right"/>
            </w:pPr>
            <w:r w:rsidRPr="00271376">
              <w:t>9,244</w:t>
            </w:r>
          </w:p>
        </w:tc>
        <w:tc>
          <w:tcPr>
            <w:tcW w:w="1067" w:type="dxa"/>
            <w:vAlign w:val="center"/>
          </w:tcPr>
          <w:p w:rsidR="00E17C0A" w:rsidRPr="00271376" w:rsidRDefault="00E17C0A" w:rsidP="003D2B2B">
            <w:pPr>
              <w:pStyle w:val="TableFigText"/>
              <w:jc w:val="right"/>
            </w:pPr>
            <w:r w:rsidRPr="00271376">
              <w:t>3,718</w:t>
            </w:r>
          </w:p>
        </w:tc>
        <w:tc>
          <w:tcPr>
            <w:tcW w:w="1118" w:type="dxa"/>
            <w:vAlign w:val="center"/>
          </w:tcPr>
          <w:p w:rsidR="00E17C0A" w:rsidRPr="00271376" w:rsidRDefault="00E17C0A" w:rsidP="003D2B2B">
            <w:pPr>
              <w:pStyle w:val="TableFigText"/>
              <w:jc w:val="right"/>
            </w:pPr>
            <w:r w:rsidRPr="00271376">
              <w:t>0</w:t>
            </w:r>
          </w:p>
        </w:tc>
        <w:tc>
          <w:tcPr>
            <w:tcW w:w="1124" w:type="dxa"/>
            <w:vAlign w:val="center"/>
          </w:tcPr>
          <w:p w:rsidR="00E17C0A" w:rsidRPr="00271376" w:rsidRDefault="00E17C0A" w:rsidP="003D2B2B">
            <w:pPr>
              <w:pStyle w:val="TableFigText"/>
              <w:jc w:val="right"/>
            </w:pPr>
            <w:r w:rsidRPr="00271376">
              <w:t>12,963</w:t>
            </w:r>
          </w:p>
        </w:tc>
      </w:tr>
      <w:tr w:rsidR="00E17C0A" w:rsidRPr="00EF5802" w:rsidTr="005B2C04">
        <w:tc>
          <w:tcPr>
            <w:tcW w:w="2382" w:type="dxa"/>
          </w:tcPr>
          <w:p w:rsidR="00E17C0A" w:rsidRPr="00EF5802" w:rsidRDefault="00E17C0A" w:rsidP="005B2C04">
            <w:pPr>
              <w:pStyle w:val="TableFigText"/>
              <w:rPr>
                <w:rFonts w:asciiTheme="minorHAnsi" w:hAnsiTheme="minorHAnsi" w:cstheme="minorHAnsi"/>
                <w:szCs w:val="22"/>
              </w:rPr>
            </w:pPr>
            <w:r w:rsidRPr="00EF5802">
              <w:rPr>
                <w:rFonts w:asciiTheme="minorHAnsi" w:hAnsiTheme="minorHAnsi" w:cstheme="minorHAnsi"/>
                <w:szCs w:val="22"/>
              </w:rPr>
              <w:t>Community mental health services</w:t>
            </w:r>
          </w:p>
        </w:tc>
        <w:tc>
          <w:tcPr>
            <w:tcW w:w="1074" w:type="dxa"/>
            <w:vAlign w:val="center"/>
          </w:tcPr>
          <w:p w:rsidR="00E17C0A" w:rsidRPr="00271376" w:rsidRDefault="00E17C0A" w:rsidP="003D2B2B">
            <w:pPr>
              <w:pStyle w:val="TableFigText"/>
              <w:jc w:val="right"/>
            </w:pPr>
            <w:r w:rsidRPr="00271376">
              <w:t>n/a</w:t>
            </w:r>
          </w:p>
        </w:tc>
        <w:tc>
          <w:tcPr>
            <w:tcW w:w="1420" w:type="dxa"/>
            <w:vAlign w:val="center"/>
          </w:tcPr>
          <w:p w:rsidR="00E17C0A" w:rsidRPr="00271376" w:rsidRDefault="00E17C0A" w:rsidP="003D2B2B">
            <w:pPr>
              <w:pStyle w:val="TableFigText"/>
              <w:jc w:val="right"/>
            </w:pPr>
            <w:r w:rsidRPr="00271376">
              <w:t>n/a</w:t>
            </w:r>
          </w:p>
        </w:tc>
        <w:tc>
          <w:tcPr>
            <w:tcW w:w="1283" w:type="dxa"/>
            <w:vAlign w:val="center"/>
          </w:tcPr>
          <w:p w:rsidR="00E17C0A" w:rsidRPr="00271376" w:rsidRDefault="00E17C0A" w:rsidP="003D2B2B">
            <w:pPr>
              <w:pStyle w:val="TableFigText"/>
              <w:jc w:val="right"/>
            </w:pPr>
            <w:r w:rsidRPr="00271376">
              <w:t>9,731</w:t>
            </w:r>
          </w:p>
        </w:tc>
        <w:tc>
          <w:tcPr>
            <w:tcW w:w="1067" w:type="dxa"/>
            <w:vAlign w:val="center"/>
          </w:tcPr>
          <w:p w:rsidR="00E17C0A" w:rsidRPr="00271376" w:rsidRDefault="00E17C0A" w:rsidP="003D2B2B">
            <w:pPr>
              <w:pStyle w:val="TableFigText"/>
              <w:jc w:val="right"/>
            </w:pPr>
            <w:r w:rsidRPr="00271376">
              <w:t>7,389</w:t>
            </w:r>
          </w:p>
        </w:tc>
        <w:tc>
          <w:tcPr>
            <w:tcW w:w="1118" w:type="dxa"/>
            <w:vAlign w:val="center"/>
          </w:tcPr>
          <w:p w:rsidR="00E17C0A" w:rsidRPr="00271376" w:rsidRDefault="00E17C0A" w:rsidP="003D2B2B">
            <w:pPr>
              <w:pStyle w:val="TableFigText"/>
              <w:jc w:val="right"/>
            </w:pPr>
            <w:r w:rsidRPr="00271376">
              <w:t>1,933</w:t>
            </w:r>
          </w:p>
        </w:tc>
        <w:tc>
          <w:tcPr>
            <w:tcW w:w="1124" w:type="dxa"/>
            <w:vAlign w:val="center"/>
          </w:tcPr>
          <w:p w:rsidR="00E17C0A" w:rsidRPr="00271376" w:rsidRDefault="00E17C0A" w:rsidP="003D2B2B">
            <w:pPr>
              <w:pStyle w:val="TableFigText"/>
              <w:jc w:val="right"/>
            </w:pPr>
            <w:r w:rsidRPr="00271376">
              <w:t>19,053</w:t>
            </w:r>
          </w:p>
        </w:tc>
      </w:tr>
      <w:tr w:rsidR="00E17C0A" w:rsidRPr="00EF5802" w:rsidTr="005B2C04">
        <w:tc>
          <w:tcPr>
            <w:tcW w:w="2382" w:type="dxa"/>
          </w:tcPr>
          <w:p w:rsidR="00E17C0A" w:rsidRPr="00EF5802" w:rsidRDefault="00E17C0A" w:rsidP="005B2C04">
            <w:pPr>
              <w:pStyle w:val="TableFigText"/>
              <w:rPr>
                <w:rFonts w:asciiTheme="minorHAnsi" w:hAnsiTheme="minorHAnsi" w:cstheme="minorHAnsi"/>
                <w:szCs w:val="22"/>
              </w:rPr>
            </w:pPr>
            <w:r w:rsidRPr="00EF5802">
              <w:rPr>
                <w:rFonts w:asciiTheme="minorHAnsi" w:hAnsiTheme="minorHAnsi" w:cstheme="minorHAnsi"/>
                <w:szCs w:val="22"/>
              </w:rPr>
              <w:t>Residential mental health services</w:t>
            </w:r>
            <w:r w:rsidRPr="00EF5802">
              <w:rPr>
                <w:rFonts w:asciiTheme="minorHAnsi" w:hAnsiTheme="minorHAnsi" w:cstheme="minorHAnsi"/>
                <w:szCs w:val="22"/>
                <w:vertAlign w:val="superscript"/>
              </w:rPr>
              <w:t>(</w:t>
            </w:r>
            <w:r>
              <w:rPr>
                <w:rFonts w:asciiTheme="minorHAnsi" w:hAnsiTheme="minorHAnsi" w:cstheme="minorHAnsi"/>
                <w:szCs w:val="22"/>
                <w:vertAlign w:val="superscript"/>
              </w:rPr>
              <w:t>g</w:t>
            </w:r>
            <w:r w:rsidRPr="00EF5802">
              <w:rPr>
                <w:rFonts w:asciiTheme="minorHAnsi" w:hAnsiTheme="minorHAnsi" w:cstheme="minorHAnsi"/>
                <w:szCs w:val="22"/>
                <w:vertAlign w:val="superscript"/>
              </w:rPr>
              <w:t>)</w:t>
            </w:r>
          </w:p>
        </w:tc>
        <w:tc>
          <w:tcPr>
            <w:tcW w:w="1074" w:type="dxa"/>
            <w:vAlign w:val="center"/>
          </w:tcPr>
          <w:p w:rsidR="00E17C0A" w:rsidRPr="00271376" w:rsidRDefault="00E17C0A" w:rsidP="003D2B2B">
            <w:pPr>
              <w:pStyle w:val="TableFigText"/>
              <w:jc w:val="right"/>
            </w:pPr>
            <w:r w:rsidRPr="00271376">
              <w:t>n/a</w:t>
            </w:r>
          </w:p>
        </w:tc>
        <w:tc>
          <w:tcPr>
            <w:tcW w:w="1420" w:type="dxa"/>
            <w:vAlign w:val="center"/>
          </w:tcPr>
          <w:p w:rsidR="00E17C0A" w:rsidRPr="00271376" w:rsidRDefault="00E17C0A" w:rsidP="003D2B2B">
            <w:pPr>
              <w:pStyle w:val="TableFigText"/>
              <w:jc w:val="right"/>
            </w:pPr>
            <w:r w:rsidRPr="00271376">
              <w:t>n/a</w:t>
            </w:r>
          </w:p>
        </w:tc>
        <w:tc>
          <w:tcPr>
            <w:tcW w:w="1283" w:type="dxa"/>
            <w:vAlign w:val="center"/>
          </w:tcPr>
          <w:p w:rsidR="00E17C0A" w:rsidRPr="00271376" w:rsidRDefault="00E17C0A" w:rsidP="003D2B2B">
            <w:pPr>
              <w:pStyle w:val="TableFigText"/>
              <w:jc w:val="right"/>
            </w:pPr>
            <w:r w:rsidRPr="00271376">
              <w:t>530</w:t>
            </w:r>
          </w:p>
        </w:tc>
        <w:tc>
          <w:tcPr>
            <w:tcW w:w="1067" w:type="dxa"/>
            <w:vAlign w:val="center"/>
          </w:tcPr>
          <w:p w:rsidR="00E17C0A" w:rsidRPr="00271376" w:rsidRDefault="00E17C0A" w:rsidP="003D2B2B">
            <w:pPr>
              <w:pStyle w:val="TableFigText"/>
              <w:jc w:val="right"/>
            </w:pPr>
            <w:r w:rsidRPr="00271376">
              <w:t>0</w:t>
            </w:r>
          </w:p>
        </w:tc>
        <w:tc>
          <w:tcPr>
            <w:tcW w:w="1118" w:type="dxa"/>
            <w:vAlign w:val="center"/>
          </w:tcPr>
          <w:p w:rsidR="00E17C0A" w:rsidRPr="00271376" w:rsidRDefault="00E17C0A" w:rsidP="003D2B2B">
            <w:pPr>
              <w:pStyle w:val="TableFigText"/>
              <w:jc w:val="right"/>
            </w:pPr>
            <w:r w:rsidRPr="00271376">
              <w:t>0</w:t>
            </w:r>
          </w:p>
        </w:tc>
        <w:tc>
          <w:tcPr>
            <w:tcW w:w="1124" w:type="dxa"/>
            <w:vAlign w:val="center"/>
          </w:tcPr>
          <w:p w:rsidR="00E17C0A" w:rsidRPr="00271376" w:rsidRDefault="00E17C0A" w:rsidP="003D2B2B">
            <w:pPr>
              <w:pStyle w:val="TableFigText"/>
              <w:jc w:val="right"/>
            </w:pPr>
            <w:r w:rsidRPr="00271376">
              <w:t>530</w:t>
            </w:r>
          </w:p>
        </w:tc>
      </w:tr>
      <w:tr w:rsidR="00E17C0A" w:rsidRPr="00EF5802" w:rsidTr="005B2C04">
        <w:tc>
          <w:tcPr>
            <w:tcW w:w="2382" w:type="dxa"/>
          </w:tcPr>
          <w:p w:rsidR="00E17C0A" w:rsidRPr="003D2B2B" w:rsidRDefault="00E17C0A" w:rsidP="005B2C04">
            <w:pPr>
              <w:pStyle w:val="TableFigText"/>
              <w:rPr>
                <w:rFonts w:asciiTheme="minorHAnsi" w:hAnsiTheme="minorHAnsi" w:cstheme="minorHAnsi"/>
                <w:b/>
                <w:szCs w:val="22"/>
              </w:rPr>
            </w:pPr>
            <w:r w:rsidRPr="003D2B2B">
              <w:rPr>
                <w:rFonts w:asciiTheme="minorHAnsi" w:hAnsiTheme="minorHAnsi" w:cstheme="minorHAnsi"/>
                <w:b/>
                <w:szCs w:val="22"/>
              </w:rPr>
              <w:t>All mental health service types</w:t>
            </w:r>
            <w:r w:rsidRPr="003D2B2B">
              <w:rPr>
                <w:rFonts w:asciiTheme="minorHAnsi" w:hAnsiTheme="minorHAnsi" w:cstheme="minorHAnsi"/>
                <w:b/>
                <w:szCs w:val="22"/>
                <w:vertAlign w:val="superscript"/>
              </w:rPr>
              <w:t>(d)</w:t>
            </w:r>
          </w:p>
        </w:tc>
        <w:tc>
          <w:tcPr>
            <w:tcW w:w="1074" w:type="dxa"/>
            <w:vAlign w:val="center"/>
          </w:tcPr>
          <w:p w:rsidR="00E17C0A" w:rsidRPr="003D2B2B" w:rsidRDefault="00E17C0A" w:rsidP="003D2B2B">
            <w:pPr>
              <w:pStyle w:val="TableFigText"/>
              <w:jc w:val="right"/>
              <w:rPr>
                <w:b/>
              </w:rPr>
            </w:pPr>
            <w:r w:rsidRPr="003D2B2B">
              <w:rPr>
                <w:b/>
              </w:rPr>
              <w:t>n/a</w:t>
            </w:r>
          </w:p>
        </w:tc>
        <w:tc>
          <w:tcPr>
            <w:tcW w:w="1420" w:type="dxa"/>
            <w:vAlign w:val="center"/>
          </w:tcPr>
          <w:p w:rsidR="00E17C0A" w:rsidRPr="003D2B2B" w:rsidRDefault="00E17C0A" w:rsidP="003D2B2B">
            <w:pPr>
              <w:pStyle w:val="TableFigText"/>
              <w:jc w:val="right"/>
              <w:rPr>
                <w:b/>
              </w:rPr>
            </w:pPr>
            <w:r w:rsidRPr="003D2B2B">
              <w:rPr>
                <w:b/>
              </w:rPr>
              <w:t>n/a</w:t>
            </w:r>
          </w:p>
        </w:tc>
        <w:tc>
          <w:tcPr>
            <w:tcW w:w="1283" w:type="dxa"/>
            <w:vAlign w:val="center"/>
          </w:tcPr>
          <w:p w:rsidR="00E17C0A" w:rsidRPr="003D2B2B" w:rsidRDefault="00E17C0A" w:rsidP="003D2B2B">
            <w:pPr>
              <w:pStyle w:val="TableFigText"/>
              <w:jc w:val="right"/>
              <w:rPr>
                <w:b/>
              </w:rPr>
            </w:pPr>
            <w:r w:rsidRPr="003D2B2B">
              <w:rPr>
                <w:b/>
              </w:rPr>
              <w:t>19,505</w:t>
            </w:r>
          </w:p>
        </w:tc>
        <w:tc>
          <w:tcPr>
            <w:tcW w:w="1067" w:type="dxa"/>
            <w:vAlign w:val="center"/>
          </w:tcPr>
          <w:p w:rsidR="00E17C0A" w:rsidRPr="003D2B2B" w:rsidRDefault="00E17C0A" w:rsidP="003D2B2B">
            <w:pPr>
              <w:pStyle w:val="TableFigText"/>
              <w:jc w:val="right"/>
              <w:rPr>
                <w:b/>
              </w:rPr>
            </w:pPr>
            <w:r w:rsidRPr="003D2B2B">
              <w:rPr>
                <w:b/>
              </w:rPr>
              <w:t>11,107</w:t>
            </w:r>
          </w:p>
        </w:tc>
        <w:tc>
          <w:tcPr>
            <w:tcW w:w="1118" w:type="dxa"/>
            <w:vAlign w:val="center"/>
          </w:tcPr>
          <w:p w:rsidR="00E17C0A" w:rsidRPr="003D2B2B" w:rsidRDefault="00E17C0A" w:rsidP="003D2B2B">
            <w:pPr>
              <w:pStyle w:val="TableFigText"/>
              <w:jc w:val="right"/>
              <w:rPr>
                <w:b/>
              </w:rPr>
            </w:pPr>
            <w:r w:rsidRPr="003D2B2B">
              <w:rPr>
                <w:b/>
              </w:rPr>
              <w:t>1,933</w:t>
            </w:r>
          </w:p>
        </w:tc>
        <w:tc>
          <w:tcPr>
            <w:tcW w:w="1124" w:type="dxa"/>
            <w:vAlign w:val="center"/>
          </w:tcPr>
          <w:p w:rsidR="00E17C0A" w:rsidRPr="003D2B2B" w:rsidRDefault="00E17C0A" w:rsidP="003D2B2B">
            <w:pPr>
              <w:pStyle w:val="TableFigText"/>
              <w:jc w:val="right"/>
              <w:rPr>
                <w:b/>
              </w:rPr>
            </w:pPr>
            <w:r w:rsidRPr="003D2B2B">
              <w:rPr>
                <w:b/>
              </w:rPr>
              <w:t>32,545</w:t>
            </w:r>
          </w:p>
        </w:tc>
      </w:tr>
    </w:tbl>
    <w:p w:rsidR="00E17C0A" w:rsidRPr="0097112F" w:rsidRDefault="00E17C0A" w:rsidP="008C2A85">
      <w:pPr>
        <w:pStyle w:val="TableFigNotesnumbered"/>
        <w:ind w:left="294" w:hanging="294"/>
        <w:rPr>
          <w:rStyle w:val="table-note"/>
        </w:rPr>
      </w:pPr>
      <w:proofErr w:type="gramStart"/>
      <w:r w:rsidRPr="0097112F">
        <w:rPr>
          <w:rStyle w:val="table-note"/>
        </w:rPr>
        <w:t>n/a</w:t>
      </w:r>
      <w:proofErr w:type="gramEnd"/>
      <w:r w:rsidRPr="0097112F">
        <w:rPr>
          <w:rStyle w:val="table-note"/>
        </w:rPr>
        <w:t xml:space="preserve"> </w:t>
      </w:r>
      <w:r w:rsidRPr="0097112F">
        <w:rPr>
          <w:rStyle w:val="table-note"/>
        </w:rPr>
        <w:tab/>
        <w:t>Not applicable.</w:t>
      </w:r>
    </w:p>
    <w:p w:rsidR="00E17C0A" w:rsidRPr="0097112F" w:rsidRDefault="00E17C0A" w:rsidP="0097112F">
      <w:pPr>
        <w:pStyle w:val="TableFigNotesnumbered"/>
        <w:numPr>
          <w:ilvl w:val="0"/>
          <w:numId w:val="98"/>
        </w:numPr>
        <w:rPr>
          <w:rStyle w:val="table-note"/>
        </w:rPr>
      </w:pPr>
      <w:r w:rsidRPr="0097112F">
        <w:rPr>
          <w:rStyle w:val="table-note"/>
        </w:rPr>
        <w:t>Expenditure excludes depreciation.</w:t>
      </w:r>
    </w:p>
    <w:p w:rsidR="00E17C0A" w:rsidRPr="0097112F" w:rsidRDefault="00E17C0A" w:rsidP="0097112F">
      <w:pPr>
        <w:pStyle w:val="TableFigNotesnumbered"/>
        <w:numPr>
          <w:ilvl w:val="0"/>
          <w:numId w:val="98"/>
        </w:numPr>
        <w:rPr>
          <w:rStyle w:val="table-note"/>
        </w:rPr>
      </w:pPr>
      <w:r w:rsidRPr="0097112F">
        <w:rPr>
          <w:rStyle w:val="table-note"/>
        </w:rPr>
        <w:t xml:space="preserve">Expenditure excludes grants to non-government organisations and indirect expenditure at the state/territory, region and organisation levels not apportioned to service units. </w:t>
      </w:r>
    </w:p>
    <w:p w:rsidR="00E17C0A" w:rsidRPr="0097112F" w:rsidRDefault="00E17C0A" w:rsidP="0097112F">
      <w:pPr>
        <w:pStyle w:val="TableFigNotesnumbered"/>
        <w:numPr>
          <w:ilvl w:val="0"/>
          <w:numId w:val="98"/>
        </w:numPr>
        <w:rPr>
          <w:rStyle w:val="table-note"/>
        </w:rPr>
      </w:pPr>
      <w:r w:rsidRPr="0097112F">
        <w:rPr>
          <w:rStyle w:val="table-note"/>
        </w:rPr>
        <w:t>Constant prices are referenced to 2011–12 and are adjusted for inflation.</w:t>
      </w:r>
    </w:p>
    <w:p w:rsidR="00E17C0A" w:rsidRPr="0097112F" w:rsidRDefault="00E17C0A" w:rsidP="0097112F">
      <w:pPr>
        <w:pStyle w:val="TableFigNotesnumbered"/>
        <w:numPr>
          <w:ilvl w:val="0"/>
          <w:numId w:val="98"/>
        </w:numPr>
        <w:rPr>
          <w:rStyle w:val="table-note"/>
        </w:rPr>
      </w:pPr>
      <w:r w:rsidRPr="0097112F">
        <w:rPr>
          <w:rStyle w:val="table-note"/>
        </w:rPr>
        <w:t>Totals may not add due to rounding to the nearest $'000.</w:t>
      </w:r>
    </w:p>
    <w:p w:rsidR="00E17C0A" w:rsidRPr="0097112F" w:rsidRDefault="00E17C0A" w:rsidP="0097112F">
      <w:pPr>
        <w:pStyle w:val="TableFigNotesnumbered"/>
        <w:numPr>
          <w:ilvl w:val="0"/>
          <w:numId w:val="98"/>
        </w:numPr>
        <w:rPr>
          <w:rStyle w:val="table-note"/>
        </w:rPr>
      </w:pPr>
      <w:r w:rsidRPr="0097112F">
        <w:rPr>
          <w:rStyle w:val="table-note"/>
        </w:rPr>
        <w:t>Includes public hospital services managed and operated by private and non-government entities.</w:t>
      </w:r>
    </w:p>
    <w:p w:rsidR="00E17C0A" w:rsidRPr="0097112F" w:rsidRDefault="00E17C0A" w:rsidP="0097112F">
      <w:pPr>
        <w:pStyle w:val="TableFigNotesnumbered"/>
        <w:numPr>
          <w:ilvl w:val="0"/>
          <w:numId w:val="98"/>
        </w:numPr>
        <w:rPr>
          <w:rStyle w:val="table-note"/>
        </w:rPr>
      </w:pPr>
      <w:r w:rsidRPr="0097112F">
        <w:rPr>
          <w:rStyle w:val="table-note"/>
        </w:rPr>
        <w:t>Public psychiatric hospitals and specialised psychiatric units or wards in public acute hospitals include expenditure on admitted patient services only. Public hospitals outpatient departments are included in community mental health care services.</w:t>
      </w:r>
      <w:r w:rsidRPr="0097112F">
        <w:rPr>
          <w:rStyle w:val="table-note"/>
        </w:rPr>
        <w:tab/>
      </w:r>
      <w:r w:rsidRPr="0097112F">
        <w:rPr>
          <w:rStyle w:val="table-note"/>
        </w:rPr>
        <w:tab/>
      </w:r>
    </w:p>
    <w:p w:rsidR="00E17C0A" w:rsidRPr="00207B28" w:rsidRDefault="00E17C0A" w:rsidP="0097112F">
      <w:pPr>
        <w:pStyle w:val="TableFigNotesnumbered"/>
        <w:numPr>
          <w:ilvl w:val="0"/>
          <w:numId w:val="98"/>
        </w:numPr>
        <w:rPr>
          <w:rFonts w:asciiTheme="minorHAnsi" w:hAnsiTheme="minorHAnsi" w:cstheme="minorHAnsi"/>
        </w:rPr>
      </w:pPr>
      <w:r w:rsidRPr="0097112F">
        <w:rPr>
          <w:rStyle w:val="table-note"/>
        </w:rPr>
        <w:t>Residential mental health services include the total operating costs for partially or wholly government funded non-government-operated residential mental health services.</w:t>
      </w:r>
      <w:r w:rsidRPr="00207B28">
        <w:rPr>
          <w:rFonts w:asciiTheme="minorHAnsi" w:hAnsiTheme="minorHAnsi" w:cstheme="minorHAnsi"/>
        </w:rPr>
        <w:tab/>
      </w:r>
      <w:r w:rsidRPr="00207B28">
        <w:rPr>
          <w:rFonts w:asciiTheme="minorHAnsi" w:hAnsiTheme="minorHAnsi" w:cstheme="minorHAnsi"/>
        </w:rPr>
        <w:tab/>
      </w:r>
    </w:p>
    <w:p w:rsidR="0097112F" w:rsidRDefault="00E17C0A" w:rsidP="008C2A85">
      <w:pPr>
        <w:pStyle w:val="TableFigNotesnumbered"/>
        <w:ind w:left="294" w:hanging="294"/>
        <w:rPr>
          <w:rFonts w:asciiTheme="minorHAnsi" w:hAnsiTheme="minorHAnsi" w:cstheme="minorHAnsi"/>
        </w:rPr>
      </w:pPr>
      <w:r w:rsidRPr="0097112F">
        <w:rPr>
          <w:rStyle w:val="table-note"/>
        </w:rPr>
        <w:t>Note:</w:t>
      </w:r>
    </w:p>
    <w:p w:rsidR="00E17C0A" w:rsidRPr="00207B28" w:rsidRDefault="00E17C0A" w:rsidP="0097112F">
      <w:pPr>
        <w:pStyle w:val="TableFigNotesnumbered"/>
        <w:numPr>
          <w:ilvl w:val="0"/>
          <w:numId w:val="99"/>
        </w:numPr>
        <w:rPr>
          <w:rFonts w:asciiTheme="minorHAnsi" w:hAnsiTheme="minorHAnsi" w:cstheme="minorHAnsi"/>
        </w:rPr>
      </w:pPr>
      <w:r w:rsidRPr="0097112F">
        <w:rPr>
          <w:rStyle w:val="table-note"/>
        </w:rPr>
        <w:t xml:space="preserve">The Northern Territory </w:t>
      </w:r>
      <w:proofErr w:type="gramStart"/>
      <w:r w:rsidRPr="0097112F">
        <w:rPr>
          <w:rStyle w:val="table-note"/>
        </w:rPr>
        <w:t>do</w:t>
      </w:r>
      <w:proofErr w:type="gramEnd"/>
      <w:r w:rsidRPr="0097112F">
        <w:rPr>
          <w:rStyle w:val="table-note"/>
        </w:rPr>
        <w:t xml:space="preserve"> not have public psychiatric hospitals as defined in the MHE NMDS.</w:t>
      </w:r>
      <w:r w:rsidRPr="00207B28">
        <w:rPr>
          <w:rFonts w:asciiTheme="minorHAnsi" w:hAnsiTheme="minorHAnsi" w:cstheme="minorHAnsi"/>
        </w:rPr>
        <w:t xml:space="preserve"> </w:t>
      </w:r>
    </w:p>
    <w:p w:rsidR="00E441F7" w:rsidRPr="000E0677" w:rsidRDefault="000E0677" w:rsidP="00E441F7">
      <w:pPr>
        <w:pStyle w:val="TableCaption"/>
        <w:spacing w:line="240" w:lineRule="auto"/>
        <w:rPr>
          <w:rStyle w:val="table-note"/>
        </w:rPr>
      </w:pPr>
      <w:r w:rsidRPr="000E0677">
        <w:rPr>
          <w:rStyle w:val="table-note"/>
        </w:rPr>
        <w:t xml:space="preserve">Table 63: </w:t>
      </w:r>
      <w:r w:rsidR="005E406B" w:rsidRPr="000E0677">
        <w:rPr>
          <w:rStyle w:val="table-note"/>
        </w:rPr>
        <w:t>NT</w:t>
      </w:r>
      <w:r w:rsidR="00E441F7" w:rsidRPr="000E0677">
        <w:rPr>
          <w:rStyle w:val="table-note"/>
        </w:rPr>
        <w:t xml:space="preserve">: Recurrent </w:t>
      </w:r>
      <w:proofErr w:type="gramStart"/>
      <w:r w:rsidR="00E441F7" w:rsidRPr="000E0677">
        <w:rPr>
          <w:rStyle w:val="table-note"/>
        </w:rPr>
        <w:t>expenditure</w:t>
      </w:r>
      <w:r w:rsidR="00E441F7" w:rsidRPr="000E0677">
        <w:rPr>
          <w:rStyle w:val="table-note"/>
          <w:vertAlign w:val="superscript"/>
        </w:rPr>
        <w:t>(</w:t>
      </w:r>
      <w:proofErr w:type="gramEnd"/>
      <w:r w:rsidR="00E441F7" w:rsidRPr="000E0677">
        <w:rPr>
          <w:rStyle w:val="table-note"/>
          <w:vertAlign w:val="superscript"/>
        </w:rPr>
        <w:t>a)(b)</w:t>
      </w:r>
      <w:r w:rsidR="00E441F7" w:rsidRPr="000E0677">
        <w:rPr>
          <w:rStyle w:val="table-note"/>
        </w:rPr>
        <w:t xml:space="preserve"> ($) per capita</w:t>
      </w:r>
      <w:r w:rsidR="00E441F7" w:rsidRPr="000E0677">
        <w:rPr>
          <w:rStyle w:val="table-note"/>
          <w:vertAlign w:val="superscript"/>
        </w:rPr>
        <w:t>(c)</w:t>
      </w:r>
      <w:r w:rsidR="00E441F7" w:rsidRPr="000E0677">
        <w:rPr>
          <w:rStyle w:val="table-note"/>
        </w:rPr>
        <w:t xml:space="preserve"> on state and territory specialised mental health services, by service type, 2007–08 (constant prices)</w:t>
      </w:r>
      <w:r w:rsidR="00E441F7" w:rsidRPr="000E0677">
        <w:rPr>
          <w:rStyle w:val="table-note"/>
          <w:vertAlign w:val="superscript"/>
        </w:rPr>
        <w:t>(d)</w:t>
      </w:r>
    </w:p>
    <w:tbl>
      <w:tblPr>
        <w:tblStyle w:val="TableGrid"/>
        <w:tblW w:w="0" w:type="auto"/>
        <w:tblLook w:val="04A0" w:firstRow="1" w:lastRow="0" w:firstColumn="1" w:lastColumn="0" w:noHBand="0" w:noVBand="1"/>
        <w:tblCaption w:val="NT: Recurrent expenditure(a)(b) ($) per capita(c) on state and territory specialised mental health services, by service type, 2007–08 (constant prices)(d)"/>
        <w:tblDescription w:val="Table showing that, in 2007-2008, remote areas in NT had the highest recurrent expenditure per capita for all mental health services at $242.91. The major cities and inner regional categories were not applicable. Community mental health services had the highest expenditure per capita at a total of $89.14, followed by public hospital services ($60.64) and residential mental health services ($2.48). "/>
      </w:tblPr>
      <w:tblGrid>
        <w:gridCol w:w="2388"/>
        <w:gridCol w:w="1044"/>
        <w:gridCol w:w="1376"/>
        <w:gridCol w:w="1248"/>
        <w:gridCol w:w="1045"/>
        <w:gridCol w:w="1091"/>
        <w:gridCol w:w="1094"/>
      </w:tblGrid>
      <w:tr w:rsidR="00E441F7" w:rsidRPr="008B7E34" w:rsidTr="000C3DEA">
        <w:trPr>
          <w:tblHeader/>
        </w:trPr>
        <w:tc>
          <w:tcPr>
            <w:tcW w:w="2388" w:type="dxa"/>
          </w:tcPr>
          <w:p w:rsidR="00E441F7" w:rsidRPr="008B7E34" w:rsidRDefault="00E441F7" w:rsidP="00E441F7">
            <w:pPr>
              <w:pStyle w:val="TableFigText"/>
              <w:rPr>
                <w:rFonts w:asciiTheme="minorHAnsi" w:hAnsiTheme="minorHAnsi" w:cstheme="minorHAnsi"/>
                <w:szCs w:val="22"/>
              </w:rPr>
            </w:pPr>
          </w:p>
        </w:tc>
        <w:tc>
          <w:tcPr>
            <w:tcW w:w="1044" w:type="dxa"/>
          </w:tcPr>
          <w:p w:rsidR="00E441F7" w:rsidRPr="008B7E34" w:rsidRDefault="00E441F7" w:rsidP="00E441F7">
            <w:pPr>
              <w:pStyle w:val="TableFigText"/>
              <w:jc w:val="right"/>
              <w:rPr>
                <w:rFonts w:asciiTheme="minorHAnsi" w:hAnsiTheme="minorHAnsi" w:cstheme="minorHAnsi"/>
                <w:b/>
                <w:szCs w:val="22"/>
              </w:rPr>
            </w:pPr>
            <w:r w:rsidRPr="008B7E34">
              <w:rPr>
                <w:rFonts w:asciiTheme="minorHAnsi" w:hAnsiTheme="minorHAnsi" w:cstheme="minorHAnsi"/>
                <w:b/>
                <w:szCs w:val="22"/>
              </w:rPr>
              <w:t>Major cities</w:t>
            </w:r>
          </w:p>
        </w:tc>
        <w:tc>
          <w:tcPr>
            <w:tcW w:w="1376" w:type="dxa"/>
          </w:tcPr>
          <w:p w:rsidR="00E441F7" w:rsidRPr="008B7E34" w:rsidRDefault="00E441F7" w:rsidP="00E441F7">
            <w:pPr>
              <w:pStyle w:val="TableFigText"/>
              <w:jc w:val="right"/>
              <w:rPr>
                <w:rFonts w:asciiTheme="minorHAnsi" w:hAnsiTheme="minorHAnsi" w:cstheme="minorHAnsi"/>
                <w:b/>
                <w:szCs w:val="22"/>
              </w:rPr>
            </w:pPr>
            <w:r w:rsidRPr="008B7E34">
              <w:rPr>
                <w:rFonts w:asciiTheme="minorHAnsi" w:hAnsiTheme="minorHAnsi" w:cstheme="minorHAnsi"/>
                <w:b/>
                <w:szCs w:val="22"/>
              </w:rPr>
              <w:t>Inner regional</w:t>
            </w:r>
          </w:p>
        </w:tc>
        <w:tc>
          <w:tcPr>
            <w:tcW w:w="1248" w:type="dxa"/>
          </w:tcPr>
          <w:p w:rsidR="00E441F7" w:rsidRPr="008B7E34" w:rsidRDefault="00E441F7" w:rsidP="00E441F7">
            <w:pPr>
              <w:pStyle w:val="TableFigText"/>
              <w:jc w:val="right"/>
              <w:rPr>
                <w:rFonts w:asciiTheme="minorHAnsi" w:hAnsiTheme="minorHAnsi" w:cstheme="minorHAnsi"/>
                <w:b/>
                <w:szCs w:val="22"/>
              </w:rPr>
            </w:pPr>
            <w:r w:rsidRPr="008B7E34">
              <w:rPr>
                <w:rFonts w:asciiTheme="minorHAnsi" w:hAnsiTheme="minorHAnsi" w:cstheme="minorHAnsi"/>
                <w:b/>
                <w:szCs w:val="22"/>
              </w:rPr>
              <w:t>Outer regional</w:t>
            </w:r>
          </w:p>
        </w:tc>
        <w:tc>
          <w:tcPr>
            <w:tcW w:w="1045" w:type="dxa"/>
          </w:tcPr>
          <w:p w:rsidR="00E441F7" w:rsidRPr="008B7E34" w:rsidRDefault="00E441F7" w:rsidP="00E441F7">
            <w:pPr>
              <w:pStyle w:val="TableFigText"/>
              <w:jc w:val="right"/>
              <w:rPr>
                <w:rFonts w:asciiTheme="minorHAnsi" w:hAnsiTheme="minorHAnsi" w:cstheme="minorHAnsi"/>
                <w:b/>
                <w:szCs w:val="22"/>
              </w:rPr>
            </w:pPr>
            <w:r w:rsidRPr="008B7E34">
              <w:rPr>
                <w:rFonts w:asciiTheme="minorHAnsi" w:hAnsiTheme="minorHAnsi" w:cstheme="minorHAnsi"/>
                <w:b/>
                <w:szCs w:val="22"/>
              </w:rPr>
              <w:t>Remote</w:t>
            </w:r>
          </w:p>
        </w:tc>
        <w:tc>
          <w:tcPr>
            <w:tcW w:w="1091" w:type="dxa"/>
          </w:tcPr>
          <w:p w:rsidR="00E441F7" w:rsidRPr="008B7E34" w:rsidRDefault="00E441F7" w:rsidP="00E441F7">
            <w:pPr>
              <w:pStyle w:val="TableFigText"/>
              <w:jc w:val="right"/>
              <w:rPr>
                <w:rFonts w:asciiTheme="minorHAnsi" w:hAnsiTheme="minorHAnsi" w:cstheme="minorHAnsi"/>
                <w:b/>
                <w:szCs w:val="22"/>
              </w:rPr>
            </w:pPr>
            <w:r w:rsidRPr="008B7E34">
              <w:rPr>
                <w:rFonts w:asciiTheme="minorHAnsi" w:hAnsiTheme="minorHAnsi" w:cstheme="minorHAnsi"/>
                <w:b/>
                <w:szCs w:val="22"/>
              </w:rPr>
              <w:t>Very remote</w:t>
            </w:r>
          </w:p>
        </w:tc>
        <w:tc>
          <w:tcPr>
            <w:tcW w:w="1094" w:type="dxa"/>
          </w:tcPr>
          <w:p w:rsidR="00E441F7" w:rsidRPr="008B7E34" w:rsidRDefault="00E441F7" w:rsidP="00E441F7">
            <w:pPr>
              <w:pStyle w:val="TableFigText"/>
              <w:jc w:val="right"/>
              <w:rPr>
                <w:rFonts w:asciiTheme="minorHAnsi" w:hAnsiTheme="minorHAnsi" w:cstheme="minorHAnsi"/>
                <w:b/>
                <w:szCs w:val="22"/>
              </w:rPr>
            </w:pPr>
            <w:r w:rsidRPr="008B7E34">
              <w:rPr>
                <w:rFonts w:asciiTheme="minorHAnsi" w:hAnsiTheme="minorHAnsi" w:cstheme="minorHAnsi"/>
                <w:b/>
                <w:szCs w:val="22"/>
              </w:rPr>
              <w:t>Total</w:t>
            </w:r>
          </w:p>
        </w:tc>
      </w:tr>
      <w:tr w:rsidR="005E406B" w:rsidRPr="008B7E34" w:rsidTr="001B1E83">
        <w:tc>
          <w:tcPr>
            <w:tcW w:w="2388" w:type="dxa"/>
          </w:tcPr>
          <w:p w:rsidR="005E406B" w:rsidRPr="008B7E34" w:rsidRDefault="005E406B" w:rsidP="00E441F7">
            <w:pPr>
              <w:pStyle w:val="TableFigText"/>
              <w:rPr>
                <w:rFonts w:asciiTheme="minorHAnsi" w:hAnsiTheme="minorHAnsi" w:cstheme="minorHAnsi"/>
                <w:szCs w:val="22"/>
              </w:rPr>
            </w:pPr>
            <w:r w:rsidRPr="008B7E34">
              <w:rPr>
                <w:rFonts w:asciiTheme="minorHAnsi" w:hAnsiTheme="minorHAnsi" w:cstheme="minorHAnsi"/>
                <w:szCs w:val="22"/>
              </w:rPr>
              <w:t>Public hospital services</w:t>
            </w:r>
            <w:r w:rsidRPr="008B7E34">
              <w:rPr>
                <w:rFonts w:asciiTheme="minorHAnsi" w:hAnsiTheme="minorHAnsi" w:cstheme="minorHAnsi"/>
                <w:szCs w:val="22"/>
                <w:vertAlign w:val="superscript"/>
              </w:rPr>
              <w:t>(</w:t>
            </w:r>
            <w:r>
              <w:rPr>
                <w:rFonts w:asciiTheme="minorHAnsi" w:hAnsiTheme="minorHAnsi" w:cstheme="minorHAnsi"/>
                <w:szCs w:val="22"/>
                <w:vertAlign w:val="superscript"/>
              </w:rPr>
              <w:t>e</w:t>
            </w:r>
            <w:r w:rsidRPr="008B7E34">
              <w:rPr>
                <w:rFonts w:asciiTheme="minorHAnsi" w:hAnsiTheme="minorHAnsi" w:cstheme="minorHAnsi"/>
                <w:szCs w:val="22"/>
                <w:vertAlign w:val="superscript"/>
              </w:rPr>
              <w:t>)(</w:t>
            </w:r>
            <w:r>
              <w:rPr>
                <w:rFonts w:asciiTheme="minorHAnsi" w:hAnsiTheme="minorHAnsi" w:cstheme="minorHAnsi"/>
                <w:szCs w:val="22"/>
                <w:vertAlign w:val="superscript"/>
              </w:rPr>
              <w:t>f</w:t>
            </w:r>
            <w:r w:rsidRPr="008B7E34">
              <w:rPr>
                <w:rFonts w:asciiTheme="minorHAnsi" w:hAnsiTheme="minorHAnsi" w:cstheme="minorHAnsi"/>
                <w:szCs w:val="22"/>
                <w:vertAlign w:val="superscript"/>
              </w:rPr>
              <w:t>)</w:t>
            </w:r>
          </w:p>
        </w:tc>
        <w:tc>
          <w:tcPr>
            <w:tcW w:w="1044" w:type="dxa"/>
            <w:vAlign w:val="center"/>
          </w:tcPr>
          <w:p w:rsidR="005E406B" w:rsidRPr="00271376" w:rsidRDefault="005E406B" w:rsidP="003D2B2B">
            <w:pPr>
              <w:pStyle w:val="TableFigText"/>
              <w:jc w:val="right"/>
            </w:pPr>
            <w:r w:rsidRPr="00271376">
              <w:t>n/a</w:t>
            </w:r>
          </w:p>
        </w:tc>
        <w:tc>
          <w:tcPr>
            <w:tcW w:w="1376" w:type="dxa"/>
            <w:vAlign w:val="center"/>
          </w:tcPr>
          <w:p w:rsidR="005E406B" w:rsidRPr="00271376" w:rsidRDefault="005E406B" w:rsidP="003D2B2B">
            <w:pPr>
              <w:pStyle w:val="TableFigText"/>
              <w:jc w:val="right"/>
            </w:pPr>
            <w:r w:rsidRPr="00271376">
              <w:t>n/a</w:t>
            </w:r>
          </w:p>
        </w:tc>
        <w:tc>
          <w:tcPr>
            <w:tcW w:w="1248" w:type="dxa"/>
            <w:vAlign w:val="bottom"/>
          </w:tcPr>
          <w:p w:rsidR="005E406B" w:rsidRDefault="005E406B" w:rsidP="003D2B2B">
            <w:pPr>
              <w:pStyle w:val="TableFigText"/>
              <w:jc w:val="right"/>
              <w:rPr>
                <w:rFonts w:ascii="Calibri" w:hAnsi="Calibri"/>
                <w:color w:val="000000"/>
              </w:rPr>
            </w:pPr>
            <w:r>
              <w:rPr>
                <w:rFonts w:ascii="Calibri" w:hAnsi="Calibri"/>
                <w:color w:val="000000"/>
              </w:rPr>
              <w:t>79.06</w:t>
            </w:r>
          </w:p>
        </w:tc>
        <w:tc>
          <w:tcPr>
            <w:tcW w:w="1045" w:type="dxa"/>
            <w:vAlign w:val="bottom"/>
          </w:tcPr>
          <w:p w:rsidR="005E406B" w:rsidRDefault="005E406B" w:rsidP="003D2B2B">
            <w:pPr>
              <w:pStyle w:val="TableFigText"/>
              <w:jc w:val="right"/>
              <w:rPr>
                <w:rFonts w:ascii="Calibri" w:hAnsi="Calibri"/>
                <w:color w:val="000000"/>
              </w:rPr>
            </w:pPr>
            <w:r>
              <w:rPr>
                <w:rFonts w:ascii="Calibri" w:hAnsi="Calibri"/>
                <w:color w:val="000000"/>
              </w:rPr>
              <w:t>81.31</w:t>
            </w:r>
          </w:p>
        </w:tc>
        <w:tc>
          <w:tcPr>
            <w:tcW w:w="1091" w:type="dxa"/>
            <w:vAlign w:val="center"/>
          </w:tcPr>
          <w:p w:rsidR="005E406B" w:rsidRPr="00271376" w:rsidRDefault="005E406B" w:rsidP="003D2B2B">
            <w:pPr>
              <w:pStyle w:val="TableFigText"/>
              <w:jc w:val="right"/>
            </w:pPr>
            <w:r w:rsidRPr="00271376">
              <w:t>0</w:t>
            </w:r>
          </w:p>
        </w:tc>
        <w:tc>
          <w:tcPr>
            <w:tcW w:w="1094" w:type="dxa"/>
            <w:vAlign w:val="bottom"/>
          </w:tcPr>
          <w:p w:rsidR="005E406B" w:rsidRDefault="005E406B" w:rsidP="003D2B2B">
            <w:pPr>
              <w:pStyle w:val="TableFigText"/>
              <w:jc w:val="right"/>
              <w:rPr>
                <w:rFonts w:ascii="Calibri" w:hAnsi="Calibri"/>
                <w:color w:val="000000"/>
              </w:rPr>
            </w:pPr>
            <w:r>
              <w:rPr>
                <w:rFonts w:ascii="Calibri" w:hAnsi="Calibri"/>
                <w:color w:val="000000"/>
              </w:rPr>
              <w:t>60.64</w:t>
            </w:r>
          </w:p>
        </w:tc>
      </w:tr>
      <w:tr w:rsidR="005E406B" w:rsidRPr="008B7E34" w:rsidTr="001B1E83">
        <w:tc>
          <w:tcPr>
            <w:tcW w:w="2388" w:type="dxa"/>
          </w:tcPr>
          <w:p w:rsidR="005E406B" w:rsidRPr="008B7E34" w:rsidRDefault="005E406B" w:rsidP="00E441F7">
            <w:pPr>
              <w:pStyle w:val="TableFigText"/>
              <w:rPr>
                <w:rFonts w:asciiTheme="minorHAnsi" w:hAnsiTheme="minorHAnsi" w:cstheme="minorHAnsi"/>
                <w:szCs w:val="22"/>
              </w:rPr>
            </w:pPr>
            <w:r w:rsidRPr="008B7E34">
              <w:rPr>
                <w:rFonts w:asciiTheme="minorHAnsi" w:hAnsiTheme="minorHAnsi" w:cstheme="minorHAnsi"/>
                <w:szCs w:val="22"/>
              </w:rPr>
              <w:t>Community mental health services</w:t>
            </w:r>
          </w:p>
        </w:tc>
        <w:tc>
          <w:tcPr>
            <w:tcW w:w="1044" w:type="dxa"/>
            <w:vAlign w:val="center"/>
          </w:tcPr>
          <w:p w:rsidR="005E406B" w:rsidRPr="00271376" w:rsidRDefault="005E406B" w:rsidP="003D2B2B">
            <w:pPr>
              <w:pStyle w:val="TableFigText"/>
              <w:jc w:val="right"/>
            </w:pPr>
            <w:r w:rsidRPr="00271376">
              <w:t>n/a</w:t>
            </w:r>
          </w:p>
        </w:tc>
        <w:tc>
          <w:tcPr>
            <w:tcW w:w="1376" w:type="dxa"/>
            <w:vAlign w:val="center"/>
          </w:tcPr>
          <w:p w:rsidR="005E406B" w:rsidRPr="00271376" w:rsidRDefault="005E406B" w:rsidP="003D2B2B">
            <w:pPr>
              <w:pStyle w:val="TableFigText"/>
              <w:jc w:val="right"/>
            </w:pPr>
            <w:r w:rsidRPr="00271376">
              <w:t>n/a</w:t>
            </w:r>
          </w:p>
        </w:tc>
        <w:tc>
          <w:tcPr>
            <w:tcW w:w="1248" w:type="dxa"/>
            <w:vAlign w:val="bottom"/>
          </w:tcPr>
          <w:p w:rsidR="005E406B" w:rsidRDefault="005E406B" w:rsidP="003D2B2B">
            <w:pPr>
              <w:pStyle w:val="TableFigText"/>
              <w:jc w:val="right"/>
              <w:rPr>
                <w:rFonts w:ascii="Calibri" w:hAnsi="Calibri"/>
                <w:color w:val="000000"/>
              </w:rPr>
            </w:pPr>
            <w:r>
              <w:rPr>
                <w:rFonts w:ascii="Calibri" w:hAnsi="Calibri"/>
                <w:color w:val="000000"/>
              </w:rPr>
              <w:t>83.22</w:t>
            </w:r>
          </w:p>
        </w:tc>
        <w:tc>
          <w:tcPr>
            <w:tcW w:w="1045" w:type="dxa"/>
            <w:vAlign w:val="bottom"/>
          </w:tcPr>
          <w:p w:rsidR="005E406B" w:rsidRDefault="005E406B" w:rsidP="003D2B2B">
            <w:pPr>
              <w:pStyle w:val="TableFigText"/>
              <w:jc w:val="right"/>
              <w:rPr>
                <w:rFonts w:ascii="Calibri" w:hAnsi="Calibri"/>
                <w:color w:val="000000"/>
              </w:rPr>
            </w:pPr>
            <w:r>
              <w:rPr>
                <w:rFonts w:ascii="Calibri" w:hAnsi="Calibri"/>
                <w:color w:val="000000"/>
              </w:rPr>
              <w:t>161.59</w:t>
            </w:r>
          </w:p>
        </w:tc>
        <w:tc>
          <w:tcPr>
            <w:tcW w:w="1091" w:type="dxa"/>
            <w:vAlign w:val="bottom"/>
          </w:tcPr>
          <w:p w:rsidR="005E406B" w:rsidRDefault="005E406B" w:rsidP="003D2B2B">
            <w:pPr>
              <w:pStyle w:val="TableFigText"/>
              <w:jc w:val="right"/>
              <w:rPr>
                <w:rFonts w:ascii="Calibri" w:hAnsi="Calibri"/>
                <w:color w:val="000000"/>
              </w:rPr>
            </w:pPr>
            <w:r>
              <w:rPr>
                <w:rFonts w:ascii="Calibri" w:hAnsi="Calibri"/>
                <w:color w:val="000000"/>
              </w:rPr>
              <w:t>37.84</w:t>
            </w:r>
          </w:p>
        </w:tc>
        <w:tc>
          <w:tcPr>
            <w:tcW w:w="1094" w:type="dxa"/>
            <w:vAlign w:val="bottom"/>
          </w:tcPr>
          <w:p w:rsidR="005E406B" w:rsidRDefault="005E406B" w:rsidP="003D2B2B">
            <w:pPr>
              <w:pStyle w:val="TableFigText"/>
              <w:jc w:val="right"/>
              <w:rPr>
                <w:rFonts w:ascii="Calibri" w:hAnsi="Calibri"/>
                <w:color w:val="000000"/>
              </w:rPr>
            </w:pPr>
            <w:r>
              <w:rPr>
                <w:rFonts w:ascii="Calibri" w:hAnsi="Calibri"/>
                <w:color w:val="000000"/>
              </w:rPr>
              <w:t>89.14</w:t>
            </w:r>
          </w:p>
        </w:tc>
      </w:tr>
      <w:tr w:rsidR="005E406B" w:rsidRPr="008B7E34" w:rsidTr="001B1E83">
        <w:tc>
          <w:tcPr>
            <w:tcW w:w="2388" w:type="dxa"/>
          </w:tcPr>
          <w:p w:rsidR="005E406B" w:rsidRPr="008B7E34" w:rsidRDefault="005E406B" w:rsidP="00E441F7">
            <w:pPr>
              <w:pStyle w:val="TableFigText"/>
              <w:rPr>
                <w:rFonts w:asciiTheme="minorHAnsi" w:hAnsiTheme="minorHAnsi" w:cstheme="minorHAnsi"/>
                <w:szCs w:val="22"/>
              </w:rPr>
            </w:pPr>
            <w:r w:rsidRPr="008B7E34">
              <w:rPr>
                <w:rFonts w:asciiTheme="minorHAnsi" w:hAnsiTheme="minorHAnsi" w:cstheme="minorHAnsi"/>
                <w:szCs w:val="22"/>
              </w:rPr>
              <w:t>Residential mental health services</w:t>
            </w:r>
            <w:r w:rsidRPr="008B7E34">
              <w:rPr>
                <w:rFonts w:asciiTheme="minorHAnsi" w:hAnsiTheme="minorHAnsi" w:cstheme="minorHAnsi"/>
                <w:szCs w:val="22"/>
                <w:vertAlign w:val="superscript"/>
              </w:rPr>
              <w:t>(</w:t>
            </w:r>
            <w:r>
              <w:rPr>
                <w:rFonts w:asciiTheme="minorHAnsi" w:hAnsiTheme="minorHAnsi" w:cstheme="minorHAnsi"/>
                <w:szCs w:val="22"/>
                <w:vertAlign w:val="superscript"/>
              </w:rPr>
              <w:t>g</w:t>
            </w:r>
            <w:r w:rsidRPr="008B7E34">
              <w:rPr>
                <w:rFonts w:asciiTheme="minorHAnsi" w:hAnsiTheme="minorHAnsi" w:cstheme="minorHAnsi"/>
                <w:szCs w:val="22"/>
                <w:vertAlign w:val="superscript"/>
              </w:rPr>
              <w:t>)</w:t>
            </w:r>
          </w:p>
        </w:tc>
        <w:tc>
          <w:tcPr>
            <w:tcW w:w="1044" w:type="dxa"/>
            <w:vAlign w:val="center"/>
          </w:tcPr>
          <w:p w:rsidR="005E406B" w:rsidRPr="00271376" w:rsidRDefault="005E406B" w:rsidP="003D2B2B">
            <w:pPr>
              <w:pStyle w:val="TableFigText"/>
              <w:jc w:val="right"/>
            </w:pPr>
            <w:r w:rsidRPr="00271376">
              <w:t>n/a</w:t>
            </w:r>
          </w:p>
        </w:tc>
        <w:tc>
          <w:tcPr>
            <w:tcW w:w="1376" w:type="dxa"/>
            <w:vAlign w:val="center"/>
          </w:tcPr>
          <w:p w:rsidR="005E406B" w:rsidRPr="00271376" w:rsidRDefault="005E406B" w:rsidP="003D2B2B">
            <w:pPr>
              <w:pStyle w:val="TableFigText"/>
              <w:jc w:val="right"/>
            </w:pPr>
            <w:r w:rsidRPr="00271376">
              <w:t>n/a</w:t>
            </w:r>
          </w:p>
        </w:tc>
        <w:tc>
          <w:tcPr>
            <w:tcW w:w="1248" w:type="dxa"/>
            <w:vAlign w:val="bottom"/>
          </w:tcPr>
          <w:p w:rsidR="005E406B" w:rsidRDefault="005E406B" w:rsidP="003D2B2B">
            <w:pPr>
              <w:pStyle w:val="TableFigText"/>
              <w:jc w:val="right"/>
              <w:rPr>
                <w:rFonts w:ascii="Calibri" w:hAnsi="Calibri"/>
                <w:color w:val="000000"/>
              </w:rPr>
            </w:pPr>
            <w:r>
              <w:rPr>
                <w:rFonts w:ascii="Calibri" w:hAnsi="Calibri"/>
                <w:color w:val="000000"/>
              </w:rPr>
              <w:t>4.53</w:t>
            </w:r>
          </w:p>
        </w:tc>
        <w:tc>
          <w:tcPr>
            <w:tcW w:w="1045" w:type="dxa"/>
            <w:vAlign w:val="center"/>
          </w:tcPr>
          <w:p w:rsidR="005E406B" w:rsidRPr="00271376" w:rsidRDefault="005E406B" w:rsidP="003D2B2B">
            <w:pPr>
              <w:pStyle w:val="TableFigText"/>
              <w:jc w:val="right"/>
            </w:pPr>
            <w:r w:rsidRPr="00271376">
              <w:t>0</w:t>
            </w:r>
          </w:p>
        </w:tc>
        <w:tc>
          <w:tcPr>
            <w:tcW w:w="1091" w:type="dxa"/>
            <w:vAlign w:val="center"/>
          </w:tcPr>
          <w:p w:rsidR="005E406B" w:rsidRPr="00271376" w:rsidRDefault="005E406B" w:rsidP="003D2B2B">
            <w:pPr>
              <w:pStyle w:val="TableFigText"/>
              <w:jc w:val="right"/>
            </w:pPr>
            <w:r w:rsidRPr="00271376">
              <w:t>0</w:t>
            </w:r>
          </w:p>
        </w:tc>
        <w:tc>
          <w:tcPr>
            <w:tcW w:w="1094" w:type="dxa"/>
            <w:vAlign w:val="bottom"/>
          </w:tcPr>
          <w:p w:rsidR="005E406B" w:rsidRDefault="005E406B" w:rsidP="003D2B2B">
            <w:pPr>
              <w:pStyle w:val="TableFigText"/>
              <w:jc w:val="right"/>
              <w:rPr>
                <w:rFonts w:ascii="Calibri" w:hAnsi="Calibri"/>
                <w:color w:val="000000"/>
              </w:rPr>
            </w:pPr>
            <w:r>
              <w:rPr>
                <w:rFonts w:ascii="Calibri" w:hAnsi="Calibri"/>
                <w:color w:val="000000"/>
              </w:rPr>
              <w:t>2.48</w:t>
            </w:r>
          </w:p>
        </w:tc>
      </w:tr>
      <w:tr w:rsidR="005E406B" w:rsidRPr="008B7E34" w:rsidTr="001B1E83">
        <w:tc>
          <w:tcPr>
            <w:tcW w:w="2388" w:type="dxa"/>
          </w:tcPr>
          <w:p w:rsidR="005E406B" w:rsidRPr="003D2B2B" w:rsidRDefault="005E406B" w:rsidP="00E441F7">
            <w:pPr>
              <w:pStyle w:val="TableFigText"/>
              <w:rPr>
                <w:rFonts w:asciiTheme="minorHAnsi" w:hAnsiTheme="minorHAnsi" w:cstheme="minorHAnsi"/>
                <w:b/>
                <w:szCs w:val="22"/>
              </w:rPr>
            </w:pPr>
            <w:r w:rsidRPr="003D2B2B">
              <w:rPr>
                <w:rFonts w:asciiTheme="minorHAnsi" w:hAnsiTheme="minorHAnsi" w:cstheme="minorHAnsi"/>
                <w:b/>
                <w:szCs w:val="22"/>
              </w:rPr>
              <w:t>All mental health service types</w:t>
            </w:r>
            <w:r w:rsidRPr="003D2B2B">
              <w:rPr>
                <w:rFonts w:asciiTheme="minorHAnsi" w:hAnsiTheme="minorHAnsi" w:cstheme="minorHAnsi"/>
                <w:b/>
                <w:szCs w:val="22"/>
                <w:vertAlign w:val="superscript"/>
              </w:rPr>
              <w:t>(h)</w:t>
            </w:r>
          </w:p>
        </w:tc>
        <w:tc>
          <w:tcPr>
            <w:tcW w:w="1044" w:type="dxa"/>
            <w:vAlign w:val="center"/>
          </w:tcPr>
          <w:p w:rsidR="005E406B" w:rsidRPr="003D2B2B" w:rsidRDefault="005E406B" w:rsidP="003D2B2B">
            <w:pPr>
              <w:pStyle w:val="TableFigText"/>
              <w:jc w:val="right"/>
              <w:rPr>
                <w:b/>
              </w:rPr>
            </w:pPr>
            <w:r w:rsidRPr="003D2B2B">
              <w:rPr>
                <w:b/>
              </w:rPr>
              <w:t>n/a</w:t>
            </w:r>
          </w:p>
        </w:tc>
        <w:tc>
          <w:tcPr>
            <w:tcW w:w="1376" w:type="dxa"/>
            <w:vAlign w:val="center"/>
          </w:tcPr>
          <w:p w:rsidR="005E406B" w:rsidRPr="003D2B2B" w:rsidRDefault="005E406B" w:rsidP="003D2B2B">
            <w:pPr>
              <w:pStyle w:val="TableFigText"/>
              <w:jc w:val="right"/>
              <w:rPr>
                <w:b/>
              </w:rPr>
            </w:pPr>
            <w:r w:rsidRPr="003D2B2B">
              <w:rPr>
                <w:b/>
              </w:rPr>
              <w:t>n/a</w:t>
            </w:r>
          </w:p>
        </w:tc>
        <w:tc>
          <w:tcPr>
            <w:tcW w:w="1248" w:type="dxa"/>
            <w:vAlign w:val="bottom"/>
          </w:tcPr>
          <w:p w:rsidR="005E406B" w:rsidRPr="003D2B2B" w:rsidRDefault="005E406B" w:rsidP="003D2B2B">
            <w:pPr>
              <w:pStyle w:val="TableFigText"/>
              <w:jc w:val="right"/>
              <w:rPr>
                <w:rFonts w:ascii="Calibri" w:hAnsi="Calibri"/>
                <w:b/>
                <w:color w:val="000000"/>
              </w:rPr>
            </w:pPr>
            <w:r w:rsidRPr="003D2B2B">
              <w:rPr>
                <w:rFonts w:ascii="Calibri" w:hAnsi="Calibri"/>
                <w:b/>
                <w:color w:val="000000"/>
              </w:rPr>
              <w:t>166.80</w:t>
            </w:r>
          </w:p>
        </w:tc>
        <w:tc>
          <w:tcPr>
            <w:tcW w:w="1045" w:type="dxa"/>
            <w:vAlign w:val="bottom"/>
          </w:tcPr>
          <w:p w:rsidR="005E406B" w:rsidRPr="003D2B2B" w:rsidRDefault="005E406B" w:rsidP="003D2B2B">
            <w:pPr>
              <w:pStyle w:val="TableFigText"/>
              <w:jc w:val="right"/>
              <w:rPr>
                <w:rFonts w:ascii="Calibri" w:hAnsi="Calibri"/>
                <w:b/>
                <w:color w:val="000000"/>
              </w:rPr>
            </w:pPr>
            <w:r w:rsidRPr="003D2B2B">
              <w:rPr>
                <w:rFonts w:ascii="Calibri" w:hAnsi="Calibri"/>
                <w:b/>
                <w:color w:val="000000"/>
              </w:rPr>
              <w:t>242.91</w:t>
            </w:r>
          </w:p>
        </w:tc>
        <w:tc>
          <w:tcPr>
            <w:tcW w:w="1091" w:type="dxa"/>
            <w:vAlign w:val="bottom"/>
          </w:tcPr>
          <w:p w:rsidR="005E406B" w:rsidRPr="003D2B2B" w:rsidRDefault="005E406B" w:rsidP="003D2B2B">
            <w:pPr>
              <w:pStyle w:val="TableFigText"/>
              <w:jc w:val="right"/>
              <w:rPr>
                <w:rFonts w:ascii="Calibri" w:hAnsi="Calibri"/>
                <w:b/>
                <w:color w:val="000000"/>
              </w:rPr>
            </w:pPr>
            <w:r w:rsidRPr="003D2B2B">
              <w:rPr>
                <w:rFonts w:ascii="Calibri" w:hAnsi="Calibri"/>
                <w:b/>
                <w:color w:val="000000"/>
              </w:rPr>
              <w:t>37.84</w:t>
            </w:r>
          </w:p>
        </w:tc>
        <w:tc>
          <w:tcPr>
            <w:tcW w:w="1094" w:type="dxa"/>
            <w:vAlign w:val="bottom"/>
          </w:tcPr>
          <w:p w:rsidR="005E406B" w:rsidRPr="003D2B2B" w:rsidRDefault="005E406B" w:rsidP="003D2B2B">
            <w:pPr>
              <w:pStyle w:val="TableFigText"/>
              <w:jc w:val="right"/>
              <w:rPr>
                <w:rFonts w:ascii="Calibri" w:hAnsi="Calibri"/>
                <w:b/>
                <w:color w:val="000000"/>
              </w:rPr>
            </w:pPr>
            <w:r w:rsidRPr="003D2B2B">
              <w:rPr>
                <w:rFonts w:ascii="Calibri" w:hAnsi="Calibri"/>
                <w:b/>
                <w:color w:val="000000"/>
              </w:rPr>
              <w:t>152.26</w:t>
            </w:r>
          </w:p>
        </w:tc>
      </w:tr>
    </w:tbl>
    <w:p w:rsidR="005E406B" w:rsidRPr="007253FD" w:rsidRDefault="005E406B" w:rsidP="005E406B">
      <w:pPr>
        <w:pStyle w:val="TableFigNotesnumbered"/>
        <w:rPr>
          <w:rStyle w:val="table-note"/>
        </w:rPr>
      </w:pPr>
      <w:proofErr w:type="gramStart"/>
      <w:r w:rsidRPr="007253FD">
        <w:rPr>
          <w:rStyle w:val="table-note"/>
        </w:rPr>
        <w:t>n/a</w:t>
      </w:r>
      <w:proofErr w:type="gramEnd"/>
      <w:r w:rsidRPr="007253FD">
        <w:rPr>
          <w:rStyle w:val="table-note"/>
        </w:rPr>
        <w:t xml:space="preserve"> </w:t>
      </w:r>
      <w:r w:rsidRPr="007253FD">
        <w:rPr>
          <w:rStyle w:val="table-note"/>
        </w:rPr>
        <w:tab/>
        <w:t>Not applicable.</w:t>
      </w:r>
    </w:p>
    <w:p w:rsidR="00E441F7" w:rsidRPr="007253FD" w:rsidRDefault="00E441F7" w:rsidP="00540186">
      <w:pPr>
        <w:pStyle w:val="TableFigNotesnumbered"/>
        <w:numPr>
          <w:ilvl w:val="0"/>
          <w:numId w:val="47"/>
        </w:numPr>
        <w:rPr>
          <w:rStyle w:val="table-note"/>
        </w:rPr>
      </w:pPr>
      <w:r w:rsidRPr="007253FD">
        <w:rPr>
          <w:rStyle w:val="table-note"/>
        </w:rPr>
        <w:t>Expenditure excludes depreciation.</w:t>
      </w:r>
    </w:p>
    <w:p w:rsidR="00E441F7" w:rsidRPr="007253FD" w:rsidRDefault="00E441F7" w:rsidP="00540186">
      <w:pPr>
        <w:pStyle w:val="TableFigNotesnumbered"/>
        <w:numPr>
          <w:ilvl w:val="0"/>
          <w:numId w:val="47"/>
        </w:numPr>
        <w:rPr>
          <w:rStyle w:val="table-note"/>
        </w:rPr>
      </w:pPr>
      <w:r w:rsidRPr="007253FD">
        <w:rPr>
          <w:rStyle w:val="table-note"/>
        </w:rPr>
        <w:t xml:space="preserve">Expenditure excludes grants to non-government organisations and indirect expenditure at the state/territory, region and organisation levels not apportioned to service units. </w:t>
      </w:r>
    </w:p>
    <w:p w:rsidR="00E441F7" w:rsidRPr="007253FD" w:rsidRDefault="00E441F7" w:rsidP="00540186">
      <w:pPr>
        <w:pStyle w:val="TableFigNotesnumbered"/>
        <w:numPr>
          <w:ilvl w:val="0"/>
          <w:numId w:val="47"/>
        </w:numPr>
        <w:rPr>
          <w:rStyle w:val="table-note"/>
        </w:rPr>
      </w:pPr>
      <w:r w:rsidRPr="007253FD">
        <w:rPr>
          <w:rStyle w:val="table-note"/>
        </w:rPr>
        <w:t>Crude rate is based on the state and territory estimated resident population by remoteness area as at 30 June 2007.</w:t>
      </w:r>
    </w:p>
    <w:p w:rsidR="00E441F7" w:rsidRPr="007253FD" w:rsidRDefault="00E441F7" w:rsidP="00540186">
      <w:pPr>
        <w:pStyle w:val="TableFigNotesnumbered"/>
        <w:numPr>
          <w:ilvl w:val="0"/>
          <w:numId w:val="47"/>
        </w:numPr>
        <w:rPr>
          <w:rStyle w:val="table-note"/>
        </w:rPr>
      </w:pPr>
      <w:r w:rsidRPr="007253FD">
        <w:rPr>
          <w:rStyle w:val="table-note"/>
        </w:rPr>
        <w:t>Constant prices are referenced to 2011–12 and are adjusted for inflation.</w:t>
      </w:r>
    </w:p>
    <w:p w:rsidR="00E441F7" w:rsidRPr="007253FD" w:rsidRDefault="00E441F7" w:rsidP="00540186">
      <w:pPr>
        <w:pStyle w:val="TableFigNotesnumbered"/>
        <w:numPr>
          <w:ilvl w:val="0"/>
          <w:numId w:val="47"/>
        </w:numPr>
        <w:rPr>
          <w:rStyle w:val="table-note"/>
        </w:rPr>
      </w:pPr>
      <w:r w:rsidRPr="007253FD">
        <w:rPr>
          <w:rStyle w:val="table-note"/>
        </w:rPr>
        <w:t>Includes public hospital services managed and operated by private and non-government entities.</w:t>
      </w:r>
    </w:p>
    <w:p w:rsidR="00E441F7" w:rsidRPr="007253FD" w:rsidRDefault="00E441F7" w:rsidP="00540186">
      <w:pPr>
        <w:pStyle w:val="TableFigNotesnumbered"/>
        <w:numPr>
          <w:ilvl w:val="0"/>
          <w:numId w:val="47"/>
        </w:numPr>
        <w:rPr>
          <w:rStyle w:val="table-note"/>
        </w:rPr>
      </w:pPr>
      <w:r w:rsidRPr="007253FD">
        <w:rPr>
          <w:rStyle w:val="table-note"/>
        </w:rPr>
        <w:t>Public psychiatric hospitals and specialised psychiatric units or wards in public acute hospitals include expenditure on admitted patient services only. Public hospitals outpatient departments are included in community mental health care services.</w:t>
      </w:r>
      <w:r w:rsidRPr="007253FD">
        <w:rPr>
          <w:rStyle w:val="table-note"/>
        </w:rPr>
        <w:tab/>
      </w:r>
      <w:r w:rsidRPr="007253FD">
        <w:rPr>
          <w:rStyle w:val="table-note"/>
        </w:rPr>
        <w:tab/>
      </w:r>
    </w:p>
    <w:p w:rsidR="00E441F7" w:rsidRPr="007253FD" w:rsidRDefault="00E441F7" w:rsidP="00540186">
      <w:pPr>
        <w:pStyle w:val="TableFigNotesnumbered"/>
        <w:numPr>
          <w:ilvl w:val="0"/>
          <w:numId w:val="47"/>
        </w:numPr>
        <w:rPr>
          <w:rStyle w:val="table-note"/>
        </w:rPr>
      </w:pPr>
      <w:r w:rsidRPr="007253FD">
        <w:rPr>
          <w:rStyle w:val="table-note"/>
        </w:rPr>
        <w:t>Residential mental health services include the total operating costs for partially or wholly government funded non-government-operated residential mental health services.</w:t>
      </w:r>
    </w:p>
    <w:p w:rsidR="00E441F7" w:rsidRPr="003E6FE0" w:rsidRDefault="00E441F7" w:rsidP="00540186">
      <w:pPr>
        <w:pStyle w:val="TableFigNotesnumbered"/>
        <w:numPr>
          <w:ilvl w:val="0"/>
          <w:numId w:val="47"/>
        </w:numPr>
        <w:rPr>
          <w:rFonts w:asciiTheme="minorHAnsi" w:hAnsiTheme="minorHAnsi"/>
        </w:rPr>
      </w:pPr>
      <w:r w:rsidRPr="007253FD">
        <w:rPr>
          <w:rStyle w:val="table-note"/>
        </w:rPr>
        <w:t>Totals may not add due to rounding</w:t>
      </w:r>
      <w:r w:rsidRPr="003E6FE0">
        <w:rPr>
          <w:rFonts w:asciiTheme="minorHAnsi" w:hAnsiTheme="minorHAnsi"/>
        </w:rPr>
        <w:t>.</w:t>
      </w:r>
    </w:p>
    <w:p w:rsidR="007253FD" w:rsidRDefault="003E6FE0" w:rsidP="003E6FE0">
      <w:pPr>
        <w:pStyle w:val="TableFigNotesnumbered"/>
        <w:spacing w:before="0" w:line="240" w:lineRule="auto"/>
        <w:ind w:left="0" w:firstLine="0"/>
        <w:rPr>
          <w:rStyle w:val="table-note"/>
        </w:rPr>
      </w:pPr>
      <w:r w:rsidRPr="007253FD">
        <w:rPr>
          <w:rStyle w:val="table-note"/>
        </w:rPr>
        <w:t xml:space="preserve">Note: </w:t>
      </w:r>
    </w:p>
    <w:p w:rsidR="00E441F7" w:rsidRPr="007253FD" w:rsidRDefault="005E406B" w:rsidP="007253FD">
      <w:pPr>
        <w:pStyle w:val="TableFigNotesnumbered"/>
        <w:numPr>
          <w:ilvl w:val="0"/>
          <w:numId w:val="100"/>
        </w:numPr>
        <w:spacing w:before="0" w:line="240" w:lineRule="auto"/>
        <w:rPr>
          <w:rStyle w:val="table-note"/>
        </w:rPr>
      </w:pPr>
      <w:r w:rsidRPr="007253FD">
        <w:rPr>
          <w:rStyle w:val="table-note"/>
        </w:rPr>
        <w:t xml:space="preserve">The Northern Territory </w:t>
      </w:r>
      <w:proofErr w:type="gramStart"/>
      <w:r w:rsidRPr="007253FD">
        <w:rPr>
          <w:rStyle w:val="table-note"/>
        </w:rPr>
        <w:t>do</w:t>
      </w:r>
      <w:proofErr w:type="gramEnd"/>
      <w:r w:rsidRPr="007253FD">
        <w:rPr>
          <w:rStyle w:val="table-note"/>
        </w:rPr>
        <w:t xml:space="preserve"> not have public psychiatric hospitals as defined in the MHE NMDS. </w:t>
      </w:r>
      <w:r w:rsidR="00E441F7" w:rsidRPr="007253FD">
        <w:rPr>
          <w:rStyle w:val="table-note"/>
        </w:rPr>
        <w:br w:type="page"/>
      </w:r>
    </w:p>
    <w:p w:rsidR="00E17C0A" w:rsidRPr="000E0677" w:rsidRDefault="000E0677" w:rsidP="00E17C0A">
      <w:pPr>
        <w:pStyle w:val="TableCaption"/>
        <w:rPr>
          <w:rStyle w:val="table-note"/>
        </w:rPr>
      </w:pPr>
      <w:r w:rsidRPr="000E0677">
        <w:rPr>
          <w:rStyle w:val="table-note"/>
        </w:rPr>
        <w:lastRenderedPageBreak/>
        <w:t xml:space="preserve">Table 64: </w:t>
      </w:r>
      <w:r w:rsidR="00E17C0A" w:rsidRPr="000E0677">
        <w:rPr>
          <w:rStyle w:val="table-note"/>
        </w:rPr>
        <w:t xml:space="preserve">NT: Recurrent </w:t>
      </w:r>
      <w:proofErr w:type="gramStart"/>
      <w:r w:rsidR="00E17C0A" w:rsidRPr="000E0677">
        <w:rPr>
          <w:rStyle w:val="table-note"/>
        </w:rPr>
        <w:t>expenditure</w:t>
      </w:r>
      <w:r w:rsidR="00E17C0A" w:rsidRPr="000E0677">
        <w:rPr>
          <w:rStyle w:val="table-note"/>
          <w:vertAlign w:val="superscript"/>
        </w:rPr>
        <w:t>(</w:t>
      </w:r>
      <w:proofErr w:type="gramEnd"/>
      <w:r w:rsidR="00E17C0A" w:rsidRPr="000E0677">
        <w:rPr>
          <w:rStyle w:val="table-note"/>
          <w:vertAlign w:val="superscript"/>
        </w:rPr>
        <w:t>a)(b)</w:t>
      </w:r>
      <w:r w:rsidR="00E17C0A" w:rsidRPr="000E0677">
        <w:rPr>
          <w:rStyle w:val="table-note"/>
        </w:rPr>
        <w:t xml:space="preserve"> ($’000) on state and territory specialised mental health services, by service type, 2011–12 (current prices)</w:t>
      </w:r>
    </w:p>
    <w:tbl>
      <w:tblPr>
        <w:tblStyle w:val="TableGrid"/>
        <w:tblW w:w="0" w:type="auto"/>
        <w:tblInd w:w="108" w:type="dxa"/>
        <w:tblLook w:val="04A0" w:firstRow="1" w:lastRow="0" w:firstColumn="1" w:lastColumn="0" w:noHBand="0" w:noVBand="1"/>
        <w:tblCaption w:val="Recurrent expenditure(a)(b) ($’000) on state and territory specialised mental health services, by service type, 2011–12 (current prices)"/>
        <w:tblDescription w:val="Table showing that, in 2011-2012, outer regional areas in NT have the highest recurrent expenditure for all specialised mental health services ($24,922,000). Recurrent expenditure decreased as regions became more remote, with the major cities and inner regional categories not applicable. Community mental health services had the highest amount of recurrent expenditure overall across region types at $23,287,000."/>
      </w:tblPr>
      <w:tblGrid>
        <w:gridCol w:w="2275"/>
        <w:gridCol w:w="1040"/>
        <w:gridCol w:w="1370"/>
        <w:gridCol w:w="1255"/>
        <w:gridCol w:w="1043"/>
        <w:gridCol w:w="1087"/>
        <w:gridCol w:w="1108"/>
      </w:tblGrid>
      <w:tr w:rsidR="00E17C0A" w:rsidRPr="00EF5802" w:rsidTr="000C3DEA">
        <w:trPr>
          <w:tblHeader/>
        </w:trPr>
        <w:tc>
          <w:tcPr>
            <w:tcW w:w="2372" w:type="dxa"/>
          </w:tcPr>
          <w:p w:rsidR="00E17C0A" w:rsidRPr="00EF5802" w:rsidRDefault="00E17C0A" w:rsidP="005B2C04">
            <w:pPr>
              <w:pStyle w:val="TableFigText"/>
              <w:rPr>
                <w:rFonts w:asciiTheme="minorHAnsi" w:hAnsiTheme="minorHAnsi" w:cstheme="minorHAnsi"/>
                <w:szCs w:val="22"/>
              </w:rPr>
            </w:pPr>
          </w:p>
        </w:tc>
        <w:tc>
          <w:tcPr>
            <w:tcW w:w="1071" w:type="dxa"/>
          </w:tcPr>
          <w:p w:rsidR="00E17C0A" w:rsidRPr="00EF5802" w:rsidRDefault="00E17C0A" w:rsidP="005B2C04">
            <w:pPr>
              <w:pStyle w:val="TableFigText"/>
              <w:jc w:val="right"/>
              <w:rPr>
                <w:rFonts w:asciiTheme="minorHAnsi" w:hAnsiTheme="minorHAnsi" w:cstheme="minorHAnsi"/>
                <w:b/>
                <w:szCs w:val="22"/>
              </w:rPr>
            </w:pPr>
            <w:r w:rsidRPr="00EF5802">
              <w:rPr>
                <w:rFonts w:asciiTheme="minorHAnsi" w:hAnsiTheme="minorHAnsi" w:cstheme="minorHAnsi"/>
                <w:b/>
                <w:szCs w:val="22"/>
              </w:rPr>
              <w:t>Major cities</w:t>
            </w:r>
          </w:p>
        </w:tc>
        <w:tc>
          <w:tcPr>
            <w:tcW w:w="1415" w:type="dxa"/>
          </w:tcPr>
          <w:p w:rsidR="00E17C0A" w:rsidRPr="00EF5802" w:rsidRDefault="00E17C0A" w:rsidP="005B2C04">
            <w:pPr>
              <w:pStyle w:val="TableFigText"/>
              <w:jc w:val="right"/>
              <w:rPr>
                <w:rFonts w:asciiTheme="minorHAnsi" w:hAnsiTheme="minorHAnsi" w:cstheme="minorHAnsi"/>
                <w:b/>
                <w:szCs w:val="22"/>
              </w:rPr>
            </w:pPr>
            <w:r w:rsidRPr="00EF5802">
              <w:rPr>
                <w:rFonts w:asciiTheme="minorHAnsi" w:hAnsiTheme="minorHAnsi" w:cstheme="minorHAnsi"/>
                <w:b/>
                <w:szCs w:val="22"/>
              </w:rPr>
              <w:t>Inner regional</w:t>
            </w:r>
          </w:p>
        </w:tc>
        <w:tc>
          <w:tcPr>
            <w:tcW w:w="1292" w:type="dxa"/>
          </w:tcPr>
          <w:p w:rsidR="00E17C0A" w:rsidRPr="00EF5802" w:rsidRDefault="00E17C0A" w:rsidP="005B2C04">
            <w:pPr>
              <w:pStyle w:val="TableFigText"/>
              <w:jc w:val="right"/>
              <w:rPr>
                <w:rFonts w:asciiTheme="minorHAnsi" w:hAnsiTheme="minorHAnsi" w:cstheme="minorHAnsi"/>
                <w:b/>
                <w:szCs w:val="22"/>
              </w:rPr>
            </w:pPr>
            <w:r w:rsidRPr="00EF5802">
              <w:rPr>
                <w:rFonts w:asciiTheme="minorHAnsi" w:hAnsiTheme="minorHAnsi" w:cstheme="minorHAnsi"/>
                <w:b/>
                <w:szCs w:val="22"/>
              </w:rPr>
              <w:t>Outer regional</w:t>
            </w:r>
          </w:p>
        </w:tc>
        <w:tc>
          <w:tcPr>
            <w:tcW w:w="1065" w:type="dxa"/>
          </w:tcPr>
          <w:p w:rsidR="00E17C0A" w:rsidRPr="00EF5802" w:rsidRDefault="00E17C0A" w:rsidP="005B2C04">
            <w:pPr>
              <w:pStyle w:val="TableFigText"/>
              <w:jc w:val="right"/>
              <w:rPr>
                <w:rFonts w:asciiTheme="minorHAnsi" w:hAnsiTheme="minorHAnsi" w:cstheme="minorHAnsi"/>
                <w:b/>
                <w:szCs w:val="22"/>
              </w:rPr>
            </w:pPr>
            <w:r w:rsidRPr="00EF5802">
              <w:rPr>
                <w:rFonts w:asciiTheme="minorHAnsi" w:hAnsiTheme="minorHAnsi" w:cstheme="minorHAnsi"/>
                <w:b/>
                <w:szCs w:val="22"/>
              </w:rPr>
              <w:t>Remote</w:t>
            </w:r>
          </w:p>
        </w:tc>
        <w:tc>
          <w:tcPr>
            <w:tcW w:w="1115" w:type="dxa"/>
          </w:tcPr>
          <w:p w:rsidR="00E17C0A" w:rsidRPr="00EF5802" w:rsidRDefault="00E17C0A" w:rsidP="005B2C04">
            <w:pPr>
              <w:pStyle w:val="TableFigText"/>
              <w:jc w:val="right"/>
              <w:rPr>
                <w:rFonts w:asciiTheme="minorHAnsi" w:hAnsiTheme="minorHAnsi" w:cstheme="minorHAnsi"/>
                <w:b/>
                <w:szCs w:val="22"/>
              </w:rPr>
            </w:pPr>
            <w:r w:rsidRPr="00EF5802">
              <w:rPr>
                <w:rFonts w:asciiTheme="minorHAnsi" w:hAnsiTheme="minorHAnsi" w:cstheme="minorHAnsi"/>
                <w:b/>
                <w:szCs w:val="22"/>
              </w:rPr>
              <w:t>Very remote</w:t>
            </w:r>
          </w:p>
        </w:tc>
        <w:tc>
          <w:tcPr>
            <w:tcW w:w="1138" w:type="dxa"/>
          </w:tcPr>
          <w:p w:rsidR="00E17C0A" w:rsidRPr="00EF5802" w:rsidRDefault="00E17C0A" w:rsidP="005B2C04">
            <w:pPr>
              <w:pStyle w:val="TableFigText"/>
              <w:jc w:val="right"/>
              <w:rPr>
                <w:rFonts w:asciiTheme="minorHAnsi" w:hAnsiTheme="minorHAnsi" w:cstheme="minorHAnsi"/>
                <w:b/>
                <w:szCs w:val="22"/>
              </w:rPr>
            </w:pPr>
            <w:r w:rsidRPr="00EF5802">
              <w:rPr>
                <w:rFonts w:asciiTheme="minorHAnsi" w:hAnsiTheme="minorHAnsi" w:cstheme="minorHAnsi"/>
                <w:b/>
                <w:szCs w:val="22"/>
              </w:rPr>
              <w:t>Total</w:t>
            </w:r>
            <w:r w:rsidRPr="00EF5802">
              <w:rPr>
                <w:rFonts w:asciiTheme="minorHAnsi" w:hAnsiTheme="minorHAnsi" w:cstheme="minorHAnsi"/>
                <w:szCs w:val="22"/>
                <w:vertAlign w:val="superscript"/>
              </w:rPr>
              <w:t>(</w:t>
            </w:r>
            <w:r>
              <w:rPr>
                <w:rFonts w:asciiTheme="minorHAnsi" w:hAnsiTheme="minorHAnsi" w:cstheme="minorHAnsi"/>
                <w:szCs w:val="22"/>
                <w:vertAlign w:val="superscript"/>
              </w:rPr>
              <w:t>c</w:t>
            </w:r>
            <w:r w:rsidRPr="00EF5802">
              <w:rPr>
                <w:rFonts w:asciiTheme="minorHAnsi" w:hAnsiTheme="minorHAnsi" w:cstheme="minorHAnsi"/>
                <w:szCs w:val="22"/>
                <w:vertAlign w:val="superscript"/>
              </w:rPr>
              <w:t>)</w:t>
            </w:r>
          </w:p>
        </w:tc>
      </w:tr>
      <w:tr w:rsidR="00E17C0A" w:rsidRPr="00EF5802" w:rsidTr="005B2C04">
        <w:tc>
          <w:tcPr>
            <w:tcW w:w="2372" w:type="dxa"/>
          </w:tcPr>
          <w:p w:rsidR="00E17C0A" w:rsidRPr="00EF5802" w:rsidRDefault="00E17C0A" w:rsidP="005B2C04">
            <w:pPr>
              <w:pStyle w:val="TableFigText"/>
              <w:rPr>
                <w:rFonts w:asciiTheme="minorHAnsi" w:hAnsiTheme="minorHAnsi" w:cstheme="minorHAnsi"/>
                <w:szCs w:val="22"/>
              </w:rPr>
            </w:pPr>
            <w:r w:rsidRPr="00EF5802">
              <w:rPr>
                <w:rFonts w:asciiTheme="minorHAnsi" w:hAnsiTheme="minorHAnsi" w:cstheme="minorHAnsi"/>
                <w:szCs w:val="22"/>
              </w:rPr>
              <w:t>Public hospital services</w:t>
            </w:r>
            <w:r w:rsidRPr="00EF5802">
              <w:rPr>
                <w:rFonts w:asciiTheme="minorHAnsi" w:hAnsiTheme="minorHAnsi" w:cstheme="minorHAnsi"/>
                <w:szCs w:val="22"/>
                <w:vertAlign w:val="superscript"/>
              </w:rPr>
              <w:t>(</w:t>
            </w:r>
            <w:r>
              <w:rPr>
                <w:rFonts w:asciiTheme="minorHAnsi" w:hAnsiTheme="minorHAnsi" w:cstheme="minorHAnsi"/>
                <w:szCs w:val="22"/>
                <w:vertAlign w:val="superscript"/>
              </w:rPr>
              <w:t>d</w:t>
            </w:r>
            <w:r w:rsidRPr="00EF5802">
              <w:rPr>
                <w:rFonts w:asciiTheme="minorHAnsi" w:hAnsiTheme="minorHAnsi" w:cstheme="minorHAnsi"/>
                <w:szCs w:val="22"/>
                <w:vertAlign w:val="superscript"/>
              </w:rPr>
              <w:t>)(</w:t>
            </w:r>
            <w:r>
              <w:rPr>
                <w:rFonts w:asciiTheme="minorHAnsi" w:hAnsiTheme="minorHAnsi" w:cstheme="minorHAnsi"/>
                <w:szCs w:val="22"/>
                <w:vertAlign w:val="superscript"/>
              </w:rPr>
              <w:t>e</w:t>
            </w:r>
            <w:r w:rsidRPr="00EF5802">
              <w:rPr>
                <w:rFonts w:asciiTheme="minorHAnsi" w:hAnsiTheme="minorHAnsi" w:cstheme="minorHAnsi"/>
                <w:szCs w:val="22"/>
                <w:vertAlign w:val="superscript"/>
              </w:rPr>
              <w:t>)</w:t>
            </w:r>
          </w:p>
        </w:tc>
        <w:tc>
          <w:tcPr>
            <w:tcW w:w="1071" w:type="dxa"/>
            <w:vAlign w:val="center"/>
          </w:tcPr>
          <w:p w:rsidR="00E17C0A" w:rsidRPr="00271376" w:rsidRDefault="00E17C0A" w:rsidP="003D2B2B">
            <w:pPr>
              <w:pStyle w:val="TableFigText"/>
              <w:jc w:val="right"/>
            </w:pPr>
            <w:r w:rsidRPr="00271376">
              <w:t>n/a</w:t>
            </w:r>
          </w:p>
        </w:tc>
        <w:tc>
          <w:tcPr>
            <w:tcW w:w="1415" w:type="dxa"/>
            <w:vAlign w:val="center"/>
          </w:tcPr>
          <w:p w:rsidR="00E17C0A" w:rsidRPr="00271376" w:rsidRDefault="00E17C0A" w:rsidP="003D2B2B">
            <w:pPr>
              <w:pStyle w:val="TableFigText"/>
              <w:jc w:val="right"/>
            </w:pPr>
            <w:r w:rsidRPr="00271376">
              <w:t>n/a</w:t>
            </w:r>
          </w:p>
        </w:tc>
        <w:tc>
          <w:tcPr>
            <w:tcW w:w="1292" w:type="dxa"/>
            <w:vAlign w:val="center"/>
          </w:tcPr>
          <w:p w:rsidR="00E17C0A" w:rsidRPr="00271376" w:rsidRDefault="00E17C0A" w:rsidP="003D2B2B">
            <w:pPr>
              <w:pStyle w:val="TableFigText"/>
              <w:jc w:val="right"/>
            </w:pPr>
            <w:r w:rsidRPr="00271376">
              <w:t>10,639</w:t>
            </w:r>
          </w:p>
        </w:tc>
        <w:tc>
          <w:tcPr>
            <w:tcW w:w="1065" w:type="dxa"/>
            <w:vAlign w:val="center"/>
          </w:tcPr>
          <w:p w:rsidR="00E17C0A" w:rsidRPr="00271376" w:rsidRDefault="00E17C0A" w:rsidP="003D2B2B">
            <w:pPr>
              <w:pStyle w:val="TableFigText"/>
              <w:jc w:val="right"/>
            </w:pPr>
            <w:r w:rsidRPr="00271376">
              <w:t>5,365</w:t>
            </w:r>
          </w:p>
        </w:tc>
        <w:tc>
          <w:tcPr>
            <w:tcW w:w="1115" w:type="dxa"/>
            <w:vAlign w:val="center"/>
          </w:tcPr>
          <w:p w:rsidR="00E17C0A" w:rsidRPr="00271376" w:rsidRDefault="00E17C0A" w:rsidP="003D2B2B">
            <w:pPr>
              <w:pStyle w:val="TableFigText"/>
              <w:jc w:val="right"/>
            </w:pPr>
            <w:r w:rsidRPr="00271376">
              <w:t>0</w:t>
            </w:r>
          </w:p>
        </w:tc>
        <w:tc>
          <w:tcPr>
            <w:tcW w:w="1138" w:type="dxa"/>
            <w:vAlign w:val="center"/>
          </w:tcPr>
          <w:p w:rsidR="00E17C0A" w:rsidRPr="00271376" w:rsidRDefault="00E17C0A" w:rsidP="003D2B2B">
            <w:pPr>
              <w:pStyle w:val="TableFigText"/>
              <w:jc w:val="right"/>
            </w:pPr>
            <w:r w:rsidRPr="00271376">
              <w:t>16,004</w:t>
            </w:r>
          </w:p>
        </w:tc>
      </w:tr>
      <w:tr w:rsidR="00E17C0A" w:rsidRPr="00EF5802" w:rsidTr="005B2C04">
        <w:tc>
          <w:tcPr>
            <w:tcW w:w="2372" w:type="dxa"/>
          </w:tcPr>
          <w:p w:rsidR="00E17C0A" w:rsidRPr="00EF5802" w:rsidRDefault="00E17C0A" w:rsidP="005B2C04">
            <w:pPr>
              <w:pStyle w:val="TableFigText"/>
              <w:rPr>
                <w:rFonts w:asciiTheme="minorHAnsi" w:hAnsiTheme="minorHAnsi" w:cstheme="minorHAnsi"/>
                <w:szCs w:val="22"/>
              </w:rPr>
            </w:pPr>
            <w:r w:rsidRPr="00EF5802">
              <w:rPr>
                <w:rFonts w:asciiTheme="minorHAnsi" w:hAnsiTheme="minorHAnsi" w:cstheme="minorHAnsi"/>
                <w:szCs w:val="22"/>
              </w:rPr>
              <w:t>Community mental health services</w:t>
            </w:r>
          </w:p>
        </w:tc>
        <w:tc>
          <w:tcPr>
            <w:tcW w:w="1071" w:type="dxa"/>
            <w:vAlign w:val="center"/>
          </w:tcPr>
          <w:p w:rsidR="00E17C0A" w:rsidRPr="00271376" w:rsidRDefault="00E17C0A" w:rsidP="003D2B2B">
            <w:pPr>
              <w:pStyle w:val="TableFigText"/>
              <w:jc w:val="right"/>
            </w:pPr>
            <w:r w:rsidRPr="00271376">
              <w:t>n/a</w:t>
            </w:r>
          </w:p>
        </w:tc>
        <w:tc>
          <w:tcPr>
            <w:tcW w:w="1415" w:type="dxa"/>
            <w:vAlign w:val="center"/>
          </w:tcPr>
          <w:p w:rsidR="00E17C0A" w:rsidRPr="00271376" w:rsidRDefault="00E17C0A" w:rsidP="003D2B2B">
            <w:pPr>
              <w:pStyle w:val="TableFigText"/>
              <w:jc w:val="right"/>
            </w:pPr>
            <w:r w:rsidRPr="00271376">
              <w:t>n/a</w:t>
            </w:r>
          </w:p>
        </w:tc>
        <w:tc>
          <w:tcPr>
            <w:tcW w:w="1292" w:type="dxa"/>
            <w:vAlign w:val="center"/>
          </w:tcPr>
          <w:p w:rsidR="00E17C0A" w:rsidRPr="00271376" w:rsidRDefault="00E17C0A" w:rsidP="003D2B2B">
            <w:pPr>
              <w:pStyle w:val="TableFigText"/>
              <w:jc w:val="right"/>
            </w:pPr>
            <w:r w:rsidRPr="00271376">
              <w:t>12,797</w:t>
            </w:r>
          </w:p>
        </w:tc>
        <w:tc>
          <w:tcPr>
            <w:tcW w:w="1065" w:type="dxa"/>
            <w:vAlign w:val="center"/>
          </w:tcPr>
          <w:p w:rsidR="00E17C0A" w:rsidRPr="00271376" w:rsidRDefault="00E17C0A" w:rsidP="003D2B2B">
            <w:pPr>
              <w:pStyle w:val="TableFigText"/>
              <w:jc w:val="right"/>
            </w:pPr>
            <w:r w:rsidRPr="00271376">
              <w:t>8,184</w:t>
            </w:r>
          </w:p>
        </w:tc>
        <w:tc>
          <w:tcPr>
            <w:tcW w:w="1115" w:type="dxa"/>
            <w:vAlign w:val="center"/>
          </w:tcPr>
          <w:p w:rsidR="00E17C0A" w:rsidRPr="00271376" w:rsidRDefault="00E17C0A" w:rsidP="003D2B2B">
            <w:pPr>
              <w:pStyle w:val="TableFigText"/>
              <w:jc w:val="right"/>
            </w:pPr>
            <w:r w:rsidRPr="00271376">
              <w:t>2,306</w:t>
            </w:r>
          </w:p>
        </w:tc>
        <w:tc>
          <w:tcPr>
            <w:tcW w:w="1138" w:type="dxa"/>
            <w:vAlign w:val="center"/>
          </w:tcPr>
          <w:p w:rsidR="00E17C0A" w:rsidRPr="00271376" w:rsidRDefault="00E17C0A" w:rsidP="003D2B2B">
            <w:pPr>
              <w:pStyle w:val="TableFigText"/>
              <w:jc w:val="right"/>
            </w:pPr>
            <w:r w:rsidRPr="00271376">
              <w:t>23,287</w:t>
            </w:r>
          </w:p>
        </w:tc>
      </w:tr>
      <w:tr w:rsidR="00E17C0A" w:rsidRPr="00EF5802" w:rsidTr="005B2C04">
        <w:tc>
          <w:tcPr>
            <w:tcW w:w="2372" w:type="dxa"/>
          </w:tcPr>
          <w:p w:rsidR="00E17C0A" w:rsidRPr="00EF5802" w:rsidRDefault="00E17C0A" w:rsidP="005B2C04">
            <w:pPr>
              <w:pStyle w:val="TableFigText"/>
              <w:rPr>
                <w:rFonts w:asciiTheme="minorHAnsi" w:hAnsiTheme="minorHAnsi" w:cstheme="minorHAnsi"/>
                <w:szCs w:val="22"/>
              </w:rPr>
            </w:pPr>
            <w:r w:rsidRPr="00EF5802">
              <w:rPr>
                <w:rFonts w:asciiTheme="minorHAnsi" w:hAnsiTheme="minorHAnsi" w:cstheme="minorHAnsi"/>
                <w:szCs w:val="22"/>
              </w:rPr>
              <w:t>Residential mental health services</w:t>
            </w:r>
            <w:r w:rsidRPr="00EF5802">
              <w:rPr>
                <w:rFonts w:asciiTheme="minorHAnsi" w:hAnsiTheme="minorHAnsi" w:cstheme="minorHAnsi"/>
                <w:szCs w:val="22"/>
                <w:vertAlign w:val="superscript"/>
              </w:rPr>
              <w:t>(</w:t>
            </w:r>
            <w:r>
              <w:rPr>
                <w:rFonts w:asciiTheme="minorHAnsi" w:hAnsiTheme="minorHAnsi" w:cstheme="minorHAnsi"/>
                <w:szCs w:val="22"/>
                <w:vertAlign w:val="superscript"/>
              </w:rPr>
              <w:t>f</w:t>
            </w:r>
            <w:r w:rsidRPr="00EF5802">
              <w:rPr>
                <w:rFonts w:asciiTheme="minorHAnsi" w:hAnsiTheme="minorHAnsi" w:cstheme="minorHAnsi"/>
                <w:szCs w:val="22"/>
                <w:vertAlign w:val="superscript"/>
              </w:rPr>
              <w:t>)</w:t>
            </w:r>
          </w:p>
        </w:tc>
        <w:tc>
          <w:tcPr>
            <w:tcW w:w="1071" w:type="dxa"/>
            <w:vAlign w:val="center"/>
          </w:tcPr>
          <w:p w:rsidR="00E17C0A" w:rsidRPr="00271376" w:rsidRDefault="00E17C0A" w:rsidP="003D2B2B">
            <w:pPr>
              <w:pStyle w:val="TableFigText"/>
              <w:jc w:val="right"/>
            </w:pPr>
            <w:r w:rsidRPr="00271376">
              <w:t>n/a</w:t>
            </w:r>
          </w:p>
        </w:tc>
        <w:tc>
          <w:tcPr>
            <w:tcW w:w="1415" w:type="dxa"/>
            <w:vAlign w:val="center"/>
          </w:tcPr>
          <w:p w:rsidR="00E17C0A" w:rsidRPr="00271376" w:rsidRDefault="00E17C0A" w:rsidP="003D2B2B">
            <w:pPr>
              <w:pStyle w:val="TableFigText"/>
              <w:jc w:val="right"/>
            </w:pPr>
            <w:r w:rsidRPr="00271376">
              <w:t>n/a</w:t>
            </w:r>
          </w:p>
        </w:tc>
        <w:tc>
          <w:tcPr>
            <w:tcW w:w="1292" w:type="dxa"/>
            <w:vAlign w:val="center"/>
          </w:tcPr>
          <w:p w:rsidR="00E17C0A" w:rsidRPr="00271376" w:rsidRDefault="00E17C0A" w:rsidP="003D2B2B">
            <w:pPr>
              <w:pStyle w:val="TableFigText"/>
              <w:jc w:val="right"/>
            </w:pPr>
            <w:r w:rsidRPr="00271376">
              <w:t>1,486</w:t>
            </w:r>
          </w:p>
        </w:tc>
        <w:tc>
          <w:tcPr>
            <w:tcW w:w="1065" w:type="dxa"/>
            <w:vAlign w:val="center"/>
          </w:tcPr>
          <w:p w:rsidR="00E17C0A" w:rsidRPr="00271376" w:rsidRDefault="00E17C0A" w:rsidP="003D2B2B">
            <w:pPr>
              <w:pStyle w:val="TableFigText"/>
              <w:jc w:val="right"/>
            </w:pPr>
            <w:r w:rsidRPr="00271376">
              <w:t>0</w:t>
            </w:r>
          </w:p>
        </w:tc>
        <w:tc>
          <w:tcPr>
            <w:tcW w:w="1115" w:type="dxa"/>
            <w:vAlign w:val="center"/>
          </w:tcPr>
          <w:p w:rsidR="00E17C0A" w:rsidRPr="00271376" w:rsidRDefault="00E17C0A" w:rsidP="003D2B2B">
            <w:pPr>
              <w:pStyle w:val="TableFigText"/>
              <w:jc w:val="right"/>
            </w:pPr>
            <w:r w:rsidRPr="00271376">
              <w:t>0</w:t>
            </w:r>
          </w:p>
        </w:tc>
        <w:tc>
          <w:tcPr>
            <w:tcW w:w="1138" w:type="dxa"/>
            <w:vAlign w:val="center"/>
          </w:tcPr>
          <w:p w:rsidR="00E17C0A" w:rsidRPr="00271376" w:rsidRDefault="00E17C0A" w:rsidP="003D2B2B">
            <w:pPr>
              <w:pStyle w:val="TableFigText"/>
              <w:jc w:val="right"/>
            </w:pPr>
            <w:r w:rsidRPr="00271376">
              <w:t>1,486</w:t>
            </w:r>
          </w:p>
        </w:tc>
      </w:tr>
      <w:tr w:rsidR="00E17C0A" w:rsidRPr="00EF5802" w:rsidTr="005B2C04">
        <w:tc>
          <w:tcPr>
            <w:tcW w:w="2372" w:type="dxa"/>
          </w:tcPr>
          <w:p w:rsidR="00E17C0A" w:rsidRPr="003D2B2B" w:rsidRDefault="00E17C0A" w:rsidP="005B2C04">
            <w:pPr>
              <w:pStyle w:val="TableFigText"/>
              <w:rPr>
                <w:rFonts w:asciiTheme="minorHAnsi" w:hAnsiTheme="minorHAnsi" w:cstheme="minorHAnsi"/>
                <w:b/>
                <w:szCs w:val="22"/>
              </w:rPr>
            </w:pPr>
            <w:r w:rsidRPr="003D2B2B">
              <w:rPr>
                <w:rFonts w:asciiTheme="minorHAnsi" w:hAnsiTheme="minorHAnsi" w:cstheme="minorHAnsi"/>
                <w:b/>
                <w:szCs w:val="22"/>
              </w:rPr>
              <w:t>All mental health service types</w:t>
            </w:r>
            <w:r w:rsidRPr="003D2B2B">
              <w:rPr>
                <w:rFonts w:asciiTheme="minorHAnsi" w:hAnsiTheme="minorHAnsi" w:cstheme="minorHAnsi"/>
                <w:b/>
                <w:szCs w:val="22"/>
                <w:vertAlign w:val="superscript"/>
              </w:rPr>
              <w:t>(c)</w:t>
            </w:r>
          </w:p>
        </w:tc>
        <w:tc>
          <w:tcPr>
            <w:tcW w:w="1071" w:type="dxa"/>
            <w:vAlign w:val="center"/>
          </w:tcPr>
          <w:p w:rsidR="00E17C0A" w:rsidRPr="003D2B2B" w:rsidRDefault="00E17C0A" w:rsidP="003D2B2B">
            <w:pPr>
              <w:pStyle w:val="TableFigText"/>
              <w:jc w:val="right"/>
              <w:rPr>
                <w:b/>
              </w:rPr>
            </w:pPr>
            <w:r w:rsidRPr="003D2B2B">
              <w:rPr>
                <w:b/>
              </w:rPr>
              <w:t>n/a</w:t>
            </w:r>
          </w:p>
        </w:tc>
        <w:tc>
          <w:tcPr>
            <w:tcW w:w="1415" w:type="dxa"/>
            <w:vAlign w:val="center"/>
          </w:tcPr>
          <w:p w:rsidR="00E17C0A" w:rsidRPr="003D2B2B" w:rsidRDefault="00E17C0A" w:rsidP="003D2B2B">
            <w:pPr>
              <w:pStyle w:val="TableFigText"/>
              <w:jc w:val="right"/>
              <w:rPr>
                <w:b/>
              </w:rPr>
            </w:pPr>
            <w:r w:rsidRPr="003D2B2B">
              <w:rPr>
                <w:b/>
              </w:rPr>
              <w:t>n/a</w:t>
            </w:r>
          </w:p>
        </w:tc>
        <w:tc>
          <w:tcPr>
            <w:tcW w:w="1292" w:type="dxa"/>
            <w:vAlign w:val="center"/>
          </w:tcPr>
          <w:p w:rsidR="00E17C0A" w:rsidRPr="003D2B2B" w:rsidRDefault="00E17C0A" w:rsidP="003D2B2B">
            <w:pPr>
              <w:pStyle w:val="TableFigText"/>
              <w:jc w:val="right"/>
              <w:rPr>
                <w:b/>
              </w:rPr>
            </w:pPr>
            <w:r w:rsidRPr="003D2B2B">
              <w:rPr>
                <w:b/>
              </w:rPr>
              <w:t>24,922</w:t>
            </w:r>
          </w:p>
        </w:tc>
        <w:tc>
          <w:tcPr>
            <w:tcW w:w="1065" w:type="dxa"/>
            <w:vAlign w:val="center"/>
          </w:tcPr>
          <w:p w:rsidR="00E17C0A" w:rsidRPr="003D2B2B" w:rsidRDefault="00E17C0A" w:rsidP="003D2B2B">
            <w:pPr>
              <w:pStyle w:val="TableFigText"/>
              <w:jc w:val="right"/>
              <w:rPr>
                <w:b/>
              </w:rPr>
            </w:pPr>
            <w:r w:rsidRPr="003D2B2B">
              <w:rPr>
                <w:b/>
              </w:rPr>
              <w:t>13,549</w:t>
            </w:r>
          </w:p>
        </w:tc>
        <w:tc>
          <w:tcPr>
            <w:tcW w:w="1115" w:type="dxa"/>
            <w:vAlign w:val="center"/>
          </w:tcPr>
          <w:p w:rsidR="00E17C0A" w:rsidRPr="003D2B2B" w:rsidRDefault="00E17C0A" w:rsidP="003D2B2B">
            <w:pPr>
              <w:pStyle w:val="TableFigText"/>
              <w:jc w:val="right"/>
              <w:rPr>
                <w:b/>
              </w:rPr>
            </w:pPr>
            <w:r w:rsidRPr="003D2B2B">
              <w:rPr>
                <w:b/>
              </w:rPr>
              <w:t>2,306</w:t>
            </w:r>
          </w:p>
        </w:tc>
        <w:tc>
          <w:tcPr>
            <w:tcW w:w="1138" w:type="dxa"/>
            <w:vAlign w:val="center"/>
          </w:tcPr>
          <w:p w:rsidR="00E17C0A" w:rsidRPr="003D2B2B" w:rsidRDefault="00E17C0A" w:rsidP="003D2B2B">
            <w:pPr>
              <w:pStyle w:val="TableFigText"/>
              <w:jc w:val="right"/>
              <w:rPr>
                <w:b/>
              </w:rPr>
            </w:pPr>
            <w:r w:rsidRPr="003D2B2B">
              <w:rPr>
                <w:b/>
              </w:rPr>
              <w:t>40,777</w:t>
            </w:r>
          </w:p>
        </w:tc>
      </w:tr>
    </w:tbl>
    <w:p w:rsidR="00E17C0A" w:rsidRPr="007253FD" w:rsidRDefault="00E17C0A" w:rsidP="008C2A85">
      <w:pPr>
        <w:pStyle w:val="TableFigNotesnumbered"/>
        <w:ind w:left="294" w:hanging="294"/>
        <w:rPr>
          <w:rStyle w:val="table-note"/>
        </w:rPr>
      </w:pPr>
      <w:proofErr w:type="gramStart"/>
      <w:r w:rsidRPr="007253FD">
        <w:rPr>
          <w:rStyle w:val="table-note"/>
        </w:rPr>
        <w:t>n/a</w:t>
      </w:r>
      <w:proofErr w:type="gramEnd"/>
      <w:r w:rsidRPr="007253FD">
        <w:rPr>
          <w:rStyle w:val="table-note"/>
        </w:rPr>
        <w:t xml:space="preserve"> </w:t>
      </w:r>
      <w:r w:rsidRPr="007253FD">
        <w:rPr>
          <w:rStyle w:val="table-note"/>
        </w:rPr>
        <w:tab/>
        <w:t>Not applicable.</w:t>
      </w:r>
    </w:p>
    <w:p w:rsidR="00E17C0A" w:rsidRPr="007253FD" w:rsidRDefault="00E17C0A" w:rsidP="007253FD">
      <w:pPr>
        <w:pStyle w:val="TableFigNotesnumbered"/>
        <w:numPr>
          <w:ilvl w:val="0"/>
          <w:numId w:val="101"/>
        </w:numPr>
        <w:rPr>
          <w:rStyle w:val="table-note"/>
        </w:rPr>
      </w:pPr>
      <w:r w:rsidRPr="007253FD">
        <w:rPr>
          <w:rStyle w:val="table-note"/>
        </w:rPr>
        <w:t>Expenditure excludes depreciation.</w:t>
      </w:r>
    </w:p>
    <w:p w:rsidR="00E17C0A" w:rsidRPr="007253FD" w:rsidRDefault="00E17C0A" w:rsidP="007253FD">
      <w:pPr>
        <w:pStyle w:val="TableFigNotesnumbered"/>
        <w:numPr>
          <w:ilvl w:val="0"/>
          <w:numId w:val="101"/>
        </w:numPr>
        <w:rPr>
          <w:rStyle w:val="table-note"/>
        </w:rPr>
      </w:pPr>
      <w:r w:rsidRPr="007253FD">
        <w:rPr>
          <w:rStyle w:val="table-note"/>
        </w:rPr>
        <w:t xml:space="preserve">Expenditure excludes grants to non-government organisations and indirect expenditure at the state/territory, region and organisation levels not apportioned to service units. </w:t>
      </w:r>
      <w:r w:rsidRPr="007253FD" w:rsidDel="001B33F6">
        <w:rPr>
          <w:rStyle w:val="table-note"/>
        </w:rPr>
        <w:t xml:space="preserve"> </w:t>
      </w:r>
    </w:p>
    <w:p w:rsidR="00E17C0A" w:rsidRPr="007253FD" w:rsidRDefault="00E17C0A" w:rsidP="007253FD">
      <w:pPr>
        <w:pStyle w:val="TableFigNotesnumbered"/>
        <w:numPr>
          <w:ilvl w:val="0"/>
          <w:numId w:val="101"/>
        </w:numPr>
        <w:rPr>
          <w:rStyle w:val="table-note"/>
        </w:rPr>
      </w:pPr>
      <w:r w:rsidRPr="007253FD">
        <w:rPr>
          <w:rStyle w:val="table-note"/>
        </w:rPr>
        <w:t>Totals may not add due to rounding to the nearest $'000.</w:t>
      </w:r>
    </w:p>
    <w:p w:rsidR="00E17C0A" w:rsidRPr="007253FD" w:rsidRDefault="00E17C0A" w:rsidP="007253FD">
      <w:pPr>
        <w:pStyle w:val="TableFigNotesnumbered"/>
        <w:numPr>
          <w:ilvl w:val="0"/>
          <w:numId w:val="101"/>
        </w:numPr>
        <w:rPr>
          <w:rStyle w:val="table-note"/>
        </w:rPr>
      </w:pPr>
      <w:r w:rsidRPr="007253FD">
        <w:rPr>
          <w:rStyle w:val="table-note"/>
        </w:rPr>
        <w:t>Includes public hospital services managed and operated by private and non-government entities.</w:t>
      </w:r>
    </w:p>
    <w:p w:rsidR="00E17C0A" w:rsidRPr="007253FD" w:rsidRDefault="00E17C0A" w:rsidP="007253FD">
      <w:pPr>
        <w:pStyle w:val="TableFigNotesnumbered"/>
        <w:numPr>
          <w:ilvl w:val="0"/>
          <w:numId w:val="101"/>
        </w:numPr>
        <w:rPr>
          <w:rStyle w:val="table-note"/>
        </w:rPr>
      </w:pPr>
      <w:r w:rsidRPr="007253FD">
        <w:rPr>
          <w:rStyle w:val="table-note"/>
        </w:rPr>
        <w:t>Public psychiatric hospitals and specialised psychiatric units or wards in public acute hospitals include expenditure on admitted patient services only. Public hospitals outpatient departments are included in community mental health care services.</w:t>
      </w:r>
      <w:r w:rsidRPr="007253FD">
        <w:rPr>
          <w:rStyle w:val="table-note"/>
        </w:rPr>
        <w:tab/>
      </w:r>
      <w:r w:rsidRPr="007253FD">
        <w:rPr>
          <w:rStyle w:val="table-note"/>
        </w:rPr>
        <w:tab/>
      </w:r>
    </w:p>
    <w:p w:rsidR="00E17C0A" w:rsidRPr="00207B28" w:rsidRDefault="00E17C0A" w:rsidP="007253FD">
      <w:pPr>
        <w:pStyle w:val="TableFigNotesnumbered"/>
        <w:numPr>
          <w:ilvl w:val="0"/>
          <w:numId w:val="101"/>
        </w:numPr>
        <w:rPr>
          <w:rFonts w:asciiTheme="minorHAnsi" w:hAnsiTheme="minorHAnsi" w:cstheme="minorHAnsi"/>
        </w:rPr>
      </w:pPr>
      <w:r w:rsidRPr="007253FD">
        <w:rPr>
          <w:rStyle w:val="table-note"/>
        </w:rPr>
        <w:t>Residential mental health services include the total operating costs for partially or wholly government funded non-government-operated residential mental health services.</w:t>
      </w:r>
      <w:r w:rsidRPr="00207B28">
        <w:rPr>
          <w:rFonts w:asciiTheme="minorHAnsi" w:hAnsiTheme="minorHAnsi" w:cstheme="minorHAnsi"/>
        </w:rPr>
        <w:tab/>
      </w:r>
      <w:r w:rsidRPr="00207B28">
        <w:rPr>
          <w:rFonts w:asciiTheme="minorHAnsi" w:hAnsiTheme="minorHAnsi" w:cstheme="minorHAnsi"/>
        </w:rPr>
        <w:tab/>
      </w:r>
    </w:p>
    <w:p w:rsidR="007253FD" w:rsidRDefault="005E406B" w:rsidP="008C2A85">
      <w:pPr>
        <w:pStyle w:val="TableFigNotesnumbered"/>
        <w:ind w:left="294" w:hanging="294"/>
        <w:rPr>
          <w:rStyle w:val="table-note"/>
        </w:rPr>
      </w:pPr>
      <w:r w:rsidRPr="007253FD">
        <w:rPr>
          <w:rStyle w:val="table-note"/>
        </w:rPr>
        <w:t xml:space="preserve">Note: </w:t>
      </w:r>
    </w:p>
    <w:p w:rsidR="00E17C0A" w:rsidRPr="007253FD" w:rsidRDefault="00E17C0A" w:rsidP="007253FD">
      <w:pPr>
        <w:pStyle w:val="TableFigNotesnumbered"/>
        <w:numPr>
          <w:ilvl w:val="0"/>
          <w:numId w:val="102"/>
        </w:numPr>
        <w:rPr>
          <w:rStyle w:val="table-note"/>
        </w:rPr>
      </w:pPr>
      <w:r w:rsidRPr="007253FD">
        <w:rPr>
          <w:rStyle w:val="table-note"/>
        </w:rPr>
        <w:t xml:space="preserve">The Northern Territory </w:t>
      </w:r>
      <w:proofErr w:type="gramStart"/>
      <w:r w:rsidRPr="007253FD">
        <w:rPr>
          <w:rStyle w:val="table-note"/>
        </w:rPr>
        <w:t>do</w:t>
      </w:r>
      <w:proofErr w:type="gramEnd"/>
      <w:r w:rsidRPr="007253FD">
        <w:rPr>
          <w:rStyle w:val="table-note"/>
        </w:rPr>
        <w:t xml:space="preserve"> not have public psychiatric hospitals as defined in the MHE NMDS. </w:t>
      </w:r>
    </w:p>
    <w:p w:rsidR="005E406B" w:rsidRPr="008A3F74" w:rsidRDefault="000E0677" w:rsidP="005E406B">
      <w:pPr>
        <w:pStyle w:val="TableCaption"/>
        <w:rPr>
          <w:rStyle w:val="table-note"/>
        </w:rPr>
      </w:pPr>
      <w:r w:rsidRPr="008A3F74">
        <w:rPr>
          <w:rStyle w:val="table-note"/>
        </w:rPr>
        <w:t xml:space="preserve">Table 65: </w:t>
      </w:r>
      <w:r w:rsidR="005E406B" w:rsidRPr="008A3F74">
        <w:rPr>
          <w:rStyle w:val="table-note"/>
        </w:rPr>
        <w:t xml:space="preserve">NT: Recurrent </w:t>
      </w:r>
      <w:proofErr w:type="gramStart"/>
      <w:r w:rsidR="005E406B" w:rsidRPr="008A3F74">
        <w:rPr>
          <w:rStyle w:val="table-note"/>
        </w:rPr>
        <w:t>expenditure</w:t>
      </w:r>
      <w:r w:rsidR="005E406B" w:rsidRPr="008A3F74">
        <w:rPr>
          <w:rStyle w:val="table-note"/>
          <w:vertAlign w:val="superscript"/>
        </w:rPr>
        <w:t>(</w:t>
      </w:r>
      <w:proofErr w:type="gramEnd"/>
      <w:r w:rsidR="005E406B" w:rsidRPr="008A3F74">
        <w:rPr>
          <w:rStyle w:val="table-note"/>
          <w:vertAlign w:val="superscript"/>
        </w:rPr>
        <w:t>a)(b)</w:t>
      </w:r>
      <w:r w:rsidR="005E406B" w:rsidRPr="008A3F74">
        <w:rPr>
          <w:rStyle w:val="table-note"/>
        </w:rPr>
        <w:t xml:space="preserve"> ($) per capita</w:t>
      </w:r>
      <w:r w:rsidR="005E406B" w:rsidRPr="008A3F74">
        <w:rPr>
          <w:rStyle w:val="table-note"/>
          <w:vertAlign w:val="superscript"/>
        </w:rPr>
        <w:t>(c)</w:t>
      </w:r>
      <w:r w:rsidR="005E406B" w:rsidRPr="008A3F74">
        <w:rPr>
          <w:rStyle w:val="table-note"/>
        </w:rPr>
        <w:t xml:space="preserve"> on state and territory specialised mental health services, by service type, 2011–12 (current prices)</w:t>
      </w:r>
    </w:p>
    <w:tbl>
      <w:tblPr>
        <w:tblStyle w:val="TableGrid"/>
        <w:tblW w:w="0" w:type="auto"/>
        <w:tblLook w:val="04A0" w:firstRow="1" w:lastRow="0" w:firstColumn="1" w:lastColumn="0" w:noHBand="0" w:noVBand="1"/>
        <w:tblCaption w:val="NT: Recurrent expenditure(a)(b) ($) per capita(c) on state and territory specialised mental health services, by service type, 2011–12 (current prices)"/>
        <w:tblDescription w:val="Table showing that, in 2011-2012, remote areas in NT had the highest recurrent expenditure per capita for all mental health services at $278.22. Community mental health services had the highest expenditure per capita at a total of $100.68, followed by Public hospital services ($69.20) and residential mental health services ($6.43). The major cities and inner regional categories were not applicable."/>
      </w:tblPr>
      <w:tblGrid>
        <w:gridCol w:w="2381"/>
        <w:gridCol w:w="1047"/>
        <w:gridCol w:w="1380"/>
        <w:gridCol w:w="1251"/>
        <w:gridCol w:w="1047"/>
        <w:gridCol w:w="1094"/>
        <w:gridCol w:w="1086"/>
      </w:tblGrid>
      <w:tr w:rsidR="005E406B" w:rsidRPr="008B7E34" w:rsidTr="000C3DEA">
        <w:trPr>
          <w:tblHeader/>
        </w:trPr>
        <w:tc>
          <w:tcPr>
            <w:tcW w:w="2381" w:type="dxa"/>
          </w:tcPr>
          <w:p w:rsidR="005E406B" w:rsidRPr="008B7E34" w:rsidRDefault="005E406B" w:rsidP="001B1E83">
            <w:pPr>
              <w:pStyle w:val="TableFigText"/>
              <w:rPr>
                <w:rFonts w:asciiTheme="minorHAnsi" w:hAnsiTheme="minorHAnsi" w:cstheme="minorHAnsi"/>
                <w:szCs w:val="22"/>
              </w:rPr>
            </w:pPr>
          </w:p>
        </w:tc>
        <w:tc>
          <w:tcPr>
            <w:tcW w:w="1047" w:type="dxa"/>
          </w:tcPr>
          <w:p w:rsidR="005E406B" w:rsidRPr="008B7E34" w:rsidRDefault="005E406B" w:rsidP="001B1E83">
            <w:pPr>
              <w:pStyle w:val="TableFigText"/>
              <w:jc w:val="right"/>
              <w:rPr>
                <w:rFonts w:asciiTheme="minorHAnsi" w:hAnsiTheme="minorHAnsi" w:cstheme="minorHAnsi"/>
                <w:b/>
                <w:szCs w:val="22"/>
              </w:rPr>
            </w:pPr>
            <w:r w:rsidRPr="008B7E34">
              <w:rPr>
                <w:rFonts w:asciiTheme="minorHAnsi" w:hAnsiTheme="minorHAnsi" w:cstheme="minorHAnsi"/>
                <w:b/>
                <w:szCs w:val="22"/>
              </w:rPr>
              <w:t>Major cities</w:t>
            </w:r>
          </w:p>
        </w:tc>
        <w:tc>
          <w:tcPr>
            <w:tcW w:w="1380" w:type="dxa"/>
          </w:tcPr>
          <w:p w:rsidR="005E406B" w:rsidRPr="008B7E34" w:rsidRDefault="005E406B" w:rsidP="001B1E83">
            <w:pPr>
              <w:pStyle w:val="TableFigText"/>
              <w:jc w:val="right"/>
              <w:rPr>
                <w:rFonts w:asciiTheme="minorHAnsi" w:hAnsiTheme="minorHAnsi" w:cstheme="minorHAnsi"/>
                <w:b/>
                <w:szCs w:val="22"/>
              </w:rPr>
            </w:pPr>
            <w:r w:rsidRPr="008B7E34">
              <w:rPr>
                <w:rFonts w:asciiTheme="minorHAnsi" w:hAnsiTheme="minorHAnsi" w:cstheme="minorHAnsi"/>
                <w:b/>
                <w:szCs w:val="22"/>
              </w:rPr>
              <w:t>Inner regional</w:t>
            </w:r>
          </w:p>
        </w:tc>
        <w:tc>
          <w:tcPr>
            <w:tcW w:w="1251" w:type="dxa"/>
          </w:tcPr>
          <w:p w:rsidR="005E406B" w:rsidRPr="008B7E34" w:rsidRDefault="005E406B" w:rsidP="001B1E83">
            <w:pPr>
              <w:pStyle w:val="TableFigText"/>
              <w:jc w:val="right"/>
              <w:rPr>
                <w:rFonts w:asciiTheme="minorHAnsi" w:hAnsiTheme="minorHAnsi" w:cstheme="minorHAnsi"/>
                <w:b/>
                <w:szCs w:val="22"/>
              </w:rPr>
            </w:pPr>
            <w:r w:rsidRPr="008B7E34">
              <w:rPr>
                <w:rFonts w:asciiTheme="minorHAnsi" w:hAnsiTheme="minorHAnsi" w:cstheme="minorHAnsi"/>
                <w:b/>
                <w:szCs w:val="22"/>
              </w:rPr>
              <w:t>Outer regional</w:t>
            </w:r>
          </w:p>
        </w:tc>
        <w:tc>
          <w:tcPr>
            <w:tcW w:w="1047" w:type="dxa"/>
          </w:tcPr>
          <w:p w:rsidR="005E406B" w:rsidRPr="008B7E34" w:rsidRDefault="005E406B" w:rsidP="001B1E83">
            <w:pPr>
              <w:pStyle w:val="TableFigText"/>
              <w:jc w:val="right"/>
              <w:rPr>
                <w:rFonts w:asciiTheme="minorHAnsi" w:hAnsiTheme="minorHAnsi" w:cstheme="minorHAnsi"/>
                <w:b/>
                <w:szCs w:val="22"/>
              </w:rPr>
            </w:pPr>
            <w:r w:rsidRPr="008B7E34">
              <w:rPr>
                <w:rFonts w:asciiTheme="minorHAnsi" w:hAnsiTheme="minorHAnsi" w:cstheme="minorHAnsi"/>
                <w:b/>
                <w:szCs w:val="22"/>
              </w:rPr>
              <w:t>Remote</w:t>
            </w:r>
          </w:p>
        </w:tc>
        <w:tc>
          <w:tcPr>
            <w:tcW w:w="1094" w:type="dxa"/>
          </w:tcPr>
          <w:p w:rsidR="005E406B" w:rsidRPr="008B7E34" w:rsidRDefault="005E406B" w:rsidP="001B1E83">
            <w:pPr>
              <w:pStyle w:val="TableFigText"/>
              <w:jc w:val="right"/>
              <w:rPr>
                <w:rFonts w:asciiTheme="minorHAnsi" w:hAnsiTheme="minorHAnsi" w:cstheme="minorHAnsi"/>
                <w:b/>
                <w:szCs w:val="22"/>
              </w:rPr>
            </w:pPr>
            <w:r w:rsidRPr="008B7E34">
              <w:rPr>
                <w:rFonts w:asciiTheme="minorHAnsi" w:hAnsiTheme="minorHAnsi" w:cstheme="minorHAnsi"/>
                <w:b/>
                <w:szCs w:val="22"/>
              </w:rPr>
              <w:t>Very remote</w:t>
            </w:r>
          </w:p>
        </w:tc>
        <w:tc>
          <w:tcPr>
            <w:tcW w:w="1086" w:type="dxa"/>
          </w:tcPr>
          <w:p w:rsidR="005E406B" w:rsidRPr="008B7E34" w:rsidRDefault="005E406B" w:rsidP="001B1E83">
            <w:pPr>
              <w:pStyle w:val="TableFigText"/>
              <w:jc w:val="right"/>
              <w:rPr>
                <w:rFonts w:asciiTheme="minorHAnsi" w:hAnsiTheme="minorHAnsi" w:cstheme="minorHAnsi"/>
                <w:b/>
                <w:szCs w:val="22"/>
              </w:rPr>
            </w:pPr>
            <w:r>
              <w:rPr>
                <w:rFonts w:asciiTheme="minorHAnsi" w:hAnsiTheme="minorHAnsi" w:cstheme="minorHAnsi"/>
                <w:b/>
                <w:szCs w:val="22"/>
              </w:rPr>
              <w:t>Total</w:t>
            </w:r>
          </w:p>
        </w:tc>
      </w:tr>
      <w:tr w:rsidR="005E406B" w:rsidRPr="008B7E34" w:rsidTr="001B1E83">
        <w:tc>
          <w:tcPr>
            <w:tcW w:w="2381" w:type="dxa"/>
          </w:tcPr>
          <w:p w:rsidR="005E406B" w:rsidRPr="008B7E34" w:rsidRDefault="005E406B" w:rsidP="001B1E83">
            <w:pPr>
              <w:pStyle w:val="TableFigText"/>
              <w:rPr>
                <w:rFonts w:asciiTheme="minorHAnsi" w:hAnsiTheme="minorHAnsi" w:cstheme="minorHAnsi"/>
                <w:szCs w:val="22"/>
              </w:rPr>
            </w:pPr>
            <w:r w:rsidRPr="008B7E34">
              <w:rPr>
                <w:rFonts w:asciiTheme="minorHAnsi" w:hAnsiTheme="minorHAnsi" w:cstheme="minorHAnsi"/>
                <w:szCs w:val="22"/>
              </w:rPr>
              <w:t>Public hospital services</w:t>
            </w:r>
            <w:r w:rsidRPr="008B7E34">
              <w:rPr>
                <w:rFonts w:asciiTheme="minorHAnsi" w:hAnsiTheme="minorHAnsi" w:cstheme="minorHAnsi"/>
                <w:szCs w:val="22"/>
                <w:vertAlign w:val="superscript"/>
              </w:rPr>
              <w:t>(</w:t>
            </w:r>
            <w:r>
              <w:rPr>
                <w:rFonts w:asciiTheme="minorHAnsi" w:hAnsiTheme="minorHAnsi" w:cstheme="minorHAnsi"/>
                <w:szCs w:val="22"/>
                <w:vertAlign w:val="superscript"/>
              </w:rPr>
              <w:t>d</w:t>
            </w:r>
            <w:r w:rsidRPr="008B7E34">
              <w:rPr>
                <w:rFonts w:asciiTheme="minorHAnsi" w:hAnsiTheme="minorHAnsi" w:cstheme="minorHAnsi"/>
                <w:szCs w:val="22"/>
                <w:vertAlign w:val="superscript"/>
              </w:rPr>
              <w:t>)(</w:t>
            </w:r>
            <w:r>
              <w:rPr>
                <w:rFonts w:asciiTheme="minorHAnsi" w:hAnsiTheme="minorHAnsi" w:cstheme="minorHAnsi"/>
                <w:szCs w:val="22"/>
                <w:vertAlign w:val="superscript"/>
              </w:rPr>
              <w:t>e</w:t>
            </w:r>
            <w:r w:rsidRPr="008B7E34">
              <w:rPr>
                <w:rFonts w:asciiTheme="minorHAnsi" w:hAnsiTheme="minorHAnsi" w:cstheme="minorHAnsi"/>
                <w:szCs w:val="22"/>
                <w:vertAlign w:val="superscript"/>
              </w:rPr>
              <w:t>)</w:t>
            </w:r>
          </w:p>
        </w:tc>
        <w:tc>
          <w:tcPr>
            <w:tcW w:w="1047" w:type="dxa"/>
            <w:vAlign w:val="center"/>
          </w:tcPr>
          <w:p w:rsidR="005E406B" w:rsidRPr="00271376" w:rsidRDefault="005E406B" w:rsidP="003D2B2B">
            <w:pPr>
              <w:pStyle w:val="TableFigText"/>
              <w:jc w:val="right"/>
            </w:pPr>
            <w:r w:rsidRPr="00271376">
              <w:t>n/a</w:t>
            </w:r>
          </w:p>
        </w:tc>
        <w:tc>
          <w:tcPr>
            <w:tcW w:w="1380" w:type="dxa"/>
            <w:vAlign w:val="center"/>
          </w:tcPr>
          <w:p w:rsidR="005E406B" w:rsidRPr="00271376" w:rsidRDefault="005E406B" w:rsidP="003D2B2B">
            <w:pPr>
              <w:pStyle w:val="TableFigText"/>
              <w:jc w:val="right"/>
            </w:pPr>
            <w:r w:rsidRPr="00271376">
              <w:t>n/a</w:t>
            </w:r>
          </w:p>
        </w:tc>
        <w:tc>
          <w:tcPr>
            <w:tcW w:w="1251" w:type="dxa"/>
            <w:vAlign w:val="bottom"/>
          </w:tcPr>
          <w:p w:rsidR="005E406B" w:rsidRDefault="005E406B" w:rsidP="003D2B2B">
            <w:pPr>
              <w:pStyle w:val="TableFigText"/>
              <w:jc w:val="right"/>
              <w:rPr>
                <w:rFonts w:ascii="Calibri" w:hAnsi="Calibri"/>
                <w:color w:val="000000"/>
              </w:rPr>
            </w:pPr>
            <w:r>
              <w:rPr>
                <w:rFonts w:ascii="Calibri" w:hAnsi="Calibri"/>
                <w:color w:val="000000"/>
              </w:rPr>
              <w:t>82.40</w:t>
            </w:r>
          </w:p>
        </w:tc>
        <w:tc>
          <w:tcPr>
            <w:tcW w:w="1047" w:type="dxa"/>
            <w:vAlign w:val="bottom"/>
          </w:tcPr>
          <w:p w:rsidR="005E406B" w:rsidRDefault="005E406B" w:rsidP="003D2B2B">
            <w:pPr>
              <w:pStyle w:val="TableFigText"/>
              <w:jc w:val="right"/>
              <w:rPr>
                <w:rFonts w:ascii="Calibri" w:hAnsi="Calibri"/>
                <w:color w:val="000000"/>
              </w:rPr>
            </w:pPr>
            <w:r>
              <w:rPr>
                <w:rFonts w:ascii="Calibri" w:hAnsi="Calibri"/>
                <w:color w:val="000000"/>
              </w:rPr>
              <w:t>110.17</w:t>
            </w:r>
          </w:p>
        </w:tc>
        <w:tc>
          <w:tcPr>
            <w:tcW w:w="1094" w:type="dxa"/>
            <w:vAlign w:val="bottom"/>
          </w:tcPr>
          <w:p w:rsidR="005E406B" w:rsidRDefault="005E406B" w:rsidP="003D2B2B">
            <w:pPr>
              <w:pStyle w:val="TableFigText"/>
              <w:jc w:val="right"/>
              <w:rPr>
                <w:rFonts w:ascii="Calibri" w:hAnsi="Calibri"/>
                <w:color w:val="000000"/>
              </w:rPr>
            </w:pPr>
            <w:r>
              <w:rPr>
                <w:rFonts w:ascii="Calibri" w:hAnsi="Calibri"/>
                <w:color w:val="000000"/>
              </w:rPr>
              <w:t>0</w:t>
            </w:r>
          </w:p>
        </w:tc>
        <w:tc>
          <w:tcPr>
            <w:tcW w:w="1086" w:type="dxa"/>
            <w:vAlign w:val="bottom"/>
          </w:tcPr>
          <w:p w:rsidR="005E406B" w:rsidRDefault="005E406B" w:rsidP="003D2B2B">
            <w:pPr>
              <w:pStyle w:val="TableFigText"/>
              <w:jc w:val="right"/>
              <w:rPr>
                <w:rFonts w:ascii="Calibri" w:hAnsi="Calibri"/>
                <w:color w:val="000000"/>
              </w:rPr>
            </w:pPr>
            <w:r>
              <w:rPr>
                <w:rFonts w:ascii="Calibri" w:hAnsi="Calibri"/>
                <w:color w:val="000000"/>
              </w:rPr>
              <w:t>69.20</w:t>
            </w:r>
          </w:p>
        </w:tc>
      </w:tr>
      <w:tr w:rsidR="005E406B" w:rsidRPr="008B7E34" w:rsidTr="001B1E83">
        <w:tc>
          <w:tcPr>
            <w:tcW w:w="2381" w:type="dxa"/>
          </w:tcPr>
          <w:p w:rsidR="005E406B" w:rsidRPr="008B7E34" w:rsidRDefault="005E406B" w:rsidP="001B1E83">
            <w:pPr>
              <w:pStyle w:val="TableFigText"/>
              <w:rPr>
                <w:rFonts w:asciiTheme="minorHAnsi" w:hAnsiTheme="minorHAnsi" w:cstheme="minorHAnsi"/>
                <w:szCs w:val="22"/>
              </w:rPr>
            </w:pPr>
            <w:r w:rsidRPr="008B7E34">
              <w:rPr>
                <w:rFonts w:asciiTheme="minorHAnsi" w:hAnsiTheme="minorHAnsi" w:cstheme="minorHAnsi"/>
                <w:szCs w:val="22"/>
              </w:rPr>
              <w:t>Community mental health services</w:t>
            </w:r>
          </w:p>
        </w:tc>
        <w:tc>
          <w:tcPr>
            <w:tcW w:w="1047" w:type="dxa"/>
            <w:vAlign w:val="center"/>
          </w:tcPr>
          <w:p w:rsidR="005E406B" w:rsidRPr="00271376" w:rsidRDefault="005E406B" w:rsidP="003D2B2B">
            <w:pPr>
              <w:pStyle w:val="TableFigText"/>
              <w:jc w:val="right"/>
            </w:pPr>
            <w:r w:rsidRPr="00271376">
              <w:t>n/a</w:t>
            </w:r>
          </w:p>
        </w:tc>
        <w:tc>
          <w:tcPr>
            <w:tcW w:w="1380" w:type="dxa"/>
            <w:vAlign w:val="center"/>
          </w:tcPr>
          <w:p w:rsidR="005E406B" w:rsidRPr="00271376" w:rsidRDefault="005E406B" w:rsidP="003D2B2B">
            <w:pPr>
              <w:pStyle w:val="TableFigText"/>
              <w:jc w:val="right"/>
            </w:pPr>
            <w:r w:rsidRPr="00271376">
              <w:t>n/a</w:t>
            </w:r>
          </w:p>
        </w:tc>
        <w:tc>
          <w:tcPr>
            <w:tcW w:w="1251" w:type="dxa"/>
            <w:vAlign w:val="bottom"/>
          </w:tcPr>
          <w:p w:rsidR="005E406B" w:rsidRDefault="005E406B" w:rsidP="003D2B2B">
            <w:pPr>
              <w:pStyle w:val="TableFigText"/>
              <w:jc w:val="right"/>
              <w:rPr>
                <w:rFonts w:ascii="Calibri" w:hAnsi="Calibri"/>
                <w:color w:val="000000"/>
              </w:rPr>
            </w:pPr>
            <w:r>
              <w:rPr>
                <w:rFonts w:ascii="Calibri" w:hAnsi="Calibri"/>
                <w:color w:val="000000"/>
              </w:rPr>
              <w:t>99.12</w:t>
            </w:r>
          </w:p>
        </w:tc>
        <w:tc>
          <w:tcPr>
            <w:tcW w:w="1047" w:type="dxa"/>
            <w:vAlign w:val="bottom"/>
          </w:tcPr>
          <w:p w:rsidR="005E406B" w:rsidRDefault="005E406B" w:rsidP="003D2B2B">
            <w:pPr>
              <w:pStyle w:val="TableFigText"/>
              <w:jc w:val="right"/>
              <w:rPr>
                <w:rFonts w:ascii="Calibri" w:hAnsi="Calibri"/>
                <w:color w:val="000000"/>
              </w:rPr>
            </w:pPr>
            <w:r>
              <w:rPr>
                <w:rFonts w:ascii="Calibri" w:hAnsi="Calibri"/>
                <w:color w:val="000000"/>
              </w:rPr>
              <w:t>168.04</w:t>
            </w:r>
          </w:p>
        </w:tc>
        <w:tc>
          <w:tcPr>
            <w:tcW w:w="1094" w:type="dxa"/>
            <w:vAlign w:val="bottom"/>
          </w:tcPr>
          <w:p w:rsidR="005E406B" w:rsidRDefault="005E406B" w:rsidP="003D2B2B">
            <w:pPr>
              <w:pStyle w:val="TableFigText"/>
              <w:jc w:val="right"/>
              <w:rPr>
                <w:rFonts w:ascii="Calibri" w:hAnsi="Calibri"/>
                <w:color w:val="000000"/>
              </w:rPr>
            </w:pPr>
            <w:r>
              <w:rPr>
                <w:rFonts w:ascii="Calibri" w:hAnsi="Calibri"/>
                <w:color w:val="000000"/>
              </w:rPr>
              <w:t>43.12</w:t>
            </w:r>
          </w:p>
        </w:tc>
        <w:tc>
          <w:tcPr>
            <w:tcW w:w="1086" w:type="dxa"/>
            <w:vAlign w:val="bottom"/>
          </w:tcPr>
          <w:p w:rsidR="005E406B" w:rsidRDefault="005E406B" w:rsidP="003D2B2B">
            <w:pPr>
              <w:pStyle w:val="TableFigText"/>
              <w:jc w:val="right"/>
              <w:rPr>
                <w:rFonts w:ascii="Calibri" w:hAnsi="Calibri"/>
                <w:color w:val="000000"/>
              </w:rPr>
            </w:pPr>
            <w:r>
              <w:rPr>
                <w:rFonts w:ascii="Calibri" w:hAnsi="Calibri"/>
                <w:color w:val="000000"/>
              </w:rPr>
              <w:t>100.68</w:t>
            </w:r>
          </w:p>
        </w:tc>
      </w:tr>
      <w:tr w:rsidR="005E406B" w:rsidRPr="008B7E34" w:rsidTr="001B1E83">
        <w:tc>
          <w:tcPr>
            <w:tcW w:w="2381" w:type="dxa"/>
          </w:tcPr>
          <w:p w:rsidR="005E406B" w:rsidRPr="008B7E34" w:rsidRDefault="005E406B" w:rsidP="001B1E83">
            <w:pPr>
              <w:pStyle w:val="TableFigText"/>
              <w:rPr>
                <w:rFonts w:asciiTheme="minorHAnsi" w:hAnsiTheme="minorHAnsi" w:cstheme="minorHAnsi"/>
                <w:szCs w:val="22"/>
              </w:rPr>
            </w:pPr>
            <w:r w:rsidRPr="008B7E34">
              <w:rPr>
                <w:rFonts w:asciiTheme="minorHAnsi" w:hAnsiTheme="minorHAnsi" w:cstheme="minorHAnsi"/>
                <w:szCs w:val="22"/>
              </w:rPr>
              <w:t>Residential mental health services</w:t>
            </w:r>
            <w:r w:rsidRPr="008B7E34">
              <w:rPr>
                <w:rFonts w:asciiTheme="minorHAnsi" w:hAnsiTheme="minorHAnsi" w:cstheme="minorHAnsi"/>
                <w:szCs w:val="22"/>
                <w:vertAlign w:val="superscript"/>
              </w:rPr>
              <w:t>(</w:t>
            </w:r>
            <w:r>
              <w:rPr>
                <w:rFonts w:asciiTheme="minorHAnsi" w:hAnsiTheme="minorHAnsi" w:cstheme="minorHAnsi"/>
                <w:szCs w:val="22"/>
                <w:vertAlign w:val="superscript"/>
              </w:rPr>
              <w:t>f</w:t>
            </w:r>
            <w:r w:rsidRPr="008B7E34">
              <w:rPr>
                <w:rFonts w:asciiTheme="minorHAnsi" w:hAnsiTheme="minorHAnsi" w:cstheme="minorHAnsi"/>
                <w:szCs w:val="22"/>
                <w:vertAlign w:val="superscript"/>
              </w:rPr>
              <w:t>)</w:t>
            </w:r>
          </w:p>
        </w:tc>
        <w:tc>
          <w:tcPr>
            <w:tcW w:w="1047" w:type="dxa"/>
            <w:vAlign w:val="center"/>
          </w:tcPr>
          <w:p w:rsidR="005E406B" w:rsidRPr="00271376" w:rsidRDefault="005E406B" w:rsidP="003D2B2B">
            <w:pPr>
              <w:pStyle w:val="TableFigText"/>
              <w:jc w:val="right"/>
            </w:pPr>
            <w:r w:rsidRPr="00271376">
              <w:t>n/a</w:t>
            </w:r>
          </w:p>
        </w:tc>
        <w:tc>
          <w:tcPr>
            <w:tcW w:w="1380" w:type="dxa"/>
            <w:vAlign w:val="center"/>
          </w:tcPr>
          <w:p w:rsidR="005E406B" w:rsidRPr="00271376" w:rsidRDefault="005E406B" w:rsidP="003D2B2B">
            <w:pPr>
              <w:pStyle w:val="TableFigText"/>
              <w:jc w:val="right"/>
            </w:pPr>
            <w:r w:rsidRPr="00271376">
              <w:t>n/a</w:t>
            </w:r>
          </w:p>
        </w:tc>
        <w:tc>
          <w:tcPr>
            <w:tcW w:w="1251" w:type="dxa"/>
            <w:vAlign w:val="bottom"/>
          </w:tcPr>
          <w:p w:rsidR="005E406B" w:rsidRDefault="005E406B" w:rsidP="003D2B2B">
            <w:pPr>
              <w:pStyle w:val="TableFigText"/>
              <w:jc w:val="right"/>
              <w:rPr>
                <w:rFonts w:ascii="Calibri" w:hAnsi="Calibri"/>
                <w:color w:val="000000"/>
              </w:rPr>
            </w:pPr>
            <w:r>
              <w:rPr>
                <w:rFonts w:ascii="Calibri" w:hAnsi="Calibri"/>
                <w:color w:val="000000"/>
              </w:rPr>
              <w:t>11.51</w:t>
            </w:r>
          </w:p>
        </w:tc>
        <w:tc>
          <w:tcPr>
            <w:tcW w:w="1047" w:type="dxa"/>
            <w:vAlign w:val="bottom"/>
          </w:tcPr>
          <w:p w:rsidR="005E406B" w:rsidRDefault="005E406B" w:rsidP="003D2B2B">
            <w:pPr>
              <w:pStyle w:val="TableFigText"/>
              <w:jc w:val="right"/>
              <w:rPr>
                <w:rFonts w:ascii="Calibri" w:hAnsi="Calibri"/>
                <w:color w:val="000000"/>
              </w:rPr>
            </w:pPr>
            <w:r>
              <w:rPr>
                <w:rFonts w:ascii="Calibri" w:hAnsi="Calibri"/>
                <w:color w:val="000000"/>
              </w:rPr>
              <w:t>0</w:t>
            </w:r>
          </w:p>
        </w:tc>
        <w:tc>
          <w:tcPr>
            <w:tcW w:w="1094" w:type="dxa"/>
            <w:vAlign w:val="bottom"/>
          </w:tcPr>
          <w:p w:rsidR="005E406B" w:rsidRDefault="005E406B" w:rsidP="003D2B2B">
            <w:pPr>
              <w:pStyle w:val="TableFigText"/>
              <w:jc w:val="right"/>
              <w:rPr>
                <w:rFonts w:ascii="Calibri" w:hAnsi="Calibri"/>
                <w:color w:val="000000"/>
              </w:rPr>
            </w:pPr>
            <w:r>
              <w:rPr>
                <w:rFonts w:ascii="Calibri" w:hAnsi="Calibri"/>
                <w:color w:val="000000"/>
              </w:rPr>
              <w:t>0</w:t>
            </w:r>
          </w:p>
        </w:tc>
        <w:tc>
          <w:tcPr>
            <w:tcW w:w="1086" w:type="dxa"/>
            <w:vAlign w:val="bottom"/>
          </w:tcPr>
          <w:p w:rsidR="005E406B" w:rsidRDefault="005E406B" w:rsidP="003D2B2B">
            <w:pPr>
              <w:pStyle w:val="TableFigText"/>
              <w:jc w:val="right"/>
              <w:rPr>
                <w:rFonts w:ascii="Calibri" w:hAnsi="Calibri"/>
                <w:color w:val="000000"/>
              </w:rPr>
            </w:pPr>
            <w:r>
              <w:rPr>
                <w:rFonts w:ascii="Calibri" w:hAnsi="Calibri"/>
                <w:color w:val="000000"/>
              </w:rPr>
              <w:t>6.43</w:t>
            </w:r>
          </w:p>
        </w:tc>
      </w:tr>
      <w:tr w:rsidR="005E406B" w:rsidRPr="008B7E34" w:rsidTr="001B1E83">
        <w:tc>
          <w:tcPr>
            <w:tcW w:w="2381" w:type="dxa"/>
          </w:tcPr>
          <w:p w:rsidR="005E406B" w:rsidRPr="003D2B2B" w:rsidRDefault="005E406B" w:rsidP="001B1E83">
            <w:pPr>
              <w:pStyle w:val="TableFigText"/>
              <w:rPr>
                <w:rFonts w:asciiTheme="minorHAnsi" w:hAnsiTheme="minorHAnsi" w:cstheme="minorHAnsi"/>
                <w:b/>
                <w:szCs w:val="22"/>
              </w:rPr>
            </w:pPr>
            <w:r w:rsidRPr="003D2B2B">
              <w:rPr>
                <w:rFonts w:asciiTheme="minorHAnsi" w:hAnsiTheme="minorHAnsi" w:cstheme="minorHAnsi"/>
                <w:b/>
                <w:szCs w:val="22"/>
              </w:rPr>
              <w:t>All mental health service types</w:t>
            </w:r>
            <w:r w:rsidRPr="003D2B2B">
              <w:rPr>
                <w:rFonts w:asciiTheme="minorHAnsi" w:hAnsiTheme="minorHAnsi" w:cstheme="minorHAnsi"/>
                <w:b/>
                <w:szCs w:val="22"/>
                <w:vertAlign w:val="superscript"/>
              </w:rPr>
              <w:t>(g)</w:t>
            </w:r>
          </w:p>
        </w:tc>
        <w:tc>
          <w:tcPr>
            <w:tcW w:w="1047" w:type="dxa"/>
            <w:vAlign w:val="center"/>
          </w:tcPr>
          <w:p w:rsidR="005E406B" w:rsidRPr="003D2B2B" w:rsidRDefault="005E406B" w:rsidP="003D2B2B">
            <w:pPr>
              <w:pStyle w:val="TableFigText"/>
              <w:jc w:val="right"/>
              <w:rPr>
                <w:b/>
              </w:rPr>
            </w:pPr>
            <w:r w:rsidRPr="003D2B2B">
              <w:rPr>
                <w:b/>
              </w:rPr>
              <w:t>n/a</w:t>
            </w:r>
          </w:p>
        </w:tc>
        <w:tc>
          <w:tcPr>
            <w:tcW w:w="1380" w:type="dxa"/>
            <w:vAlign w:val="center"/>
          </w:tcPr>
          <w:p w:rsidR="005E406B" w:rsidRPr="003D2B2B" w:rsidRDefault="005E406B" w:rsidP="003D2B2B">
            <w:pPr>
              <w:pStyle w:val="TableFigText"/>
              <w:jc w:val="right"/>
              <w:rPr>
                <w:b/>
              </w:rPr>
            </w:pPr>
            <w:r w:rsidRPr="003D2B2B">
              <w:rPr>
                <w:b/>
              </w:rPr>
              <w:t>n/a</w:t>
            </w:r>
          </w:p>
        </w:tc>
        <w:tc>
          <w:tcPr>
            <w:tcW w:w="1251" w:type="dxa"/>
            <w:vAlign w:val="bottom"/>
          </w:tcPr>
          <w:p w:rsidR="005E406B" w:rsidRPr="003D2B2B" w:rsidRDefault="005E406B" w:rsidP="003D2B2B">
            <w:pPr>
              <w:pStyle w:val="TableFigText"/>
              <w:jc w:val="right"/>
              <w:rPr>
                <w:rFonts w:ascii="Calibri" w:hAnsi="Calibri"/>
                <w:b/>
                <w:color w:val="000000"/>
              </w:rPr>
            </w:pPr>
            <w:r w:rsidRPr="003D2B2B">
              <w:rPr>
                <w:rFonts w:ascii="Calibri" w:hAnsi="Calibri"/>
                <w:b/>
                <w:color w:val="000000"/>
              </w:rPr>
              <w:t>193.03</w:t>
            </w:r>
          </w:p>
        </w:tc>
        <w:tc>
          <w:tcPr>
            <w:tcW w:w="1047" w:type="dxa"/>
            <w:vAlign w:val="bottom"/>
          </w:tcPr>
          <w:p w:rsidR="005E406B" w:rsidRPr="003D2B2B" w:rsidRDefault="005E406B" w:rsidP="003D2B2B">
            <w:pPr>
              <w:pStyle w:val="TableFigText"/>
              <w:jc w:val="right"/>
              <w:rPr>
                <w:rFonts w:ascii="Calibri" w:hAnsi="Calibri"/>
                <w:b/>
                <w:color w:val="000000"/>
              </w:rPr>
            </w:pPr>
            <w:r w:rsidRPr="003D2B2B">
              <w:rPr>
                <w:rFonts w:ascii="Calibri" w:hAnsi="Calibri"/>
                <w:b/>
                <w:color w:val="000000"/>
              </w:rPr>
              <w:t>278.22</w:t>
            </w:r>
          </w:p>
        </w:tc>
        <w:tc>
          <w:tcPr>
            <w:tcW w:w="1094" w:type="dxa"/>
            <w:vAlign w:val="bottom"/>
          </w:tcPr>
          <w:p w:rsidR="005E406B" w:rsidRPr="003D2B2B" w:rsidRDefault="005E406B" w:rsidP="003D2B2B">
            <w:pPr>
              <w:pStyle w:val="TableFigText"/>
              <w:jc w:val="right"/>
              <w:rPr>
                <w:rFonts w:ascii="Calibri" w:hAnsi="Calibri"/>
                <w:b/>
                <w:color w:val="000000"/>
              </w:rPr>
            </w:pPr>
            <w:r w:rsidRPr="003D2B2B">
              <w:rPr>
                <w:rFonts w:ascii="Calibri" w:hAnsi="Calibri"/>
                <w:b/>
                <w:color w:val="000000"/>
              </w:rPr>
              <w:t>43.12</w:t>
            </w:r>
          </w:p>
        </w:tc>
        <w:tc>
          <w:tcPr>
            <w:tcW w:w="1086" w:type="dxa"/>
            <w:vAlign w:val="bottom"/>
          </w:tcPr>
          <w:p w:rsidR="005E406B" w:rsidRPr="003D2B2B" w:rsidRDefault="005E406B" w:rsidP="003D2B2B">
            <w:pPr>
              <w:pStyle w:val="TableFigText"/>
              <w:jc w:val="right"/>
              <w:rPr>
                <w:rFonts w:ascii="Calibri" w:hAnsi="Calibri"/>
                <w:b/>
                <w:color w:val="000000"/>
              </w:rPr>
            </w:pPr>
            <w:r w:rsidRPr="003D2B2B">
              <w:rPr>
                <w:rFonts w:ascii="Calibri" w:hAnsi="Calibri"/>
                <w:b/>
                <w:color w:val="000000"/>
              </w:rPr>
              <w:t>176.30</w:t>
            </w:r>
          </w:p>
        </w:tc>
      </w:tr>
    </w:tbl>
    <w:p w:rsidR="005E406B" w:rsidRPr="007253FD" w:rsidRDefault="005E406B" w:rsidP="005E406B">
      <w:pPr>
        <w:pStyle w:val="TableFigNotesnumbered"/>
        <w:rPr>
          <w:rStyle w:val="table-note"/>
        </w:rPr>
      </w:pPr>
      <w:proofErr w:type="gramStart"/>
      <w:r w:rsidRPr="007253FD">
        <w:rPr>
          <w:rStyle w:val="table-note"/>
        </w:rPr>
        <w:t>n/a</w:t>
      </w:r>
      <w:proofErr w:type="gramEnd"/>
      <w:r w:rsidRPr="007253FD">
        <w:rPr>
          <w:rStyle w:val="table-note"/>
        </w:rPr>
        <w:t xml:space="preserve"> </w:t>
      </w:r>
      <w:r w:rsidRPr="007253FD">
        <w:rPr>
          <w:rStyle w:val="table-note"/>
        </w:rPr>
        <w:tab/>
        <w:t>Not applicable.</w:t>
      </w:r>
    </w:p>
    <w:p w:rsidR="005E406B" w:rsidRPr="007253FD" w:rsidRDefault="005E406B" w:rsidP="00540186">
      <w:pPr>
        <w:pStyle w:val="TableFigNotesnumbered"/>
        <w:numPr>
          <w:ilvl w:val="0"/>
          <w:numId w:val="48"/>
        </w:numPr>
        <w:rPr>
          <w:rStyle w:val="table-note"/>
        </w:rPr>
      </w:pPr>
      <w:r w:rsidRPr="007253FD">
        <w:rPr>
          <w:rStyle w:val="table-note"/>
        </w:rPr>
        <w:t>Expenditure excludes depreciation.</w:t>
      </w:r>
    </w:p>
    <w:p w:rsidR="005E406B" w:rsidRPr="007253FD" w:rsidRDefault="005E406B" w:rsidP="00540186">
      <w:pPr>
        <w:pStyle w:val="TableFigNotesnumbered"/>
        <w:numPr>
          <w:ilvl w:val="0"/>
          <w:numId w:val="48"/>
        </w:numPr>
        <w:rPr>
          <w:rStyle w:val="table-note"/>
        </w:rPr>
      </w:pPr>
      <w:r w:rsidRPr="007253FD">
        <w:rPr>
          <w:rStyle w:val="table-note"/>
        </w:rPr>
        <w:t xml:space="preserve">Expenditure excludes grants to non-government organisations and indirect expenditure at the state/territory, region and organisation levels not apportioned to service units. </w:t>
      </w:r>
    </w:p>
    <w:p w:rsidR="005E406B" w:rsidRPr="007253FD" w:rsidRDefault="005E406B" w:rsidP="00540186">
      <w:pPr>
        <w:pStyle w:val="TableFigNotesnumbered"/>
        <w:numPr>
          <w:ilvl w:val="0"/>
          <w:numId w:val="48"/>
        </w:numPr>
        <w:rPr>
          <w:rStyle w:val="table-note"/>
        </w:rPr>
      </w:pPr>
      <w:r w:rsidRPr="007253FD">
        <w:rPr>
          <w:rStyle w:val="table-note"/>
        </w:rPr>
        <w:t>Crude rate is based on the state and territory estimated resident population by remoteness area as at 30 June 2011.</w:t>
      </w:r>
    </w:p>
    <w:p w:rsidR="005E406B" w:rsidRPr="007253FD" w:rsidRDefault="005E406B" w:rsidP="00540186">
      <w:pPr>
        <w:pStyle w:val="TableFigNotesnumbered"/>
        <w:numPr>
          <w:ilvl w:val="0"/>
          <w:numId w:val="48"/>
        </w:numPr>
        <w:rPr>
          <w:rStyle w:val="table-note"/>
        </w:rPr>
      </w:pPr>
      <w:r w:rsidRPr="007253FD">
        <w:rPr>
          <w:rStyle w:val="table-note"/>
        </w:rPr>
        <w:t>Includes public hospital services managed and operated by private and non-government entities.</w:t>
      </w:r>
    </w:p>
    <w:p w:rsidR="005E406B" w:rsidRPr="007253FD" w:rsidRDefault="005E406B" w:rsidP="00540186">
      <w:pPr>
        <w:pStyle w:val="TableFigNotesnumbered"/>
        <w:numPr>
          <w:ilvl w:val="0"/>
          <w:numId w:val="48"/>
        </w:numPr>
        <w:rPr>
          <w:rStyle w:val="table-note"/>
        </w:rPr>
      </w:pPr>
      <w:r w:rsidRPr="007253FD">
        <w:rPr>
          <w:rStyle w:val="table-note"/>
        </w:rPr>
        <w:t>Public psychiatric hospitals and specialised psychiatric units or wards in public acute hospitals include expenditure on admitted patient services only. Public hospitals outpatient departments are included in community mental health care services.</w:t>
      </w:r>
    </w:p>
    <w:p w:rsidR="005E406B" w:rsidRPr="007253FD" w:rsidRDefault="005E406B" w:rsidP="00540186">
      <w:pPr>
        <w:pStyle w:val="TableFigNotesnumbered"/>
        <w:numPr>
          <w:ilvl w:val="0"/>
          <w:numId w:val="48"/>
        </w:numPr>
        <w:rPr>
          <w:rStyle w:val="table-note"/>
        </w:rPr>
      </w:pPr>
      <w:r w:rsidRPr="007253FD">
        <w:rPr>
          <w:rStyle w:val="table-note"/>
        </w:rPr>
        <w:t>Residential mental health services include the total operating costs for partially or wholly government funded non-government-operated residential mental health services.</w:t>
      </w:r>
      <w:r w:rsidRPr="007253FD">
        <w:rPr>
          <w:rStyle w:val="table-note"/>
        </w:rPr>
        <w:tab/>
      </w:r>
    </w:p>
    <w:p w:rsidR="005E406B" w:rsidRPr="007253FD" w:rsidRDefault="005E406B" w:rsidP="00540186">
      <w:pPr>
        <w:pStyle w:val="TableFigNotesnumbered"/>
        <w:numPr>
          <w:ilvl w:val="0"/>
          <w:numId w:val="48"/>
        </w:numPr>
        <w:rPr>
          <w:rStyle w:val="table-note"/>
        </w:rPr>
      </w:pPr>
      <w:r w:rsidRPr="007253FD">
        <w:rPr>
          <w:rStyle w:val="table-note"/>
        </w:rPr>
        <w:t>Totals may not add due to rounding.</w:t>
      </w:r>
    </w:p>
    <w:p w:rsidR="007253FD" w:rsidRDefault="005E406B" w:rsidP="005E406B">
      <w:pPr>
        <w:pStyle w:val="TableFigNotesnumbered"/>
        <w:ind w:left="0" w:firstLine="0"/>
        <w:rPr>
          <w:rStyle w:val="table-note"/>
        </w:rPr>
      </w:pPr>
      <w:r w:rsidRPr="007253FD">
        <w:rPr>
          <w:rStyle w:val="table-note"/>
        </w:rPr>
        <w:t xml:space="preserve">Note: </w:t>
      </w:r>
    </w:p>
    <w:p w:rsidR="005E406B" w:rsidRPr="007253FD" w:rsidRDefault="005E406B" w:rsidP="007253FD">
      <w:pPr>
        <w:pStyle w:val="TableFigNotesnumbered"/>
        <w:numPr>
          <w:ilvl w:val="0"/>
          <w:numId w:val="103"/>
        </w:numPr>
        <w:rPr>
          <w:rStyle w:val="table-note"/>
        </w:rPr>
      </w:pPr>
      <w:r w:rsidRPr="007253FD">
        <w:rPr>
          <w:rStyle w:val="table-note"/>
        </w:rPr>
        <w:t xml:space="preserve">The Northern Territory </w:t>
      </w:r>
      <w:proofErr w:type="gramStart"/>
      <w:r w:rsidRPr="007253FD">
        <w:rPr>
          <w:rStyle w:val="table-note"/>
        </w:rPr>
        <w:t>do</w:t>
      </w:r>
      <w:proofErr w:type="gramEnd"/>
      <w:r w:rsidRPr="007253FD">
        <w:rPr>
          <w:rStyle w:val="table-note"/>
        </w:rPr>
        <w:t xml:space="preserve"> not have public psychiatric hospitals as defined in the MHE NMDS. </w:t>
      </w:r>
    </w:p>
    <w:p w:rsidR="00E17C0A" w:rsidRDefault="00E17C0A" w:rsidP="00E17C0A">
      <w:pPr>
        <w:pStyle w:val="TableCaption"/>
        <w:rPr>
          <w:rFonts w:asciiTheme="minorHAnsi" w:hAnsiTheme="minorHAnsi" w:cstheme="minorHAnsi"/>
        </w:rPr>
      </w:pPr>
    </w:p>
    <w:p w:rsidR="005E406B" w:rsidRDefault="005E406B">
      <w:pPr>
        <w:spacing w:before="0" w:after="0" w:line="240" w:lineRule="auto"/>
        <w:rPr>
          <w:rFonts w:asciiTheme="minorHAnsi" w:hAnsiTheme="minorHAnsi" w:cstheme="minorHAnsi"/>
          <w:b/>
          <w:sz w:val="20"/>
          <w:szCs w:val="20"/>
          <w:lang w:eastAsia="en-US"/>
        </w:rPr>
      </w:pPr>
      <w:r>
        <w:rPr>
          <w:rFonts w:asciiTheme="minorHAnsi" w:hAnsiTheme="minorHAnsi" w:cstheme="minorHAnsi"/>
        </w:rPr>
        <w:br w:type="page"/>
      </w:r>
    </w:p>
    <w:p w:rsidR="00E17C0A" w:rsidRPr="008A3F74" w:rsidRDefault="008A3F74" w:rsidP="00E17C0A">
      <w:pPr>
        <w:pStyle w:val="TableCaption"/>
        <w:rPr>
          <w:rStyle w:val="table-note"/>
        </w:rPr>
      </w:pPr>
      <w:r w:rsidRPr="008A3F74">
        <w:rPr>
          <w:rStyle w:val="table-note"/>
        </w:rPr>
        <w:lastRenderedPageBreak/>
        <w:t xml:space="preserve">Table 66: </w:t>
      </w:r>
      <w:r w:rsidR="00E17C0A" w:rsidRPr="008A3F74">
        <w:rPr>
          <w:rStyle w:val="table-note"/>
        </w:rPr>
        <w:t xml:space="preserve">NT: Number of specialised mental health beds, by service type, 2007–08 </w:t>
      </w:r>
    </w:p>
    <w:tbl>
      <w:tblPr>
        <w:tblStyle w:val="TableGrid"/>
        <w:tblW w:w="0" w:type="auto"/>
        <w:tblInd w:w="108" w:type="dxa"/>
        <w:tblLook w:val="04A0" w:firstRow="1" w:lastRow="0" w:firstColumn="1" w:lastColumn="0" w:noHBand="0" w:noVBand="1"/>
        <w:tblCaption w:val="NT: Number of specialised mental health beds, by service type, 2007–08 "/>
        <w:tblDescription w:val="Table showing that, in 2007-08 outer regional areas in NT had the highest number of all types of specialised mental health beds at 31. The number of beds decreased with remoteness across all specialised mental health beds. Specialised psychiatric units or wards in public acute hospitals had the highest number of beds at 34 across all region types. The major cities and inner regional categories were not applicable."/>
      </w:tblPr>
      <w:tblGrid>
        <w:gridCol w:w="2299"/>
        <w:gridCol w:w="1058"/>
        <w:gridCol w:w="1397"/>
        <w:gridCol w:w="1265"/>
        <w:gridCol w:w="1056"/>
        <w:gridCol w:w="1104"/>
        <w:gridCol w:w="999"/>
      </w:tblGrid>
      <w:tr w:rsidR="00E17C0A" w:rsidRPr="00EF5802" w:rsidTr="000C3DEA">
        <w:trPr>
          <w:tblHeader/>
        </w:trPr>
        <w:tc>
          <w:tcPr>
            <w:tcW w:w="2396" w:type="dxa"/>
          </w:tcPr>
          <w:p w:rsidR="00E17C0A" w:rsidRPr="00EF5802" w:rsidRDefault="00E17C0A" w:rsidP="005B2C04">
            <w:pPr>
              <w:pStyle w:val="TableFigText"/>
              <w:keepNext/>
              <w:rPr>
                <w:rFonts w:asciiTheme="minorHAnsi" w:hAnsiTheme="minorHAnsi" w:cstheme="minorHAnsi"/>
                <w:szCs w:val="22"/>
              </w:rPr>
            </w:pPr>
          </w:p>
        </w:tc>
        <w:tc>
          <w:tcPr>
            <w:tcW w:w="1089"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Major cities</w:t>
            </w:r>
          </w:p>
        </w:tc>
        <w:tc>
          <w:tcPr>
            <w:tcW w:w="1442"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Inner regional</w:t>
            </w:r>
          </w:p>
        </w:tc>
        <w:tc>
          <w:tcPr>
            <w:tcW w:w="1301"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Outer regional</w:t>
            </w:r>
          </w:p>
        </w:tc>
        <w:tc>
          <w:tcPr>
            <w:tcW w:w="1078"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Remote</w:t>
            </w:r>
          </w:p>
        </w:tc>
        <w:tc>
          <w:tcPr>
            <w:tcW w:w="1132"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Very remote</w:t>
            </w:r>
          </w:p>
        </w:tc>
        <w:tc>
          <w:tcPr>
            <w:tcW w:w="1030"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Total</w:t>
            </w:r>
          </w:p>
        </w:tc>
      </w:tr>
      <w:tr w:rsidR="00E17C0A" w:rsidRPr="00EF5802" w:rsidTr="005B2C04">
        <w:tc>
          <w:tcPr>
            <w:tcW w:w="2396" w:type="dxa"/>
          </w:tcPr>
          <w:p w:rsidR="00E17C0A" w:rsidRPr="00EF5802" w:rsidRDefault="00E17C0A" w:rsidP="005B2C04">
            <w:pPr>
              <w:pStyle w:val="TableFigText"/>
              <w:keepNext/>
              <w:rPr>
                <w:rFonts w:asciiTheme="minorHAnsi" w:hAnsiTheme="minorHAnsi" w:cstheme="minorHAnsi"/>
                <w:szCs w:val="22"/>
              </w:rPr>
            </w:pPr>
            <w:r w:rsidRPr="00EF5802">
              <w:rPr>
                <w:rFonts w:asciiTheme="minorHAnsi" w:hAnsiTheme="minorHAnsi" w:cstheme="minorHAnsi"/>
                <w:szCs w:val="22"/>
              </w:rPr>
              <w:t>Specialised psychiatric units or wards in public acute hospitals</w:t>
            </w:r>
          </w:p>
        </w:tc>
        <w:tc>
          <w:tcPr>
            <w:tcW w:w="1089" w:type="dxa"/>
            <w:vAlign w:val="center"/>
          </w:tcPr>
          <w:p w:rsidR="00E17C0A" w:rsidRPr="00271376" w:rsidRDefault="00E17C0A" w:rsidP="00645110">
            <w:pPr>
              <w:pStyle w:val="TableFigText"/>
              <w:jc w:val="right"/>
            </w:pPr>
            <w:r w:rsidRPr="00271376">
              <w:t>n/a</w:t>
            </w:r>
          </w:p>
        </w:tc>
        <w:tc>
          <w:tcPr>
            <w:tcW w:w="1442" w:type="dxa"/>
            <w:vAlign w:val="center"/>
          </w:tcPr>
          <w:p w:rsidR="00E17C0A" w:rsidRPr="00271376" w:rsidRDefault="00E17C0A" w:rsidP="00645110">
            <w:pPr>
              <w:pStyle w:val="TableFigText"/>
              <w:jc w:val="right"/>
            </w:pPr>
            <w:r w:rsidRPr="00271376">
              <w:t>n/a</w:t>
            </w:r>
          </w:p>
        </w:tc>
        <w:tc>
          <w:tcPr>
            <w:tcW w:w="1301" w:type="dxa"/>
            <w:vAlign w:val="center"/>
          </w:tcPr>
          <w:p w:rsidR="00E17C0A" w:rsidRPr="00271376" w:rsidRDefault="00E17C0A" w:rsidP="00645110">
            <w:pPr>
              <w:pStyle w:val="TableFigText"/>
              <w:jc w:val="right"/>
            </w:pPr>
            <w:r w:rsidRPr="00271376">
              <w:t>26</w:t>
            </w:r>
          </w:p>
        </w:tc>
        <w:tc>
          <w:tcPr>
            <w:tcW w:w="1078" w:type="dxa"/>
            <w:vAlign w:val="center"/>
          </w:tcPr>
          <w:p w:rsidR="00E17C0A" w:rsidRPr="00271376" w:rsidRDefault="00E17C0A" w:rsidP="00645110">
            <w:pPr>
              <w:pStyle w:val="TableFigText"/>
              <w:jc w:val="right"/>
            </w:pPr>
            <w:r w:rsidRPr="00271376">
              <w:t>8</w:t>
            </w:r>
          </w:p>
        </w:tc>
        <w:tc>
          <w:tcPr>
            <w:tcW w:w="1132" w:type="dxa"/>
            <w:vAlign w:val="center"/>
          </w:tcPr>
          <w:p w:rsidR="00E17C0A" w:rsidRPr="00271376" w:rsidRDefault="00E17C0A" w:rsidP="00645110">
            <w:pPr>
              <w:pStyle w:val="TableFigText"/>
              <w:jc w:val="right"/>
            </w:pPr>
            <w:r w:rsidRPr="00271376">
              <w:t>0</w:t>
            </w:r>
          </w:p>
        </w:tc>
        <w:tc>
          <w:tcPr>
            <w:tcW w:w="1030" w:type="dxa"/>
            <w:vAlign w:val="center"/>
          </w:tcPr>
          <w:p w:rsidR="00E17C0A" w:rsidRPr="00271376" w:rsidRDefault="00E17C0A" w:rsidP="00645110">
            <w:pPr>
              <w:pStyle w:val="TableFigText"/>
              <w:jc w:val="right"/>
            </w:pPr>
            <w:r w:rsidRPr="00271376">
              <w:t>34</w:t>
            </w:r>
          </w:p>
        </w:tc>
      </w:tr>
      <w:tr w:rsidR="00E17C0A" w:rsidRPr="00EF5802" w:rsidTr="005B2C04">
        <w:tc>
          <w:tcPr>
            <w:tcW w:w="2396" w:type="dxa"/>
          </w:tcPr>
          <w:p w:rsidR="00E17C0A" w:rsidRPr="00EF5802" w:rsidRDefault="00E17C0A" w:rsidP="005B2C04">
            <w:pPr>
              <w:pStyle w:val="TableFigText"/>
              <w:keepNext/>
              <w:rPr>
                <w:rFonts w:asciiTheme="minorHAnsi" w:hAnsiTheme="minorHAnsi" w:cstheme="minorHAnsi"/>
                <w:szCs w:val="22"/>
              </w:rPr>
            </w:pPr>
            <w:r w:rsidRPr="00EF5802">
              <w:rPr>
                <w:rFonts w:asciiTheme="minorHAnsi" w:hAnsiTheme="minorHAnsi" w:cstheme="minorHAnsi"/>
                <w:szCs w:val="22"/>
              </w:rPr>
              <w:t>Public psychiatric hospital services</w:t>
            </w:r>
          </w:p>
        </w:tc>
        <w:tc>
          <w:tcPr>
            <w:tcW w:w="1089" w:type="dxa"/>
            <w:vAlign w:val="center"/>
          </w:tcPr>
          <w:p w:rsidR="00E17C0A" w:rsidRPr="00271376" w:rsidRDefault="00E17C0A" w:rsidP="00645110">
            <w:pPr>
              <w:pStyle w:val="TableFigText"/>
              <w:jc w:val="right"/>
            </w:pPr>
            <w:r w:rsidRPr="00271376">
              <w:t>n/a</w:t>
            </w:r>
          </w:p>
        </w:tc>
        <w:tc>
          <w:tcPr>
            <w:tcW w:w="1442" w:type="dxa"/>
            <w:vAlign w:val="center"/>
          </w:tcPr>
          <w:p w:rsidR="00E17C0A" w:rsidRPr="00271376" w:rsidRDefault="00E17C0A" w:rsidP="00645110">
            <w:pPr>
              <w:pStyle w:val="TableFigText"/>
              <w:jc w:val="right"/>
            </w:pPr>
            <w:r w:rsidRPr="00271376">
              <w:t>n/a</w:t>
            </w:r>
          </w:p>
        </w:tc>
        <w:tc>
          <w:tcPr>
            <w:tcW w:w="1301" w:type="dxa"/>
            <w:vAlign w:val="center"/>
          </w:tcPr>
          <w:p w:rsidR="00E17C0A" w:rsidRPr="00271376" w:rsidRDefault="00E17C0A" w:rsidP="00645110">
            <w:pPr>
              <w:pStyle w:val="TableFigText"/>
              <w:jc w:val="right"/>
            </w:pPr>
            <w:r w:rsidRPr="00271376">
              <w:t>0</w:t>
            </w:r>
          </w:p>
        </w:tc>
        <w:tc>
          <w:tcPr>
            <w:tcW w:w="1078" w:type="dxa"/>
            <w:vAlign w:val="center"/>
          </w:tcPr>
          <w:p w:rsidR="00E17C0A" w:rsidRPr="00271376" w:rsidRDefault="00E17C0A" w:rsidP="00645110">
            <w:pPr>
              <w:pStyle w:val="TableFigText"/>
              <w:jc w:val="right"/>
            </w:pPr>
            <w:r w:rsidRPr="00271376">
              <w:t>0</w:t>
            </w:r>
          </w:p>
        </w:tc>
        <w:tc>
          <w:tcPr>
            <w:tcW w:w="1132" w:type="dxa"/>
            <w:vAlign w:val="center"/>
          </w:tcPr>
          <w:p w:rsidR="00E17C0A" w:rsidRPr="00271376" w:rsidRDefault="00E17C0A" w:rsidP="00645110">
            <w:pPr>
              <w:pStyle w:val="TableFigText"/>
              <w:jc w:val="right"/>
            </w:pPr>
            <w:r w:rsidRPr="00271376">
              <w:t>0</w:t>
            </w:r>
          </w:p>
        </w:tc>
        <w:tc>
          <w:tcPr>
            <w:tcW w:w="1030" w:type="dxa"/>
            <w:vAlign w:val="center"/>
          </w:tcPr>
          <w:p w:rsidR="00E17C0A" w:rsidRPr="00271376" w:rsidRDefault="00E17C0A" w:rsidP="00645110">
            <w:pPr>
              <w:pStyle w:val="TableFigText"/>
              <w:jc w:val="right"/>
            </w:pPr>
            <w:r w:rsidRPr="00271376">
              <w:t>0</w:t>
            </w:r>
          </w:p>
        </w:tc>
      </w:tr>
      <w:tr w:rsidR="00E17C0A" w:rsidRPr="00EF5802" w:rsidTr="005B2C04">
        <w:tc>
          <w:tcPr>
            <w:tcW w:w="2396" w:type="dxa"/>
          </w:tcPr>
          <w:p w:rsidR="00E17C0A" w:rsidRPr="00EF5802" w:rsidRDefault="00E17C0A" w:rsidP="005B2C04">
            <w:pPr>
              <w:pStyle w:val="TableFigText"/>
              <w:keepNext/>
              <w:rPr>
                <w:rFonts w:asciiTheme="minorHAnsi" w:hAnsiTheme="minorHAnsi" w:cstheme="minorHAnsi"/>
                <w:szCs w:val="22"/>
              </w:rPr>
            </w:pPr>
            <w:r w:rsidRPr="00EF5802">
              <w:rPr>
                <w:rFonts w:asciiTheme="minorHAnsi" w:hAnsiTheme="minorHAnsi" w:cstheme="minorHAnsi"/>
                <w:szCs w:val="22"/>
              </w:rPr>
              <w:t>Residential mental health care services</w:t>
            </w:r>
          </w:p>
        </w:tc>
        <w:tc>
          <w:tcPr>
            <w:tcW w:w="1089" w:type="dxa"/>
            <w:vAlign w:val="center"/>
          </w:tcPr>
          <w:p w:rsidR="00E17C0A" w:rsidRPr="00271376" w:rsidRDefault="00E17C0A" w:rsidP="00645110">
            <w:pPr>
              <w:pStyle w:val="TableFigText"/>
              <w:jc w:val="right"/>
            </w:pPr>
            <w:r w:rsidRPr="00271376">
              <w:t>n/a</w:t>
            </w:r>
          </w:p>
        </w:tc>
        <w:tc>
          <w:tcPr>
            <w:tcW w:w="1442" w:type="dxa"/>
            <w:vAlign w:val="center"/>
          </w:tcPr>
          <w:p w:rsidR="00E17C0A" w:rsidRPr="00271376" w:rsidRDefault="00E17C0A" w:rsidP="00645110">
            <w:pPr>
              <w:pStyle w:val="TableFigText"/>
              <w:jc w:val="right"/>
            </w:pPr>
            <w:r w:rsidRPr="00271376">
              <w:t>n/a</w:t>
            </w:r>
          </w:p>
        </w:tc>
        <w:tc>
          <w:tcPr>
            <w:tcW w:w="1301" w:type="dxa"/>
            <w:vAlign w:val="center"/>
          </w:tcPr>
          <w:p w:rsidR="00E17C0A" w:rsidRPr="00271376" w:rsidRDefault="00E17C0A" w:rsidP="00645110">
            <w:pPr>
              <w:pStyle w:val="TableFigText"/>
              <w:jc w:val="right"/>
            </w:pPr>
            <w:r w:rsidRPr="00271376">
              <w:t>5</w:t>
            </w:r>
          </w:p>
        </w:tc>
        <w:tc>
          <w:tcPr>
            <w:tcW w:w="1078" w:type="dxa"/>
            <w:vAlign w:val="center"/>
          </w:tcPr>
          <w:p w:rsidR="00E17C0A" w:rsidRPr="00271376" w:rsidRDefault="00E17C0A" w:rsidP="00645110">
            <w:pPr>
              <w:pStyle w:val="TableFigText"/>
              <w:jc w:val="right"/>
            </w:pPr>
            <w:r w:rsidRPr="00271376">
              <w:t>0</w:t>
            </w:r>
          </w:p>
        </w:tc>
        <w:tc>
          <w:tcPr>
            <w:tcW w:w="1132" w:type="dxa"/>
            <w:vAlign w:val="center"/>
          </w:tcPr>
          <w:p w:rsidR="00E17C0A" w:rsidRPr="00271376" w:rsidRDefault="00E17C0A" w:rsidP="00645110">
            <w:pPr>
              <w:pStyle w:val="TableFigText"/>
              <w:jc w:val="right"/>
            </w:pPr>
            <w:r w:rsidRPr="00271376">
              <w:t>0</w:t>
            </w:r>
          </w:p>
        </w:tc>
        <w:tc>
          <w:tcPr>
            <w:tcW w:w="1030" w:type="dxa"/>
            <w:vAlign w:val="center"/>
          </w:tcPr>
          <w:p w:rsidR="00E17C0A" w:rsidRPr="00271376" w:rsidRDefault="00E17C0A" w:rsidP="00645110">
            <w:pPr>
              <w:pStyle w:val="TableFigText"/>
              <w:jc w:val="right"/>
            </w:pPr>
            <w:r w:rsidRPr="00271376">
              <w:t>5</w:t>
            </w:r>
          </w:p>
        </w:tc>
      </w:tr>
      <w:tr w:rsidR="00E17C0A" w:rsidRPr="00EF5802" w:rsidTr="005B2C04">
        <w:tc>
          <w:tcPr>
            <w:tcW w:w="2396" w:type="dxa"/>
          </w:tcPr>
          <w:p w:rsidR="00E17C0A" w:rsidRPr="00645110" w:rsidRDefault="00E17C0A" w:rsidP="005B2C04">
            <w:pPr>
              <w:pStyle w:val="TableFigText"/>
              <w:keepLines w:val="0"/>
              <w:rPr>
                <w:rFonts w:asciiTheme="minorHAnsi" w:hAnsiTheme="minorHAnsi" w:cstheme="minorHAnsi"/>
                <w:b/>
                <w:szCs w:val="22"/>
              </w:rPr>
            </w:pPr>
            <w:r w:rsidRPr="00645110">
              <w:rPr>
                <w:rFonts w:asciiTheme="minorHAnsi" w:hAnsiTheme="minorHAnsi" w:cstheme="minorHAnsi"/>
                <w:b/>
                <w:szCs w:val="22"/>
              </w:rPr>
              <w:t>Total</w:t>
            </w:r>
          </w:p>
        </w:tc>
        <w:tc>
          <w:tcPr>
            <w:tcW w:w="1089" w:type="dxa"/>
            <w:vAlign w:val="center"/>
          </w:tcPr>
          <w:p w:rsidR="00E17C0A" w:rsidRPr="00645110" w:rsidRDefault="00E17C0A" w:rsidP="00645110">
            <w:pPr>
              <w:pStyle w:val="TableFigText"/>
              <w:jc w:val="right"/>
              <w:rPr>
                <w:b/>
              </w:rPr>
            </w:pPr>
            <w:r w:rsidRPr="00645110">
              <w:rPr>
                <w:b/>
              </w:rPr>
              <w:t>n/a</w:t>
            </w:r>
          </w:p>
        </w:tc>
        <w:tc>
          <w:tcPr>
            <w:tcW w:w="1442" w:type="dxa"/>
            <w:vAlign w:val="center"/>
          </w:tcPr>
          <w:p w:rsidR="00E17C0A" w:rsidRPr="00645110" w:rsidRDefault="00E17C0A" w:rsidP="00645110">
            <w:pPr>
              <w:pStyle w:val="TableFigText"/>
              <w:jc w:val="right"/>
              <w:rPr>
                <w:b/>
              </w:rPr>
            </w:pPr>
            <w:r w:rsidRPr="00645110">
              <w:rPr>
                <w:b/>
              </w:rPr>
              <w:t>n/a</w:t>
            </w:r>
          </w:p>
        </w:tc>
        <w:tc>
          <w:tcPr>
            <w:tcW w:w="1301" w:type="dxa"/>
            <w:vAlign w:val="center"/>
          </w:tcPr>
          <w:p w:rsidR="00E17C0A" w:rsidRPr="00645110" w:rsidRDefault="00E17C0A" w:rsidP="00645110">
            <w:pPr>
              <w:pStyle w:val="TableFigText"/>
              <w:jc w:val="right"/>
              <w:rPr>
                <w:b/>
              </w:rPr>
            </w:pPr>
            <w:r w:rsidRPr="00645110">
              <w:rPr>
                <w:b/>
              </w:rPr>
              <w:t>31</w:t>
            </w:r>
          </w:p>
        </w:tc>
        <w:tc>
          <w:tcPr>
            <w:tcW w:w="1078" w:type="dxa"/>
            <w:vAlign w:val="center"/>
          </w:tcPr>
          <w:p w:rsidR="00E17C0A" w:rsidRPr="00645110" w:rsidRDefault="00E17C0A" w:rsidP="00645110">
            <w:pPr>
              <w:pStyle w:val="TableFigText"/>
              <w:jc w:val="right"/>
              <w:rPr>
                <w:b/>
              </w:rPr>
            </w:pPr>
            <w:r w:rsidRPr="00645110">
              <w:rPr>
                <w:b/>
              </w:rPr>
              <w:t>8</w:t>
            </w:r>
          </w:p>
        </w:tc>
        <w:tc>
          <w:tcPr>
            <w:tcW w:w="1132" w:type="dxa"/>
            <w:vAlign w:val="center"/>
          </w:tcPr>
          <w:p w:rsidR="00E17C0A" w:rsidRPr="00645110" w:rsidRDefault="00E17C0A" w:rsidP="00645110">
            <w:pPr>
              <w:pStyle w:val="TableFigText"/>
              <w:jc w:val="right"/>
              <w:rPr>
                <w:b/>
              </w:rPr>
            </w:pPr>
            <w:r w:rsidRPr="00645110">
              <w:rPr>
                <w:b/>
              </w:rPr>
              <w:t>0</w:t>
            </w:r>
          </w:p>
        </w:tc>
        <w:tc>
          <w:tcPr>
            <w:tcW w:w="1030" w:type="dxa"/>
            <w:vAlign w:val="center"/>
          </w:tcPr>
          <w:p w:rsidR="00E17C0A" w:rsidRPr="00645110" w:rsidRDefault="00E17C0A" w:rsidP="00645110">
            <w:pPr>
              <w:pStyle w:val="TableFigText"/>
              <w:jc w:val="right"/>
              <w:rPr>
                <w:b/>
              </w:rPr>
            </w:pPr>
            <w:r w:rsidRPr="00645110">
              <w:rPr>
                <w:b/>
              </w:rPr>
              <w:t>39</w:t>
            </w:r>
          </w:p>
        </w:tc>
      </w:tr>
    </w:tbl>
    <w:p w:rsidR="00E17C0A" w:rsidRPr="007253FD" w:rsidRDefault="00E17C0A" w:rsidP="008C2A85">
      <w:pPr>
        <w:pStyle w:val="TableFigNotesnumbered"/>
        <w:ind w:left="294" w:hanging="294"/>
        <w:rPr>
          <w:rStyle w:val="table-note"/>
        </w:rPr>
      </w:pPr>
      <w:proofErr w:type="gramStart"/>
      <w:r w:rsidRPr="007253FD">
        <w:rPr>
          <w:rStyle w:val="table-note"/>
        </w:rPr>
        <w:t>n/a</w:t>
      </w:r>
      <w:proofErr w:type="gramEnd"/>
      <w:r w:rsidRPr="007253FD">
        <w:rPr>
          <w:rStyle w:val="table-note"/>
        </w:rPr>
        <w:t xml:space="preserve"> </w:t>
      </w:r>
      <w:r w:rsidRPr="007253FD">
        <w:rPr>
          <w:rStyle w:val="table-note"/>
        </w:rPr>
        <w:tab/>
        <w:t>Not applicable.</w:t>
      </w:r>
    </w:p>
    <w:p w:rsidR="00E17C0A" w:rsidRPr="008A3F74" w:rsidRDefault="008A3F74" w:rsidP="00E17C0A">
      <w:pPr>
        <w:pStyle w:val="TableCaption"/>
        <w:rPr>
          <w:rStyle w:val="table-note"/>
        </w:rPr>
      </w:pPr>
      <w:r w:rsidRPr="008A3F74">
        <w:rPr>
          <w:rStyle w:val="table-note"/>
        </w:rPr>
        <w:t xml:space="preserve">Table 67: </w:t>
      </w:r>
      <w:r w:rsidR="00E17C0A" w:rsidRPr="008A3F74">
        <w:rPr>
          <w:rStyle w:val="table-note"/>
        </w:rPr>
        <w:t>NT: Number of specialised mental health beds, by service type, 2011–12</w:t>
      </w:r>
    </w:p>
    <w:tbl>
      <w:tblPr>
        <w:tblStyle w:val="TableGrid"/>
        <w:tblW w:w="0" w:type="auto"/>
        <w:tblInd w:w="108" w:type="dxa"/>
        <w:tblLook w:val="04A0" w:firstRow="1" w:lastRow="0" w:firstColumn="1" w:lastColumn="0" w:noHBand="0" w:noVBand="1"/>
        <w:tblCaption w:val="NT: Number of specialised mental health beds, by service type, 2011–12"/>
        <w:tblDescription w:val="Table showing that, in 2011-12 outer regional areas in NT had the highest number of all types of specialised mental health beds at 41. The number of beds decreased with remoteness across all specialised mental health beds. Specialised psychiatric units or wards in public acute hospitals had the highest number of beds at 32 across all region types. The major cities and inner regional categories were not applicable."/>
      </w:tblPr>
      <w:tblGrid>
        <w:gridCol w:w="2299"/>
        <w:gridCol w:w="1058"/>
        <w:gridCol w:w="1397"/>
        <w:gridCol w:w="1265"/>
        <w:gridCol w:w="1056"/>
        <w:gridCol w:w="1104"/>
        <w:gridCol w:w="999"/>
      </w:tblGrid>
      <w:tr w:rsidR="00E17C0A" w:rsidRPr="00EF5802" w:rsidTr="000C3DEA">
        <w:trPr>
          <w:tblHeader/>
        </w:trPr>
        <w:tc>
          <w:tcPr>
            <w:tcW w:w="2396" w:type="dxa"/>
          </w:tcPr>
          <w:p w:rsidR="00E17C0A" w:rsidRPr="00EF5802" w:rsidRDefault="00E17C0A" w:rsidP="005B2C04">
            <w:pPr>
              <w:pStyle w:val="TableFigText"/>
              <w:rPr>
                <w:rFonts w:asciiTheme="minorHAnsi" w:hAnsiTheme="minorHAnsi" w:cstheme="minorHAnsi"/>
                <w:szCs w:val="22"/>
              </w:rPr>
            </w:pPr>
          </w:p>
        </w:tc>
        <w:tc>
          <w:tcPr>
            <w:tcW w:w="1089" w:type="dxa"/>
          </w:tcPr>
          <w:p w:rsidR="00E17C0A" w:rsidRPr="00EF5802" w:rsidRDefault="00E17C0A" w:rsidP="005B2C04">
            <w:pPr>
              <w:pStyle w:val="TableFigText"/>
              <w:jc w:val="right"/>
              <w:rPr>
                <w:rFonts w:asciiTheme="minorHAnsi" w:hAnsiTheme="minorHAnsi" w:cstheme="minorHAnsi"/>
                <w:b/>
                <w:szCs w:val="22"/>
              </w:rPr>
            </w:pPr>
            <w:r w:rsidRPr="00EF5802">
              <w:rPr>
                <w:rFonts w:asciiTheme="minorHAnsi" w:hAnsiTheme="minorHAnsi" w:cstheme="minorHAnsi"/>
                <w:b/>
                <w:szCs w:val="22"/>
              </w:rPr>
              <w:t>Major cities</w:t>
            </w:r>
          </w:p>
        </w:tc>
        <w:tc>
          <w:tcPr>
            <w:tcW w:w="1442" w:type="dxa"/>
          </w:tcPr>
          <w:p w:rsidR="00E17C0A" w:rsidRPr="00EF5802" w:rsidRDefault="00E17C0A" w:rsidP="005B2C04">
            <w:pPr>
              <w:pStyle w:val="TableFigText"/>
              <w:jc w:val="right"/>
              <w:rPr>
                <w:rFonts w:asciiTheme="minorHAnsi" w:hAnsiTheme="minorHAnsi" w:cstheme="minorHAnsi"/>
                <w:b/>
                <w:szCs w:val="22"/>
              </w:rPr>
            </w:pPr>
            <w:r w:rsidRPr="00EF5802">
              <w:rPr>
                <w:rFonts w:asciiTheme="minorHAnsi" w:hAnsiTheme="minorHAnsi" w:cstheme="minorHAnsi"/>
                <w:b/>
                <w:szCs w:val="22"/>
              </w:rPr>
              <w:t>Inner regional</w:t>
            </w:r>
          </w:p>
        </w:tc>
        <w:tc>
          <w:tcPr>
            <w:tcW w:w="1301" w:type="dxa"/>
          </w:tcPr>
          <w:p w:rsidR="00E17C0A" w:rsidRPr="00EF5802" w:rsidRDefault="00E17C0A" w:rsidP="005B2C04">
            <w:pPr>
              <w:pStyle w:val="TableFigText"/>
              <w:jc w:val="right"/>
              <w:rPr>
                <w:rFonts w:asciiTheme="minorHAnsi" w:hAnsiTheme="minorHAnsi" w:cstheme="minorHAnsi"/>
                <w:b/>
                <w:szCs w:val="22"/>
              </w:rPr>
            </w:pPr>
            <w:r w:rsidRPr="00EF5802">
              <w:rPr>
                <w:rFonts w:asciiTheme="minorHAnsi" w:hAnsiTheme="minorHAnsi" w:cstheme="minorHAnsi"/>
                <w:b/>
                <w:szCs w:val="22"/>
              </w:rPr>
              <w:t>Outer regional</w:t>
            </w:r>
          </w:p>
        </w:tc>
        <w:tc>
          <w:tcPr>
            <w:tcW w:w="1078" w:type="dxa"/>
          </w:tcPr>
          <w:p w:rsidR="00E17C0A" w:rsidRPr="00EF5802" w:rsidRDefault="00E17C0A" w:rsidP="005B2C04">
            <w:pPr>
              <w:pStyle w:val="TableFigText"/>
              <w:jc w:val="right"/>
              <w:rPr>
                <w:rFonts w:asciiTheme="minorHAnsi" w:hAnsiTheme="minorHAnsi" w:cstheme="minorHAnsi"/>
                <w:b/>
                <w:szCs w:val="22"/>
              </w:rPr>
            </w:pPr>
            <w:r w:rsidRPr="00EF5802">
              <w:rPr>
                <w:rFonts w:asciiTheme="minorHAnsi" w:hAnsiTheme="minorHAnsi" w:cstheme="minorHAnsi"/>
                <w:b/>
                <w:szCs w:val="22"/>
              </w:rPr>
              <w:t>Remote</w:t>
            </w:r>
          </w:p>
        </w:tc>
        <w:tc>
          <w:tcPr>
            <w:tcW w:w="1132" w:type="dxa"/>
          </w:tcPr>
          <w:p w:rsidR="00E17C0A" w:rsidRPr="00EF5802" w:rsidRDefault="00E17C0A" w:rsidP="005B2C04">
            <w:pPr>
              <w:pStyle w:val="TableFigText"/>
              <w:jc w:val="right"/>
              <w:rPr>
                <w:rFonts w:asciiTheme="minorHAnsi" w:hAnsiTheme="minorHAnsi" w:cstheme="minorHAnsi"/>
                <w:b/>
                <w:szCs w:val="22"/>
              </w:rPr>
            </w:pPr>
            <w:r w:rsidRPr="00EF5802">
              <w:rPr>
                <w:rFonts w:asciiTheme="minorHAnsi" w:hAnsiTheme="minorHAnsi" w:cstheme="minorHAnsi"/>
                <w:b/>
                <w:szCs w:val="22"/>
              </w:rPr>
              <w:t>Very remote</w:t>
            </w:r>
          </w:p>
        </w:tc>
        <w:tc>
          <w:tcPr>
            <w:tcW w:w="1030" w:type="dxa"/>
          </w:tcPr>
          <w:p w:rsidR="00E17C0A" w:rsidRPr="00EF5802" w:rsidRDefault="00E17C0A" w:rsidP="005B2C04">
            <w:pPr>
              <w:pStyle w:val="TableFigText"/>
              <w:jc w:val="right"/>
              <w:rPr>
                <w:rFonts w:asciiTheme="minorHAnsi" w:hAnsiTheme="minorHAnsi" w:cstheme="minorHAnsi"/>
                <w:b/>
                <w:szCs w:val="22"/>
              </w:rPr>
            </w:pPr>
            <w:r w:rsidRPr="00EF5802">
              <w:rPr>
                <w:rFonts w:asciiTheme="minorHAnsi" w:hAnsiTheme="minorHAnsi" w:cstheme="minorHAnsi"/>
                <w:b/>
                <w:szCs w:val="22"/>
              </w:rPr>
              <w:t>Total</w:t>
            </w:r>
          </w:p>
        </w:tc>
      </w:tr>
      <w:tr w:rsidR="00E17C0A" w:rsidRPr="00EF5802" w:rsidTr="005B2C04">
        <w:tc>
          <w:tcPr>
            <w:tcW w:w="2396" w:type="dxa"/>
          </w:tcPr>
          <w:p w:rsidR="00E17C0A" w:rsidRPr="00EF5802" w:rsidRDefault="00E17C0A" w:rsidP="005B2C04">
            <w:pPr>
              <w:pStyle w:val="TableFigText"/>
              <w:keepLines w:val="0"/>
              <w:rPr>
                <w:rFonts w:asciiTheme="minorHAnsi" w:hAnsiTheme="minorHAnsi" w:cstheme="minorHAnsi"/>
                <w:szCs w:val="22"/>
              </w:rPr>
            </w:pPr>
            <w:r w:rsidRPr="00EF5802">
              <w:rPr>
                <w:rFonts w:asciiTheme="minorHAnsi" w:hAnsiTheme="minorHAnsi" w:cstheme="minorHAnsi"/>
                <w:szCs w:val="22"/>
              </w:rPr>
              <w:t>Specialised psychiatric units or wards in public acute hospitals</w:t>
            </w:r>
          </w:p>
        </w:tc>
        <w:tc>
          <w:tcPr>
            <w:tcW w:w="1089" w:type="dxa"/>
            <w:vAlign w:val="center"/>
          </w:tcPr>
          <w:p w:rsidR="00E17C0A" w:rsidRPr="00271376" w:rsidRDefault="00E17C0A" w:rsidP="00645110">
            <w:pPr>
              <w:pStyle w:val="TableFigText"/>
              <w:jc w:val="right"/>
            </w:pPr>
            <w:r w:rsidRPr="00271376">
              <w:t>n/a</w:t>
            </w:r>
          </w:p>
        </w:tc>
        <w:tc>
          <w:tcPr>
            <w:tcW w:w="1442" w:type="dxa"/>
            <w:vAlign w:val="center"/>
          </w:tcPr>
          <w:p w:rsidR="00E17C0A" w:rsidRPr="00271376" w:rsidRDefault="00E17C0A" w:rsidP="00645110">
            <w:pPr>
              <w:pStyle w:val="TableFigText"/>
              <w:jc w:val="right"/>
            </w:pPr>
            <w:r w:rsidRPr="00271376">
              <w:t>n/a</w:t>
            </w:r>
          </w:p>
        </w:tc>
        <w:tc>
          <w:tcPr>
            <w:tcW w:w="1301" w:type="dxa"/>
            <w:vAlign w:val="center"/>
          </w:tcPr>
          <w:p w:rsidR="00E17C0A" w:rsidRPr="00271376" w:rsidRDefault="00E17C0A" w:rsidP="00645110">
            <w:pPr>
              <w:pStyle w:val="TableFigText"/>
              <w:jc w:val="right"/>
            </w:pPr>
            <w:r w:rsidRPr="00271376">
              <w:t>26</w:t>
            </w:r>
          </w:p>
        </w:tc>
        <w:tc>
          <w:tcPr>
            <w:tcW w:w="1078" w:type="dxa"/>
            <w:vAlign w:val="center"/>
          </w:tcPr>
          <w:p w:rsidR="00E17C0A" w:rsidRPr="00271376" w:rsidRDefault="00E17C0A" w:rsidP="00645110">
            <w:pPr>
              <w:pStyle w:val="TableFigText"/>
              <w:jc w:val="right"/>
            </w:pPr>
            <w:r w:rsidRPr="00271376">
              <w:t>6</w:t>
            </w:r>
          </w:p>
        </w:tc>
        <w:tc>
          <w:tcPr>
            <w:tcW w:w="1132" w:type="dxa"/>
            <w:vAlign w:val="center"/>
          </w:tcPr>
          <w:p w:rsidR="00E17C0A" w:rsidRPr="00271376" w:rsidRDefault="00E17C0A" w:rsidP="00645110">
            <w:pPr>
              <w:pStyle w:val="TableFigText"/>
              <w:jc w:val="right"/>
            </w:pPr>
            <w:r w:rsidRPr="00271376">
              <w:t>0</w:t>
            </w:r>
          </w:p>
        </w:tc>
        <w:tc>
          <w:tcPr>
            <w:tcW w:w="1030" w:type="dxa"/>
            <w:vAlign w:val="center"/>
          </w:tcPr>
          <w:p w:rsidR="00E17C0A" w:rsidRPr="00271376" w:rsidRDefault="00E17C0A" w:rsidP="00645110">
            <w:pPr>
              <w:pStyle w:val="TableFigText"/>
              <w:jc w:val="right"/>
            </w:pPr>
            <w:r w:rsidRPr="00271376">
              <w:t>32</w:t>
            </w:r>
          </w:p>
        </w:tc>
      </w:tr>
      <w:tr w:rsidR="00E17C0A" w:rsidRPr="00EF5802" w:rsidTr="005B2C04">
        <w:tc>
          <w:tcPr>
            <w:tcW w:w="2396" w:type="dxa"/>
          </w:tcPr>
          <w:p w:rsidR="00E17C0A" w:rsidRPr="00EF5802" w:rsidRDefault="00E17C0A" w:rsidP="005B2C04">
            <w:pPr>
              <w:pStyle w:val="TableFigText"/>
              <w:keepLines w:val="0"/>
              <w:rPr>
                <w:rFonts w:asciiTheme="minorHAnsi" w:hAnsiTheme="minorHAnsi" w:cstheme="minorHAnsi"/>
                <w:szCs w:val="22"/>
              </w:rPr>
            </w:pPr>
            <w:r w:rsidRPr="00EF5802">
              <w:rPr>
                <w:rFonts w:asciiTheme="minorHAnsi" w:hAnsiTheme="minorHAnsi" w:cstheme="minorHAnsi"/>
                <w:szCs w:val="22"/>
              </w:rPr>
              <w:t>Public psychiatric hospital services</w:t>
            </w:r>
          </w:p>
        </w:tc>
        <w:tc>
          <w:tcPr>
            <w:tcW w:w="1089" w:type="dxa"/>
            <w:vAlign w:val="center"/>
          </w:tcPr>
          <w:p w:rsidR="00E17C0A" w:rsidRPr="00271376" w:rsidRDefault="00E17C0A" w:rsidP="00645110">
            <w:pPr>
              <w:pStyle w:val="TableFigText"/>
              <w:jc w:val="right"/>
            </w:pPr>
            <w:r w:rsidRPr="00271376">
              <w:t>n/a</w:t>
            </w:r>
          </w:p>
        </w:tc>
        <w:tc>
          <w:tcPr>
            <w:tcW w:w="1442" w:type="dxa"/>
            <w:vAlign w:val="center"/>
          </w:tcPr>
          <w:p w:rsidR="00E17C0A" w:rsidRPr="00271376" w:rsidRDefault="00E17C0A" w:rsidP="00645110">
            <w:pPr>
              <w:pStyle w:val="TableFigText"/>
              <w:jc w:val="right"/>
            </w:pPr>
            <w:r w:rsidRPr="00271376">
              <w:t>n/a</w:t>
            </w:r>
          </w:p>
        </w:tc>
        <w:tc>
          <w:tcPr>
            <w:tcW w:w="1301" w:type="dxa"/>
            <w:vAlign w:val="center"/>
          </w:tcPr>
          <w:p w:rsidR="00E17C0A" w:rsidRPr="00271376" w:rsidRDefault="00E17C0A" w:rsidP="00645110">
            <w:pPr>
              <w:pStyle w:val="TableFigText"/>
              <w:jc w:val="right"/>
            </w:pPr>
            <w:r w:rsidRPr="00271376">
              <w:t>0</w:t>
            </w:r>
          </w:p>
        </w:tc>
        <w:tc>
          <w:tcPr>
            <w:tcW w:w="1078" w:type="dxa"/>
            <w:vAlign w:val="center"/>
          </w:tcPr>
          <w:p w:rsidR="00E17C0A" w:rsidRPr="00271376" w:rsidRDefault="00E17C0A" w:rsidP="00645110">
            <w:pPr>
              <w:pStyle w:val="TableFigText"/>
              <w:jc w:val="right"/>
            </w:pPr>
            <w:r w:rsidRPr="00271376">
              <w:t>0</w:t>
            </w:r>
          </w:p>
        </w:tc>
        <w:tc>
          <w:tcPr>
            <w:tcW w:w="1132" w:type="dxa"/>
            <w:vAlign w:val="center"/>
          </w:tcPr>
          <w:p w:rsidR="00E17C0A" w:rsidRPr="00271376" w:rsidRDefault="00E17C0A" w:rsidP="00645110">
            <w:pPr>
              <w:pStyle w:val="TableFigText"/>
              <w:jc w:val="right"/>
            </w:pPr>
            <w:r w:rsidRPr="00271376">
              <w:t>0</w:t>
            </w:r>
          </w:p>
        </w:tc>
        <w:tc>
          <w:tcPr>
            <w:tcW w:w="1030" w:type="dxa"/>
            <w:vAlign w:val="center"/>
          </w:tcPr>
          <w:p w:rsidR="00E17C0A" w:rsidRPr="00271376" w:rsidRDefault="00E17C0A" w:rsidP="00645110">
            <w:pPr>
              <w:pStyle w:val="TableFigText"/>
              <w:jc w:val="right"/>
            </w:pPr>
            <w:r w:rsidRPr="00271376">
              <w:t>0</w:t>
            </w:r>
          </w:p>
        </w:tc>
      </w:tr>
      <w:tr w:rsidR="00E17C0A" w:rsidRPr="00EF5802" w:rsidTr="005B2C04">
        <w:tc>
          <w:tcPr>
            <w:tcW w:w="2396" w:type="dxa"/>
          </w:tcPr>
          <w:p w:rsidR="00E17C0A" w:rsidRPr="00EF5802" w:rsidRDefault="00E17C0A" w:rsidP="005B2C04">
            <w:pPr>
              <w:pStyle w:val="TableFigText"/>
              <w:keepLines w:val="0"/>
              <w:rPr>
                <w:rFonts w:asciiTheme="minorHAnsi" w:hAnsiTheme="minorHAnsi" w:cstheme="minorHAnsi"/>
                <w:szCs w:val="22"/>
              </w:rPr>
            </w:pPr>
            <w:r w:rsidRPr="00EF5802">
              <w:rPr>
                <w:rFonts w:asciiTheme="minorHAnsi" w:hAnsiTheme="minorHAnsi" w:cstheme="minorHAnsi"/>
                <w:szCs w:val="22"/>
              </w:rPr>
              <w:t>Residential mental health care services</w:t>
            </w:r>
          </w:p>
        </w:tc>
        <w:tc>
          <w:tcPr>
            <w:tcW w:w="1089" w:type="dxa"/>
            <w:vAlign w:val="center"/>
          </w:tcPr>
          <w:p w:rsidR="00E17C0A" w:rsidRPr="00271376" w:rsidRDefault="00E17C0A" w:rsidP="00645110">
            <w:pPr>
              <w:pStyle w:val="TableFigText"/>
              <w:jc w:val="right"/>
            </w:pPr>
            <w:r w:rsidRPr="00271376">
              <w:t>n/a</w:t>
            </w:r>
          </w:p>
        </w:tc>
        <w:tc>
          <w:tcPr>
            <w:tcW w:w="1442" w:type="dxa"/>
            <w:vAlign w:val="center"/>
          </w:tcPr>
          <w:p w:rsidR="00E17C0A" w:rsidRPr="00271376" w:rsidRDefault="00E17C0A" w:rsidP="00645110">
            <w:pPr>
              <w:pStyle w:val="TableFigText"/>
              <w:jc w:val="right"/>
            </w:pPr>
            <w:r w:rsidRPr="00271376">
              <w:t>n/a</w:t>
            </w:r>
          </w:p>
        </w:tc>
        <w:tc>
          <w:tcPr>
            <w:tcW w:w="1301" w:type="dxa"/>
            <w:vAlign w:val="center"/>
          </w:tcPr>
          <w:p w:rsidR="00E17C0A" w:rsidRPr="00271376" w:rsidRDefault="00E17C0A" w:rsidP="00645110">
            <w:pPr>
              <w:pStyle w:val="TableFigText"/>
              <w:jc w:val="right"/>
            </w:pPr>
            <w:r w:rsidRPr="00271376">
              <w:t>15</w:t>
            </w:r>
          </w:p>
        </w:tc>
        <w:tc>
          <w:tcPr>
            <w:tcW w:w="1078" w:type="dxa"/>
            <w:vAlign w:val="center"/>
          </w:tcPr>
          <w:p w:rsidR="00E17C0A" w:rsidRPr="00271376" w:rsidRDefault="00E17C0A" w:rsidP="00645110">
            <w:pPr>
              <w:pStyle w:val="TableFigText"/>
              <w:jc w:val="right"/>
            </w:pPr>
            <w:r w:rsidRPr="00271376">
              <w:t>0</w:t>
            </w:r>
          </w:p>
        </w:tc>
        <w:tc>
          <w:tcPr>
            <w:tcW w:w="1132" w:type="dxa"/>
            <w:vAlign w:val="center"/>
          </w:tcPr>
          <w:p w:rsidR="00E17C0A" w:rsidRPr="00271376" w:rsidRDefault="00E17C0A" w:rsidP="00645110">
            <w:pPr>
              <w:pStyle w:val="TableFigText"/>
              <w:jc w:val="right"/>
            </w:pPr>
            <w:r w:rsidRPr="00271376">
              <w:t>0</w:t>
            </w:r>
          </w:p>
        </w:tc>
        <w:tc>
          <w:tcPr>
            <w:tcW w:w="1030" w:type="dxa"/>
            <w:vAlign w:val="center"/>
          </w:tcPr>
          <w:p w:rsidR="00E17C0A" w:rsidRPr="00271376" w:rsidRDefault="00E17C0A" w:rsidP="00645110">
            <w:pPr>
              <w:pStyle w:val="TableFigText"/>
              <w:jc w:val="right"/>
            </w:pPr>
            <w:r w:rsidRPr="00271376">
              <w:t>15</w:t>
            </w:r>
          </w:p>
        </w:tc>
      </w:tr>
      <w:tr w:rsidR="00E17C0A" w:rsidRPr="00EF5802" w:rsidTr="005B2C04">
        <w:tc>
          <w:tcPr>
            <w:tcW w:w="2396" w:type="dxa"/>
          </w:tcPr>
          <w:p w:rsidR="00E17C0A" w:rsidRPr="00645110" w:rsidRDefault="00E17C0A" w:rsidP="005B2C04">
            <w:pPr>
              <w:pStyle w:val="TableFigText"/>
              <w:keepLines w:val="0"/>
              <w:rPr>
                <w:rFonts w:asciiTheme="minorHAnsi" w:hAnsiTheme="minorHAnsi" w:cstheme="minorHAnsi"/>
                <w:b/>
                <w:szCs w:val="22"/>
              </w:rPr>
            </w:pPr>
            <w:r w:rsidRPr="00645110">
              <w:rPr>
                <w:rFonts w:asciiTheme="minorHAnsi" w:hAnsiTheme="minorHAnsi" w:cstheme="minorHAnsi"/>
                <w:b/>
                <w:szCs w:val="22"/>
              </w:rPr>
              <w:t>Total</w:t>
            </w:r>
          </w:p>
        </w:tc>
        <w:tc>
          <w:tcPr>
            <w:tcW w:w="1089" w:type="dxa"/>
            <w:vAlign w:val="center"/>
          </w:tcPr>
          <w:p w:rsidR="00E17C0A" w:rsidRPr="00645110" w:rsidRDefault="00E17C0A" w:rsidP="00645110">
            <w:pPr>
              <w:pStyle w:val="TableFigText"/>
              <w:jc w:val="right"/>
              <w:rPr>
                <w:b/>
              </w:rPr>
            </w:pPr>
            <w:r w:rsidRPr="00645110">
              <w:rPr>
                <w:b/>
              </w:rPr>
              <w:t>n/a</w:t>
            </w:r>
          </w:p>
        </w:tc>
        <w:tc>
          <w:tcPr>
            <w:tcW w:w="1442" w:type="dxa"/>
            <w:vAlign w:val="center"/>
          </w:tcPr>
          <w:p w:rsidR="00E17C0A" w:rsidRPr="00645110" w:rsidRDefault="00E17C0A" w:rsidP="00645110">
            <w:pPr>
              <w:pStyle w:val="TableFigText"/>
              <w:jc w:val="right"/>
              <w:rPr>
                <w:b/>
              </w:rPr>
            </w:pPr>
            <w:r w:rsidRPr="00645110">
              <w:rPr>
                <w:b/>
              </w:rPr>
              <w:t>n/a</w:t>
            </w:r>
          </w:p>
        </w:tc>
        <w:tc>
          <w:tcPr>
            <w:tcW w:w="1301" w:type="dxa"/>
            <w:vAlign w:val="center"/>
          </w:tcPr>
          <w:p w:rsidR="00E17C0A" w:rsidRPr="00645110" w:rsidRDefault="00E17C0A" w:rsidP="00645110">
            <w:pPr>
              <w:pStyle w:val="TableFigText"/>
              <w:jc w:val="right"/>
              <w:rPr>
                <w:b/>
              </w:rPr>
            </w:pPr>
            <w:r w:rsidRPr="00645110">
              <w:rPr>
                <w:b/>
              </w:rPr>
              <w:t>41</w:t>
            </w:r>
          </w:p>
        </w:tc>
        <w:tc>
          <w:tcPr>
            <w:tcW w:w="1078" w:type="dxa"/>
            <w:vAlign w:val="center"/>
          </w:tcPr>
          <w:p w:rsidR="00E17C0A" w:rsidRPr="00645110" w:rsidRDefault="00E17C0A" w:rsidP="00645110">
            <w:pPr>
              <w:pStyle w:val="TableFigText"/>
              <w:jc w:val="right"/>
              <w:rPr>
                <w:b/>
              </w:rPr>
            </w:pPr>
            <w:r w:rsidRPr="00645110">
              <w:rPr>
                <w:b/>
              </w:rPr>
              <w:t>6</w:t>
            </w:r>
          </w:p>
        </w:tc>
        <w:tc>
          <w:tcPr>
            <w:tcW w:w="1132" w:type="dxa"/>
            <w:vAlign w:val="center"/>
          </w:tcPr>
          <w:p w:rsidR="00E17C0A" w:rsidRPr="00645110" w:rsidRDefault="00E17C0A" w:rsidP="00645110">
            <w:pPr>
              <w:pStyle w:val="TableFigText"/>
              <w:jc w:val="right"/>
              <w:rPr>
                <w:b/>
              </w:rPr>
            </w:pPr>
            <w:r w:rsidRPr="00645110">
              <w:rPr>
                <w:b/>
              </w:rPr>
              <w:t>0</w:t>
            </w:r>
          </w:p>
        </w:tc>
        <w:tc>
          <w:tcPr>
            <w:tcW w:w="1030" w:type="dxa"/>
            <w:vAlign w:val="center"/>
          </w:tcPr>
          <w:p w:rsidR="00E17C0A" w:rsidRPr="00645110" w:rsidRDefault="00E17C0A" w:rsidP="00645110">
            <w:pPr>
              <w:pStyle w:val="TableFigText"/>
              <w:jc w:val="right"/>
              <w:rPr>
                <w:b/>
              </w:rPr>
            </w:pPr>
            <w:r w:rsidRPr="00645110">
              <w:rPr>
                <w:b/>
              </w:rPr>
              <w:t>47</w:t>
            </w:r>
          </w:p>
        </w:tc>
      </w:tr>
    </w:tbl>
    <w:p w:rsidR="00E17C0A" w:rsidRPr="007253FD" w:rsidRDefault="00E17C0A" w:rsidP="008C2A85">
      <w:pPr>
        <w:pStyle w:val="TableFigNotesnumbered"/>
        <w:ind w:left="294" w:hanging="294"/>
        <w:rPr>
          <w:rStyle w:val="table-note"/>
        </w:rPr>
      </w:pPr>
      <w:proofErr w:type="gramStart"/>
      <w:r w:rsidRPr="007253FD">
        <w:rPr>
          <w:rStyle w:val="table-note"/>
        </w:rPr>
        <w:t>n/a</w:t>
      </w:r>
      <w:proofErr w:type="gramEnd"/>
      <w:r w:rsidRPr="007253FD">
        <w:rPr>
          <w:rStyle w:val="table-note"/>
        </w:rPr>
        <w:t xml:space="preserve"> </w:t>
      </w:r>
      <w:r w:rsidRPr="007253FD">
        <w:rPr>
          <w:rStyle w:val="table-note"/>
        </w:rPr>
        <w:tab/>
        <w:t>Not applicable.</w:t>
      </w:r>
    </w:p>
    <w:p w:rsidR="00E17C0A" w:rsidRPr="008A3F74" w:rsidRDefault="008A3F74" w:rsidP="00E17C0A">
      <w:pPr>
        <w:pStyle w:val="TableCaption"/>
        <w:rPr>
          <w:rStyle w:val="table-note"/>
        </w:rPr>
      </w:pPr>
      <w:r w:rsidRPr="008A3F74">
        <w:rPr>
          <w:rStyle w:val="table-note"/>
        </w:rPr>
        <w:t xml:space="preserve">Table 68: </w:t>
      </w:r>
      <w:r w:rsidR="00E17C0A" w:rsidRPr="008A3F74">
        <w:rPr>
          <w:rStyle w:val="table-note"/>
        </w:rPr>
        <w:t xml:space="preserve">NT: Full-time-equivalent staff, state and territory specialised mental health care facilities, by staffing category, 2007–08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NT: Full-time-equivalent staff, state and territory specialised mental health care facilities, by staffing category, 2007–08 "/>
        <w:tblDescription w:val="Table showing, in 2007-08, the number of full-time-equivalent (FTE) staff in specialised mental health care facilities across NT region types.  Outer regional areas have the highest number of all types of FTE staff at 111.7. Nurses were the highest FTE staff type overall, across all region types, at 101.6. The major cities and inner regional categories were not applicable."/>
      </w:tblPr>
      <w:tblGrid>
        <w:gridCol w:w="2410"/>
        <w:gridCol w:w="1146"/>
        <w:gridCol w:w="1346"/>
        <w:gridCol w:w="1229"/>
        <w:gridCol w:w="1027"/>
        <w:gridCol w:w="1074"/>
        <w:gridCol w:w="1054"/>
      </w:tblGrid>
      <w:tr w:rsidR="00E17C0A" w:rsidRPr="00EF5802" w:rsidTr="000C3DEA">
        <w:trPr>
          <w:tblHeader/>
        </w:trPr>
        <w:tc>
          <w:tcPr>
            <w:tcW w:w="2410" w:type="dxa"/>
          </w:tcPr>
          <w:p w:rsidR="00E17C0A" w:rsidRPr="00EF5802" w:rsidRDefault="00E17C0A" w:rsidP="005B2C04">
            <w:pPr>
              <w:pStyle w:val="TableFigText"/>
              <w:keepNext/>
              <w:rPr>
                <w:rFonts w:asciiTheme="minorHAnsi" w:hAnsiTheme="minorHAnsi" w:cstheme="minorHAnsi"/>
                <w:szCs w:val="22"/>
              </w:rPr>
            </w:pPr>
          </w:p>
        </w:tc>
        <w:tc>
          <w:tcPr>
            <w:tcW w:w="1146"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Major cities</w:t>
            </w:r>
          </w:p>
        </w:tc>
        <w:tc>
          <w:tcPr>
            <w:tcW w:w="1346"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Inner regional</w:t>
            </w:r>
          </w:p>
        </w:tc>
        <w:tc>
          <w:tcPr>
            <w:tcW w:w="1229"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Outer regional</w:t>
            </w:r>
          </w:p>
        </w:tc>
        <w:tc>
          <w:tcPr>
            <w:tcW w:w="1027"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Remote</w:t>
            </w:r>
          </w:p>
        </w:tc>
        <w:tc>
          <w:tcPr>
            <w:tcW w:w="1074"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Very remote</w:t>
            </w:r>
          </w:p>
        </w:tc>
        <w:tc>
          <w:tcPr>
            <w:tcW w:w="1054"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Total</w:t>
            </w:r>
            <w:r w:rsidRPr="00E86D05">
              <w:rPr>
                <w:rFonts w:asciiTheme="minorHAnsi" w:hAnsiTheme="minorHAnsi" w:cstheme="minorHAnsi"/>
                <w:b/>
                <w:szCs w:val="22"/>
                <w:vertAlign w:val="superscript"/>
              </w:rPr>
              <w:t>(a)</w:t>
            </w:r>
          </w:p>
        </w:tc>
      </w:tr>
      <w:tr w:rsidR="00E17C0A" w:rsidRPr="00EF5802" w:rsidTr="005B2C04">
        <w:tc>
          <w:tcPr>
            <w:tcW w:w="2410" w:type="dxa"/>
          </w:tcPr>
          <w:p w:rsidR="00E17C0A" w:rsidRPr="00EF5802" w:rsidRDefault="00E17C0A" w:rsidP="005B2C04">
            <w:pPr>
              <w:pStyle w:val="TableFigText"/>
              <w:keepNext/>
              <w:rPr>
                <w:rFonts w:asciiTheme="minorHAnsi" w:hAnsiTheme="minorHAnsi" w:cstheme="minorHAnsi"/>
                <w:szCs w:val="22"/>
              </w:rPr>
            </w:pPr>
            <w:r w:rsidRPr="00EF5802">
              <w:rPr>
                <w:rFonts w:asciiTheme="minorHAnsi" w:hAnsiTheme="minorHAnsi" w:cstheme="minorHAnsi"/>
                <w:szCs w:val="22"/>
              </w:rPr>
              <w:t>Consultant psychiatrists and psychiatrists</w:t>
            </w:r>
          </w:p>
        </w:tc>
        <w:tc>
          <w:tcPr>
            <w:tcW w:w="1146" w:type="dxa"/>
            <w:vAlign w:val="center"/>
          </w:tcPr>
          <w:p w:rsidR="00E17C0A" w:rsidRPr="00271376" w:rsidRDefault="00E17C0A" w:rsidP="00645110">
            <w:pPr>
              <w:pStyle w:val="TableFigText"/>
              <w:jc w:val="right"/>
            </w:pPr>
            <w:r w:rsidRPr="00271376">
              <w:t>n/a</w:t>
            </w:r>
          </w:p>
        </w:tc>
        <w:tc>
          <w:tcPr>
            <w:tcW w:w="1346" w:type="dxa"/>
            <w:vAlign w:val="center"/>
          </w:tcPr>
          <w:p w:rsidR="00E17C0A" w:rsidRPr="00271376" w:rsidRDefault="00E17C0A" w:rsidP="00645110">
            <w:pPr>
              <w:pStyle w:val="TableFigText"/>
              <w:jc w:val="right"/>
            </w:pPr>
            <w:r w:rsidRPr="00271376">
              <w:t>n/a</w:t>
            </w:r>
          </w:p>
        </w:tc>
        <w:tc>
          <w:tcPr>
            <w:tcW w:w="1229" w:type="dxa"/>
            <w:vAlign w:val="center"/>
          </w:tcPr>
          <w:p w:rsidR="00E17C0A" w:rsidRPr="00271376" w:rsidRDefault="00E17C0A" w:rsidP="00645110">
            <w:pPr>
              <w:pStyle w:val="TableFigText"/>
              <w:jc w:val="right"/>
            </w:pPr>
            <w:r w:rsidRPr="00271376">
              <w:t>5.2</w:t>
            </w:r>
          </w:p>
        </w:tc>
        <w:tc>
          <w:tcPr>
            <w:tcW w:w="1027" w:type="dxa"/>
            <w:vAlign w:val="center"/>
          </w:tcPr>
          <w:p w:rsidR="00E17C0A" w:rsidRPr="00271376" w:rsidRDefault="00E17C0A" w:rsidP="00645110">
            <w:pPr>
              <w:pStyle w:val="TableFigText"/>
              <w:jc w:val="right"/>
            </w:pPr>
            <w:r w:rsidRPr="00271376">
              <w:t>2.4</w:t>
            </w:r>
          </w:p>
        </w:tc>
        <w:tc>
          <w:tcPr>
            <w:tcW w:w="1074" w:type="dxa"/>
            <w:vAlign w:val="center"/>
          </w:tcPr>
          <w:p w:rsidR="00E17C0A" w:rsidRPr="00271376" w:rsidRDefault="00E17C0A" w:rsidP="00645110">
            <w:pPr>
              <w:pStyle w:val="TableFigText"/>
              <w:jc w:val="right"/>
            </w:pPr>
            <w:r w:rsidRPr="00271376">
              <w:t>1.1</w:t>
            </w:r>
          </w:p>
        </w:tc>
        <w:tc>
          <w:tcPr>
            <w:tcW w:w="1054" w:type="dxa"/>
            <w:vAlign w:val="center"/>
          </w:tcPr>
          <w:p w:rsidR="00E17C0A" w:rsidRPr="00271376" w:rsidRDefault="00E17C0A" w:rsidP="00645110">
            <w:pPr>
              <w:pStyle w:val="TableFigText"/>
              <w:jc w:val="right"/>
            </w:pPr>
            <w:r w:rsidRPr="00271376">
              <w:t>8.7</w:t>
            </w:r>
          </w:p>
        </w:tc>
      </w:tr>
      <w:tr w:rsidR="00E17C0A" w:rsidRPr="00EF5802" w:rsidTr="005B2C04">
        <w:tc>
          <w:tcPr>
            <w:tcW w:w="2410" w:type="dxa"/>
          </w:tcPr>
          <w:p w:rsidR="00E17C0A" w:rsidRPr="00EF5802" w:rsidRDefault="00E17C0A" w:rsidP="005B2C04">
            <w:pPr>
              <w:pStyle w:val="TableFigText"/>
              <w:keepNext/>
              <w:rPr>
                <w:rFonts w:asciiTheme="minorHAnsi" w:hAnsiTheme="minorHAnsi" w:cstheme="minorHAnsi"/>
                <w:szCs w:val="22"/>
              </w:rPr>
            </w:pPr>
            <w:r w:rsidRPr="00EF5802">
              <w:rPr>
                <w:rFonts w:asciiTheme="minorHAnsi" w:hAnsiTheme="minorHAnsi" w:cstheme="minorHAnsi"/>
                <w:szCs w:val="22"/>
              </w:rPr>
              <w:t>Psychiatry registrars and trainees</w:t>
            </w:r>
          </w:p>
        </w:tc>
        <w:tc>
          <w:tcPr>
            <w:tcW w:w="1146" w:type="dxa"/>
            <w:vAlign w:val="center"/>
          </w:tcPr>
          <w:p w:rsidR="00E17C0A" w:rsidRPr="00271376" w:rsidRDefault="00E17C0A" w:rsidP="00645110">
            <w:pPr>
              <w:pStyle w:val="TableFigText"/>
              <w:jc w:val="right"/>
            </w:pPr>
            <w:r w:rsidRPr="00271376">
              <w:t>n/a</w:t>
            </w:r>
          </w:p>
        </w:tc>
        <w:tc>
          <w:tcPr>
            <w:tcW w:w="1346" w:type="dxa"/>
            <w:vAlign w:val="center"/>
          </w:tcPr>
          <w:p w:rsidR="00E17C0A" w:rsidRPr="00271376" w:rsidRDefault="00E17C0A" w:rsidP="00645110">
            <w:pPr>
              <w:pStyle w:val="TableFigText"/>
              <w:jc w:val="right"/>
            </w:pPr>
            <w:r w:rsidRPr="00271376">
              <w:t>n/a</w:t>
            </w:r>
          </w:p>
        </w:tc>
        <w:tc>
          <w:tcPr>
            <w:tcW w:w="1229" w:type="dxa"/>
            <w:vAlign w:val="center"/>
          </w:tcPr>
          <w:p w:rsidR="00E17C0A" w:rsidRPr="00271376" w:rsidRDefault="00E17C0A" w:rsidP="00645110">
            <w:pPr>
              <w:pStyle w:val="TableFigText"/>
              <w:jc w:val="right"/>
            </w:pPr>
            <w:r w:rsidRPr="00271376">
              <w:t>6.4</w:t>
            </w:r>
          </w:p>
        </w:tc>
        <w:tc>
          <w:tcPr>
            <w:tcW w:w="1027" w:type="dxa"/>
            <w:vAlign w:val="center"/>
          </w:tcPr>
          <w:p w:rsidR="00E17C0A" w:rsidRPr="00271376" w:rsidRDefault="00E17C0A" w:rsidP="00645110">
            <w:pPr>
              <w:pStyle w:val="TableFigText"/>
              <w:jc w:val="right"/>
            </w:pPr>
            <w:r w:rsidRPr="00271376">
              <w:t>1.4</w:t>
            </w:r>
          </w:p>
        </w:tc>
        <w:tc>
          <w:tcPr>
            <w:tcW w:w="1074" w:type="dxa"/>
            <w:vAlign w:val="center"/>
          </w:tcPr>
          <w:p w:rsidR="00E17C0A" w:rsidRPr="00271376" w:rsidRDefault="00E17C0A" w:rsidP="00645110">
            <w:pPr>
              <w:pStyle w:val="TableFigText"/>
              <w:jc w:val="right"/>
            </w:pPr>
            <w:r w:rsidRPr="00271376">
              <w:t>1.0</w:t>
            </w:r>
          </w:p>
        </w:tc>
        <w:tc>
          <w:tcPr>
            <w:tcW w:w="1054" w:type="dxa"/>
            <w:vAlign w:val="center"/>
          </w:tcPr>
          <w:p w:rsidR="00E17C0A" w:rsidRPr="00271376" w:rsidRDefault="00E17C0A" w:rsidP="00645110">
            <w:pPr>
              <w:pStyle w:val="TableFigText"/>
              <w:jc w:val="right"/>
            </w:pPr>
            <w:r w:rsidRPr="00271376">
              <w:t>8.8</w:t>
            </w:r>
          </w:p>
        </w:tc>
      </w:tr>
      <w:tr w:rsidR="00E17C0A" w:rsidRPr="00EF5802" w:rsidTr="005B2C04">
        <w:tc>
          <w:tcPr>
            <w:tcW w:w="2410" w:type="dxa"/>
          </w:tcPr>
          <w:p w:rsidR="00E17C0A" w:rsidRPr="00EF5802" w:rsidRDefault="00E17C0A" w:rsidP="005B2C04">
            <w:pPr>
              <w:pStyle w:val="TableFigText"/>
              <w:keepNext/>
              <w:rPr>
                <w:rFonts w:asciiTheme="minorHAnsi" w:hAnsiTheme="minorHAnsi" w:cstheme="minorHAnsi"/>
                <w:szCs w:val="22"/>
              </w:rPr>
            </w:pPr>
            <w:r w:rsidRPr="00EF5802">
              <w:rPr>
                <w:rFonts w:asciiTheme="minorHAnsi" w:hAnsiTheme="minorHAnsi" w:cstheme="minorHAnsi"/>
                <w:szCs w:val="22"/>
              </w:rPr>
              <w:t>Other medical officers</w:t>
            </w:r>
          </w:p>
        </w:tc>
        <w:tc>
          <w:tcPr>
            <w:tcW w:w="1146" w:type="dxa"/>
            <w:vAlign w:val="center"/>
          </w:tcPr>
          <w:p w:rsidR="00E17C0A" w:rsidRPr="00271376" w:rsidRDefault="00E17C0A" w:rsidP="00645110">
            <w:pPr>
              <w:pStyle w:val="TableFigText"/>
              <w:jc w:val="right"/>
            </w:pPr>
            <w:r w:rsidRPr="00271376">
              <w:t>n/a</w:t>
            </w:r>
          </w:p>
        </w:tc>
        <w:tc>
          <w:tcPr>
            <w:tcW w:w="1346" w:type="dxa"/>
            <w:vAlign w:val="center"/>
          </w:tcPr>
          <w:p w:rsidR="00E17C0A" w:rsidRPr="00271376" w:rsidRDefault="00E17C0A" w:rsidP="00645110">
            <w:pPr>
              <w:pStyle w:val="TableFigText"/>
              <w:jc w:val="right"/>
            </w:pPr>
            <w:r w:rsidRPr="00271376">
              <w:t>n/a</w:t>
            </w:r>
          </w:p>
        </w:tc>
        <w:tc>
          <w:tcPr>
            <w:tcW w:w="1229" w:type="dxa"/>
            <w:vAlign w:val="center"/>
          </w:tcPr>
          <w:p w:rsidR="00E17C0A" w:rsidRPr="00271376" w:rsidRDefault="00E17C0A" w:rsidP="00645110">
            <w:pPr>
              <w:pStyle w:val="TableFigText"/>
              <w:jc w:val="right"/>
            </w:pPr>
            <w:r w:rsidRPr="00271376">
              <w:t>2.0</w:t>
            </w:r>
          </w:p>
        </w:tc>
        <w:tc>
          <w:tcPr>
            <w:tcW w:w="1027" w:type="dxa"/>
            <w:vAlign w:val="center"/>
          </w:tcPr>
          <w:p w:rsidR="00E17C0A" w:rsidRPr="00271376" w:rsidRDefault="00E17C0A" w:rsidP="00645110">
            <w:pPr>
              <w:pStyle w:val="TableFigText"/>
              <w:jc w:val="right"/>
            </w:pPr>
            <w:r w:rsidRPr="00271376">
              <w:t>2.3</w:t>
            </w:r>
          </w:p>
        </w:tc>
        <w:tc>
          <w:tcPr>
            <w:tcW w:w="1074" w:type="dxa"/>
            <w:vAlign w:val="center"/>
          </w:tcPr>
          <w:p w:rsidR="00E17C0A" w:rsidRPr="00271376" w:rsidRDefault="00E17C0A" w:rsidP="00645110">
            <w:pPr>
              <w:pStyle w:val="TableFigText"/>
              <w:jc w:val="right"/>
            </w:pPr>
            <w:r w:rsidRPr="00271376">
              <w:t>0.7</w:t>
            </w:r>
          </w:p>
        </w:tc>
        <w:tc>
          <w:tcPr>
            <w:tcW w:w="1054" w:type="dxa"/>
            <w:vAlign w:val="center"/>
          </w:tcPr>
          <w:p w:rsidR="00E17C0A" w:rsidRPr="00271376" w:rsidRDefault="00E17C0A" w:rsidP="00645110">
            <w:pPr>
              <w:pStyle w:val="TableFigText"/>
              <w:jc w:val="right"/>
            </w:pPr>
            <w:r w:rsidRPr="00271376">
              <w:t>5.0</w:t>
            </w:r>
          </w:p>
        </w:tc>
      </w:tr>
      <w:tr w:rsidR="00E17C0A" w:rsidRPr="00EF5802" w:rsidTr="005B2C04">
        <w:tc>
          <w:tcPr>
            <w:tcW w:w="2410" w:type="dxa"/>
          </w:tcPr>
          <w:p w:rsidR="00E17C0A" w:rsidRPr="00EF5802" w:rsidRDefault="00E17C0A" w:rsidP="005B2C04">
            <w:pPr>
              <w:pStyle w:val="TableFigText"/>
              <w:keepNext/>
              <w:rPr>
                <w:rFonts w:asciiTheme="minorHAnsi" w:hAnsiTheme="minorHAnsi" w:cstheme="minorHAnsi"/>
                <w:szCs w:val="22"/>
              </w:rPr>
            </w:pPr>
            <w:r w:rsidRPr="00EF5802">
              <w:rPr>
                <w:rFonts w:asciiTheme="minorHAnsi" w:hAnsiTheme="minorHAnsi" w:cstheme="minorHAnsi"/>
                <w:szCs w:val="22"/>
              </w:rPr>
              <w:t>Psychologists</w:t>
            </w:r>
          </w:p>
        </w:tc>
        <w:tc>
          <w:tcPr>
            <w:tcW w:w="1146" w:type="dxa"/>
            <w:vAlign w:val="center"/>
          </w:tcPr>
          <w:p w:rsidR="00E17C0A" w:rsidRPr="00271376" w:rsidRDefault="00E17C0A" w:rsidP="00645110">
            <w:pPr>
              <w:pStyle w:val="TableFigText"/>
              <w:jc w:val="right"/>
            </w:pPr>
            <w:r w:rsidRPr="00271376">
              <w:t>n/a</w:t>
            </w:r>
          </w:p>
        </w:tc>
        <w:tc>
          <w:tcPr>
            <w:tcW w:w="1346" w:type="dxa"/>
            <w:vAlign w:val="center"/>
          </w:tcPr>
          <w:p w:rsidR="00E17C0A" w:rsidRPr="00271376" w:rsidRDefault="00E17C0A" w:rsidP="00645110">
            <w:pPr>
              <w:pStyle w:val="TableFigText"/>
              <w:jc w:val="right"/>
            </w:pPr>
            <w:r w:rsidRPr="00271376">
              <w:t>n/a</w:t>
            </w:r>
          </w:p>
        </w:tc>
        <w:tc>
          <w:tcPr>
            <w:tcW w:w="1229" w:type="dxa"/>
            <w:vAlign w:val="center"/>
          </w:tcPr>
          <w:p w:rsidR="00E17C0A" w:rsidRPr="00271376" w:rsidRDefault="00E17C0A" w:rsidP="00645110">
            <w:pPr>
              <w:pStyle w:val="TableFigText"/>
              <w:jc w:val="right"/>
            </w:pPr>
            <w:r w:rsidRPr="00271376">
              <w:t>7.2</w:t>
            </w:r>
          </w:p>
        </w:tc>
        <w:tc>
          <w:tcPr>
            <w:tcW w:w="1027" w:type="dxa"/>
            <w:vAlign w:val="center"/>
          </w:tcPr>
          <w:p w:rsidR="00E17C0A" w:rsidRPr="00271376" w:rsidRDefault="00E17C0A" w:rsidP="00645110">
            <w:pPr>
              <w:pStyle w:val="TableFigText"/>
              <w:jc w:val="right"/>
            </w:pPr>
            <w:r w:rsidRPr="00271376">
              <w:t>3.7</w:t>
            </w:r>
          </w:p>
        </w:tc>
        <w:tc>
          <w:tcPr>
            <w:tcW w:w="1074" w:type="dxa"/>
            <w:vAlign w:val="center"/>
          </w:tcPr>
          <w:p w:rsidR="00E17C0A" w:rsidRPr="00271376" w:rsidRDefault="00E17C0A" w:rsidP="00645110">
            <w:pPr>
              <w:pStyle w:val="TableFigText"/>
              <w:jc w:val="right"/>
            </w:pPr>
            <w:r w:rsidRPr="00271376">
              <w:t>1.6</w:t>
            </w:r>
          </w:p>
        </w:tc>
        <w:tc>
          <w:tcPr>
            <w:tcW w:w="1054" w:type="dxa"/>
            <w:vAlign w:val="center"/>
          </w:tcPr>
          <w:p w:rsidR="00E17C0A" w:rsidRPr="00271376" w:rsidRDefault="00E17C0A" w:rsidP="00645110">
            <w:pPr>
              <w:pStyle w:val="TableFigText"/>
              <w:jc w:val="right"/>
            </w:pPr>
            <w:r w:rsidRPr="00271376">
              <w:t>12.5</w:t>
            </w:r>
          </w:p>
        </w:tc>
      </w:tr>
      <w:tr w:rsidR="00E17C0A" w:rsidRPr="00EF5802" w:rsidTr="005B2C04">
        <w:tc>
          <w:tcPr>
            <w:tcW w:w="2410" w:type="dxa"/>
          </w:tcPr>
          <w:p w:rsidR="00E17C0A" w:rsidRPr="00EF5802" w:rsidRDefault="00E17C0A" w:rsidP="005B2C04">
            <w:pPr>
              <w:pStyle w:val="TableFigText"/>
              <w:keepNext/>
              <w:rPr>
                <w:rFonts w:asciiTheme="minorHAnsi" w:hAnsiTheme="minorHAnsi" w:cstheme="minorHAnsi"/>
                <w:szCs w:val="22"/>
              </w:rPr>
            </w:pPr>
            <w:r w:rsidRPr="00EF5802">
              <w:rPr>
                <w:rFonts w:asciiTheme="minorHAnsi" w:hAnsiTheme="minorHAnsi" w:cstheme="minorHAnsi"/>
                <w:szCs w:val="22"/>
              </w:rPr>
              <w:t>Diagnostic and health professionals</w:t>
            </w:r>
            <w:r w:rsidRPr="00EF5802">
              <w:rPr>
                <w:rFonts w:asciiTheme="minorHAnsi" w:hAnsiTheme="minorHAnsi" w:cstheme="minorHAnsi"/>
                <w:szCs w:val="22"/>
                <w:vertAlign w:val="superscript"/>
              </w:rPr>
              <w:t>(b)</w:t>
            </w:r>
          </w:p>
        </w:tc>
        <w:tc>
          <w:tcPr>
            <w:tcW w:w="1146" w:type="dxa"/>
            <w:vAlign w:val="center"/>
          </w:tcPr>
          <w:p w:rsidR="00E17C0A" w:rsidRPr="00271376" w:rsidRDefault="00E17C0A" w:rsidP="00645110">
            <w:pPr>
              <w:pStyle w:val="TableFigText"/>
              <w:jc w:val="right"/>
            </w:pPr>
            <w:r w:rsidRPr="00271376">
              <w:t>n/a</w:t>
            </w:r>
          </w:p>
        </w:tc>
        <w:tc>
          <w:tcPr>
            <w:tcW w:w="1346" w:type="dxa"/>
            <w:vAlign w:val="center"/>
          </w:tcPr>
          <w:p w:rsidR="00E17C0A" w:rsidRPr="00271376" w:rsidRDefault="00E17C0A" w:rsidP="00645110">
            <w:pPr>
              <w:pStyle w:val="TableFigText"/>
              <w:jc w:val="right"/>
            </w:pPr>
            <w:r w:rsidRPr="00271376">
              <w:t>n/a</w:t>
            </w:r>
          </w:p>
        </w:tc>
        <w:tc>
          <w:tcPr>
            <w:tcW w:w="1229" w:type="dxa"/>
            <w:vAlign w:val="center"/>
          </w:tcPr>
          <w:p w:rsidR="00E17C0A" w:rsidRPr="00271376" w:rsidRDefault="00E17C0A" w:rsidP="00645110">
            <w:pPr>
              <w:pStyle w:val="TableFigText"/>
              <w:jc w:val="right"/>
            </w:pPr>
            <w:r w:rsidRPr="00271376">
              <w:t>11.4</w:t>
            </w:r>
          </w:p>
        </w:tc>
        <w:tc>
          <w:tcPr>
            <w:tcW w:w="1027" w:type="dxa"/>
            <w:vAlign w:val="center"/>
          </w:tcPr>
          <w:p w:rsidR="00E17C0A" w:rsidRPr="00271376" w:rsidRDefault="00E17C0A" w:rsidP="00645110">
            <w:pPr>
              <w:pStyle w:val="TableFigText"/>
              <w:jc w:val="right"/>
            </w:pPr>
            <w:r w:rsidRPr="00271376">
              <w:t>8.7</w:t>
            </w:r>
          </w:p>
        </w:tc>
        <w:tc>
          <w:tcPr>
            <w:tcW w:w="1074" w:type="dxa"/>
            <w:vAlign w:val="center"/>
          </w:tcPr>
          <w:p w:rsidR="00E17C0A" w:rsidRPr="00271376" w:rsidRDefault="00E17C0A" w:rsidP="00645110">
            <w:pPr>
              <w:pStyle w:val="TableFigText"/>
              <w:jc w:val="right"/>
            </w:pPr>
            <w:r w:rsidRPr="00271376">
              <w:t>3.0</w:t>
            </w:r>
          </w:p>
        </w:tc>
        <w:tc>
          <w:tcPr>
            <w:tcW w:w="1054" w:type="dxa"/>
            <w:vAlign w:val="center"/>
          </w:tcPr>
          <w:p w:rsidR="00E17C0A" w:rsidRPr="00271376" w:rsidRDefault="00E17C0A" w:rsidP="00645110">
            <w:pPr>
              <w:pStyle w:val="TableFigText"/>
              <w:jc w:val="right"/>
            </w:pPr>
            <w:r w:rsidRPr="00271376">
              <w:t>23.2</w:t>
            </w:r>
          </w:p>
        </w:tc>
      </w:tr>
      <w:tr w:rsidR="00E17C0A" w:rsidRPr="00EF5802" w:rsidTr="005B2C04">
        <w:tc>
          <w:tcPr>
            <w:tcW w:w="2410" w:type="dxa"/>
          </w:tcPr>
          <w:p w:rsidR="00E17C0A" w:rsidRPr="00EF5802" w:rsidRDefault="00E17C0A" w:rsidP="005B2C04">
            <w:pPr>
              <w:pStyle w:val="TableFigText"/>
              <w:keepNext/>
              <w:rPr>
                <w:rFonts w:asciiTheme="minorHAnsi" w:hAnsiTheme="minorHAnsi" w:cstheme="minorHAnsi"/>
                <w:szCs w:val="22"/>
              </w:rPr>
            </w:pPr>
            <w:r w:rsidRPr="00EF5802">
              <w:rPr>
                <w:rFonts w:asciiTheme="minorHAnsi" w:hAnsiTheme="minorHAnsi" w:cstheme="minorHAnsi"/>
                <w:szCs w:val="22"/>
              </w:rPr>
              <w:t>Nurses</w:t>
            </w:r>
            <w:r w:rsidRPr="00EF5802">
              <w:rPr>
                <w:rFonts w:asciiTheme="minorHAnsi" w:hAnsiTheme="minorHAnsi" w:cstheme="minorHAnsi"/>
                <w:szCs w:val="22"/>
                <w:vertAlign w:val="superscript"/>
              </w:rPr>
              <w:t>(c)</w:t>
            </w:r>
          </w:p>
        </w:tc>
        <w:tc>
          <w:tcPr>
            <w:tcW w:w="1146" w:type="dxa"/>
            <w:vAlign w:val="center"/>
          </w:tcPr>
          <w:p w:rsidR="00E17C0A" w:rsidRPr="00271376" w:rsidRDefault="00E17C0A" w:rsidP="00645110">
            <w:pPr>
              <w:pStyle w:val="TableFigText"/>
              <w:jc w:val="right"/>
            </w:pPr>
            <w:r w:rsidRPr="00271376">
              <w:t>n/a</w:t>
            </w:r>
          </w:p>
        </w:tc>
        <w:tc>
          <w:tcPr>
            <w:tcW w:w="1346" w:type="dxa"/>
            <w:vAlign w:val="center"/>
          </w:tcPr>
          <w:p w:rsidR="00E17C0A" w:rsidRPr="00271376" w:rsidRDefault="00E17C0A" w:rsidP="00645110">
            <w:pPr>
              <w:pStyle w:val="TableFigText"/>
              <w:jc w:val="right"/>
            </w:pPr>
            <w:r w:rsidRPr="00271376">
              <w:t>n/a</w:t>
            </w:r>
          </w:p>
        </w:tc>
        <w:tc>
          <w:tcPr>
            <w:tcW w:w="1229" w:type="dxa"/>
            <w:vAlign w:val="center"/>
          </w:tcPr>
          <w:p w:rsidR="00E17C0A" w:rsidRPr="00271376" w:rsidRDefault="00E17C0A" w:rsidP="00645110">
            <w:pPr>
              <w:pStyle w:val="TableFigText"/>
              <w:jc w:val="right"/>
            </w:pPr>
            <w:r w:rsidRPr="00271376">
              <w:t>60.4</w:t>
            </w:r>
          </w:p>
        </w:tc>
        <w:tc>
          <w:tcPr>
            <w:tcW w:w="1027" w:type="dxa"/>
            <w:vAlign w:val="center"/>
          </w:tcPr>
          <w:p w:rsidR="00E17C0A" w:rsidRPr="00271376" w:rsidRDefault="00E17C0A" w:rsidP="00645110">
            <w:pPr>
              <w:pStyle w:val="TableFigText"/>
              <w:jc w:val="right"/>
            </w:pPr>
            <w:r w:rsidRPr="00271376">
              <w:t>28.5</w:t>
            </w:r>
          </w:p>
        </w:tc>
        <w:tc>
          <w:tcPr>
            <w:tcW w:w="1074" w:type="dxa"/>
            <w:vAlign w:val="center"/>
          </w:tcPr>
          <w:p w:rsidR="00E17C0A" w:rsidRPr="00271376" w:rsidRDefault="00E17C0A" w:rsidP="00645110">
            <w:pPr>
              <w:pStyle w:val="TableFigText"/>
              <w:jc w:val="right"/>
            </w:pPr>
            <w:r w:rsidRPr="00271376">
              <w:t>12.6</w:t>
            </w:r>
          </w:p>
        </w:tc>
        <w:tc>
          <w:tcPr>
            <w:tcW w:w="1054" w:type="dxa"/>
            <w:vAlign w:val="center"/>
          </w:tcPr>
          <w:p w:rsidR="00E17C0A" w:rsidRPr="00271376" w:rsidRDefault="00E17C0A" w:rsidP="00645110">
            <w:pPr>
              <w:pStyle w:val="TableFigText"/>
              <w:jc w:val="right"/>
            </w:pPr>
            <w:r w:rsidRPr="00271376">
              <w:t>101.6</w:t>
            </w:r>
          </w:p>
        </w:tc>
      </w:tr>
      <w:tr w:rsidR="00E17C0A" w:rsidRPr="00EF5802" w:rsidTr="005B2C04">
        <w:tc>
          <w:tcPr>
            <w:tcW w:w="2410" w:type="dxa"/>
          </w:tcPr>
          <w:p w:rsidR="00E17C0A" w:rsidRPr="00EF5802" w:rsidRDefault="00E17C0A" w:rsidP="005B2C04">
            <w:pPr>
              <w:pStyle w:val="TableFigText"/>
              <w:keepNext/>
              <w:rPr>
                <w:rFonts w:asciiTheme="minorHAnsi" w:hAnsiTheme="minorHAnsi" w:cstheme="minorHAnsi"/>
                <w:szCs w:val="22"/>
              </w:rPr>
            </w:pPr>
            <w:r w:rsidRPr="00EF5802">
              <w:rPr>
                <w:rFonts w:asciiTheme="minorHAnsi" w:hAnsiTheme="minorHAnsi" w:cstheme="minorHAnsi"/>
                <w:szCs w:val="22"/>
              </w:rPr>
              <w:t>Carer workers</w:t>
            </w:r>
            <w:r w:rsidRPr="00EF5802">
              <w:rPr>
                <w:rFonts w:asciiTheme="minorHAnsi" w:hAnsiTheme="minorHAnsi" w:cstheme="minorHAnsi"/>
                <w:szCs w:val="22"/>
                <w:vertAlign w:val="superscript"/>
              </w:rPr>
              <w:t>(d)</w:t>
            </w:r>
          </w:p>
        </w:tc>
        <w:tc>
          <w:tcPr>
            <w:tcW w:w="1146" w:type="dxa"/>
            <w:vAlign w:val="center"/>
          </w:tcPr>
          <w:p w:rsidR="00E17C0A" w:rsidRPr="00271376" w:rsidRDefault="00E17C0A" w:rsidP="00645110">
            <w:pPr>
              <w:pStyle w:val="TableFigText"/>
              <w:jc w:val="right"/>
            </w:pPr>
            <w:r w:rsidRPr="00271376">
              <w:t>n/a</w:t>
            </w:r>
          </w:p>
        </w:tc>
        <w:tc>
          <w:tcPr>
            <w:tcW w:w="1346" w:type="dxa"/>
            <w:vAlign w:val="center"/>
          </w:tcPr>
          <w:p w:rsidR="00E17C0A" w:rsidRPr="00271376" w:rsidRDefault="00E17C0A" w:rsidP="00645110">
            <w:pPr>
              <w:pStyle w:val="TableFigText"/>
              <w:jc w:val="right"/>
            </w:pPr>
            <w:r w:rsidRPr="00271376">
              <w:t>n/a</w:t>
            </w:r>
          </w:p>
        </w:tc>
        <w:tc>
          <w:tcPr>
            <w:tcW w:w="1229" w:type="dxa"/>
            <w:vAlign w:val="center"/>
          </w:tcPr>
          <w:p w:rsidR="00E17C0A" w:rsidRPr="00271376" w:rsidRDefault="00E17C0A" w:rsidP="00645110">
            <w:pPr>
              <w:pStyle w:val="TableFigText"/>
              <w:jc w:val="right"/>
            </w:pPr>
            <w:r w:rsidRPr="00271376">
              <w:t>0.0</w:t>
            </w:r>
          </w:p>
        </w:tc>
        <w:tc>
          <w:tcPr>
            <w:tcW w:w="1027" w:type="dxa"/>
            <w:vAlign w:val="center"/>
          </w:tcPr>
          <w:p w:rsidR="00E17C0A" w:rsidRPr="00271376" w:rsidRDefault="00E17C0A" w:rsidP="00645110">
            <w:pPr>
              <w:pStyle w:val="TableFigText"/>
              <w:jc w:val="right"/>
            </w:pPr>
            <w:r w:rsidRPr="00271376">
              <w:t>0.0</w:t>
            </w:r>
          </w:p>
        </w:tc>
        <w:tc>
          <w:tcPr>
            <w:tcW w:w="1074" w:type="dxa"/>
            <w:vAlign w:val="center"/>
          </w:tcPr>
          <w:p w:rsidR="00E17C0A" w:rsidRPr="00271376" w:rsidRDefault="00E17C0A" w:rsidP="00645110">
            <w:pPr>
              <w:pStyle w:val="TableFigText"/>
              <w:jc w:val="right"/>
            </w:pPr>
            <w:r w:rsidRPr="00271376">
              <w:t>0.0</w:t>
            </w:r>
          </w:p>
        </w:tc>
        <w:tc>
          <w:tcPr>
            <w:tcW w:w="1054" w:type="dxa"/>
            <w:vAlign w:val="center"/>
          </w:tcPr>
          <w:p w:rsidR="00E17C0A" w:rsidRPr="00271376" w:rsidRDefault="00E17C0A" w:rsidP="00645110">
            <w:pPr>
              <w:pStyle w:val="TableFigText"/>
              <w:jc w:val="right"/>
            </w:pPr>
            <w:r w:rsidRPr="00271376">
              <w:t>0.0</w:t>
            </w:r>
          </w:p>
        </w:tc>
      </w:tr>
      <w:tr w:rsidR="00E17C0A" w:rsidRPr="00EF5802" w:rsidTr="005B2C04">
        <w:tc>
          <w:tcPr>
            <w:tcW w:w="2410" w:type="dxa"/>
          </w:tcPr>
          <w:p w:rsidR="00E17C0A" w:rsidRPr="00EF5802" w:rsidRDefault="00E17C0A" w:rsidP="005B2C04">
            <w:pPr>
              <w:pStyle w:val="TableFigText"/>
              <w:keepNext/>
              <w:rPr>
                <w:rFonts w:asciiTheme="minorHAnsi" w:hAnsiTheme="minorHAnsi" w:cstheme="minorHAnsi"/>
                <w:szCs w:val="22"/>
              </w:rPr>
            </w:pPr>
            <w:r w:rsidRPr="00EF5802">
              <w:rPr>
                <w:rFonts w:asciiTheme="minorHAnsi" w:hAnsiTheme="minorHAnsi" w:cstheme="minorHAnsi"/>
                <w:szCs w:val="22"/>
              </w:rPr>
              <w:t>Consumer workers</w:t>
            </w:r>
            <w:r w:rsidRPr="00EF5802">
              <w:rPr>
                <w:rFonts w:asciiTheme="minorHAnsi" w:hAnsiTheme="minorHAnsi" w:cstheme="minorHAnsi"/>
                <w:szCs w:val="22"/>
                <w:vertAlign w:val="superscript"/>
              </w:rPr>
              <w:t>(d)</w:t>
            </w:r>
          </w:p>
        </w:tc>
        <w:tc>
          <w:tcPr>
            <w:tcW w:w="1146" w:type="dxa"/>
            <w:vAlign w:val="center"/>
          </w:tcPr>
          <w:p w:rsidR="00E17C0A" w:rsidRPr="00271376" w:rsidRDefault="00E17C0A" w:rsidP="00645110">
            <w:pPr>
              <w:pStyle w:val="TableFigText"/>
              <w:jc w:val="right"/>
            </w:pPr>
            <w:r w:rsidRPr="00271376">
              <w:t>n/a</w:t>
            </w:r>
          </w:p>
        </w:tc>
        <w:tc>
          <w:tcPr>
            <w:tcW w:w="1346" w:type="dxa"/>
            <w:vAlign w:val="center"/>
          </w:tcPr>
          <w:p w:rsidR="00E17C0A" w:rsidRPr="00271376" w:rsidRDefault="00E17C0A" w:rsidP="00645110">
            <w:pPr>
              <w:pStyle w:val="TableFigText"/>
              <w:jc w:val="right"/>
            </w:pPr>
            <w:r w:rsidRPr="00271376">
              <w:t>n/a</w:t>
            </w:r>
          </w:p>
        </w:tc>
        <w:tc>
          <w:tcPr>
            <w:tcW w:w="1229" w:type="dxa"/>
            <w:vAlign w:val="center"/>
          </w:tcPr>
          <w:p w:rsidR="00E17C0A" w:rsidRPr="00271376" w:rsidRDefault="00E17C0A" w:rsidP="00645110">
            <w:pPr>
              <w:pStyle w:val="TableFigText"/>
              <w:jc w:val="right"/>
            </w:pPr>
            <w:r w:rsidRPr="00271376">
              <w:t>0.0</w:t>
            </w:r>
          </w:p>
        </w:tc>
        <w:tc>
          <w:tcPr>
            <w:tcW w:w="1027" w:type="dxa"/>
            <w:vAlign w:val="center"/>
          </w:tcPr>
          <w:p w:rsidR="00E17C0A" w:rsidRPr="00271376" w:rsidRDefault="00E17C0A" w:rsidP="00645110">
            <w:pPr>
              <w:pStyle w:val="TableFigText"/>
              <w:jc w:val="right"/>
            </w:pPr>
            <w:r w:rsidRPr="00271376">
              <w:t>0.0</w:t>
            </w:r>
          </w:p>
        </w:tc>
        <w:tc>
          <w:tcPr>
            <w:tcW w:w="1074" w:type="dxa"/>
            <w:vAlign w:val="center"/>
          </w:tcPr>
          <w:p w:rsidR="00E17C0A" w:rsidRPr="00271376" w:rsidRDefault="00E17C0A" w:rsidP="00645110">
            <w:pPr>
              <w:pStyle w:val="TableFigText"/>
              <w:jc w:val="right"/>
            </w:pPr>
            <w:r w:rsidRPr="00271376">
              <w:t>0.0</w:t>
            </w:r>
          </w:p>
        </w:tc>
        <w:tc>
          <w:tcPr>
            <w:tcW w:w="1054" w:type="dxa"/>
            <w:vAlign w:val="center"/>
          </w:tcPr>
          <w:p w:rsidR="00E17C0A" w:rsidRPr="00271376" w:rsidRDefault="00E17C0A" w:rsidP="00645110">
            <w:pPr>
              <w:pStyle w:val="TableFigText"/>
              <w:jc w:val="right"/>
            </w:pPr>
            <w:r w:rsidRPr="00271376">
              <w:t>0.0</w:t>
            </w:r>
          </w:p>
        </w:tc>
      </w:tr>
      <w:tr w:rsidR="00E17C0A" w:rsidRPr="00EF5802" w:rsidTr="005B2C04">
        <w:tc>
          <w:tcPr>
            <w:tcW w:w="2410" w:type="dxa"/>
          </w:tcPr>
          <w:p w:rsidR="00E17C0A" w:rsidRPr="00EF5802" w:rsidRDefault="00E17C0A" w:rsidP="005B2C04">
            <w:pPr>
              <w:pStyle w:val="TableFigText"/>
              <w:keepNext/>
              <w:rPr>
                <w:rFonts w:asciiTheme="minorHAnsi" w:hAnsiTheme="minorHAnsi" w:cstheme="minorHAnsi"/>
                <w:szCs w:val="22"/>
              </w:rPr>
            </w:pPr>
            <w:r w:rsidRPr="00EF5802">
              <w:rPr>
                <w:rFonts w:asciiTheme="minorHAnsi" w:hAnsiTheme="minorHAnsi" w:cstheme="minorHAnsi"/>
                <w:szCs w:val="22"/>
              </w:rPr>
              <w:t>Other personal care</w:t>
            </w:r>
            <w:r w:rsidRPr="00EF5802">
              <w:rPr>
                <w:rFonts w:asciiTheme="minorHAnsi" w:hAnsiTheme="minorHAnsi" w:cstheme="minorHAnsi"/>
                <w:szCs w:val="22"/>
                <w:vertAlign w:val="superscript"/>
              </w:rPr>
              <w:t>(e)</w:t>
            </w:r>
          </w:p>
        </w:tc>
        <w:tc>
          <w:tcPr>
            <w:tcW w:w="1146" w:type="dxa"/>
            <w:vAlign w:val="center"/>
          </w:tcPr>
          <w:p w:rsidR="00E17C0A" w:rsidRPr="00271376" w:rsidRDefault="00E17C0A" w:rsidP="00645110">
            <w:pPr>
              <w:pStyle w:val="TableFigText"/>
              <w:jc w:val="right"/>
            </w:pPr>
            <w:r w:rsidRPr="00271376">
              <w:t>n/a</w:t>
            </w:r>
          </w:p>
        </w:tc>
        <w:tc>
          <w:tcPr>
            <w:tcW w:w="1346" w:type="dxa"/>
            <w:vAlign w:val="center"/>
          </w:tcPr>
          <w:p w:rsidR="00E17C0A" w:rsidRPr="00271376" w:rsidRDefault="00E17C0A" w:rsidP="00645110">
            <w:pPr>
              <w:pStyle w:val="TableFigText"/>
              <w:jc w:val="right"/>
            </w:pPr>
            <w:r w:rsidRPr="00271376">
              <w:t>n/a</w:t>
            </w:r>
          </w:p>
        </w:tc>
        <w:tc>
          <w:tcPr>
            <w:tcW w:w="1229" w:type="dxa"/>
            <w:vAlign w:val="center"/>
          </w:tcPr>
          <w:p w:rsidR="00E17C0A" w:rsidRPr="00271376" w:rsidRDefault="00E17C0A" w:rsidP="00645110">
            <w:pPr>
              <w:pStyle w:val="TableFigText"/>
              <w:jc w:val="right"/>
            </w:pPr>
            <w:r w:rsidRPr="00271376">
              <w:t>6.3</w:t>
            </w:r>
          </w:p>
        </w:tc>
        <w:tc>
          <w:tcPr>
            <w:tcW w:w="1027" w:type="dxa"/>
            <w:vAlign w:val="center"/>
          </w:tcPr>
          <w:p w:rsidR="00E17C0A" w:rsidRPr="00271376" w:rsidRDefault="00E17C0A" w:rsidP="00645110">
            <w:pPr>
              <w:pStyle w:val="TableFigText"/>
              <w:jc w:val="right"/>
            </w:pPr>
            <w:r w:rsidRPr="00271376">
              <w:t>1.0</w:t>
            </w:r>
          </w:p>
        </w:tc>
        <w:tc>
          <w:tcPr>
            <w:tcW w:w="1074" w:type="dxa"/>
            <w:vAlign w:val="center"/>
          </w:tcPr>
          <w:p w:rsidR="00E17C0A" w:rsidRPr="00271376" w:rsidRDefault="00E17C0A" w:rsidP="00645110">
            <w:pPr>
              <w:pStyle w:val="TableFigText"/>
              <w:jc w:val="right"/>
            </w:pPr>
            <w:r w:rsidRPr="00271376">
              <w:t>0.5</w:t>
            </w:r>
          </w:p>
        </w:tc>
        <w:tc>
          <w:tcPr>
            <w:tcW w:w="1054" w:type="dxa"/>
            <w:vAlign w:val="center"/>
          </w:tcPr>
          <w:p w:rsidR="00E17C0A" w:rsidRPr="00271376" w:rsidRDefault="00E17C0A" w:rsidP="00645110">
            <w:pPr>
              <w:pStyle w:val="TableFigText"/>
              <w:jc w:val="right"/>
            </w:pPr>
            <w:r w:rsidRPr="00271376">
              <w:t>7.8</w:t>
            </w:r>
          </w:p>
        </w:tc>
      </w:tr>
      <w:tr w:rsidR="00E17C0A" w:rsidRPr="00EF5802" w:rsidTr="005B2C04">
        <w:tc>
          <w:tcPr>
            <w:tcW w:w="2410" w:type="dxa"/>
          </w:tcPr>
          <w:p w:rsidR="00E17C0A" w:rsidRPr="00EF5802" w:rsidRDefault="00E17C0A" w:rsidP="005B2C04">
            <w:pPr>
              <w:pStyle w:val="TableFigText"/>
              <w:keepNext/>
              <w:rPr>
                <w:rFonts w:asciiTheme="minorHAnsi" w:hAnsiTheme="minorHAnsi" w:cstheme="minorHAnsi"/>
                <w:szCs w:val="22"/>
              </w:rPr>
            </w:pPr>
            <w:r w:rsidRPr="00EF5802">
              <w:rPr>
                <w:rFonts w:asciiTheme="minorHAnsi" w:hAnsiTheme="minorHAnsi" w:cstheme="minorHAnsi"/>
                <w:szCs w:val="22"/>
              </w:rPr>
              <w:t>Other staffing categories</w:t>
            </w:r>
            <w:r w:rsidRPr="00EF5802">
              <w:rPr>
                <w:rFonts w:asciiTheme="minorHAnsi" w:hAnsiTheme="minorHAnsi" w:cstheme="minorHAnsi"/>
                <w:szCs w:val="22"/>
                <w:vertAlign w:val="superscript"/>
              </w:rPr>
              <w:t>(f)</w:t>
            </w:r>
          </w:p>
        </w:tc>
        <w:tc>
          <w:tcPr>
            <w:tcW w:w="1146" w:type="dxa"/>
            <w:vAlign w:val="center"/>
          </w:tcPr>
          <w:p w:rsidR="00E17C0A" w:rsidRPr="00271376" w:rsidRDefault="00E17C0A" w:rsidP="00645110">
            <w:pPr>
              <w:pStyle w:val="TableFigText"/>
              <w:jc w:val="right"/>
            </w:pPr>
            <w:r w:rsidRPr="00271376">
              <w:t>n/a</w:t>
            </w:r>
          </w:p>
        </w:tc>
        <w:tc>
          <w:tcPr>
            <w:tcW w:w="1346" w:type="dxa"/>
            <w:vAlign w:val="center"/>
          </w:tcPr>
          <w:p w:rsidR="00E17C0A" w:rsidRPr="00271376" w:rsidRDefault="00E17C0A" w:rsidP="00645110">
            <w:pPr>
              <w:pStyle w:val="TableFigText"/>
              <w:jc w:val="right"/>
            </w:pPr>
            <w:r w:rsidRPr="00271376">
              <w:t>n/a</w:t>
            </w:r>
          </w:p>
        </w:tc>
        <w:tc>
          <w:tcPr>
            <w:tcW w:w="1229" w:type="dxa"/>
            <w:vAlign w:val="center"/>
          </w:tcPr>
          <w:p w:rsidR="00E17C0A" w:rsidRPr="00271376" w:rsidRDefault="00E17C0A" w:rsidP="00645110">
            <w:pPr>
              <w:pStyle w:val="TableFigText"/>
              <w:jc w:val="right"/>
            </w:pPr>
            <w:r w:rsidRPr="00271376">
              <w:t>12.8</w:t>
            </w:r>
          </w:p>
        </w:tc>
        <w:tc>
          <w:tcPr>
            <w:tcW w:w="1027" w:type="dxa"/>
            <w:vAlign w:val="center"/>
          </w:tcPr>
          <w:p w:rsidR="00E17C0A" w:rsidRPr="00271376" w:rsidRDefault="00E17C0A" w:rsidP="00645110">
            <w:pPr>
              <w:pStyle w:val="TableFigText"/>
              <w:jc w:val="right"/>
            </w:pPr>
            <w:r w:rsidRPr="00271376">
              <w:t>8.5</w:t>
            </w:r>
          </w:p>
        </w:tc>
        <w:tc>
          <w:tcPr>
            <w:tcW w:w="1074" w:type="dxa"/>
            <w:vAlign w:val="center"/>
          </w:tcPr>
          <w:p w:rsidR="00E17C0A" w:rsidRPr="00271376" w:rsidRDefault="00E17C0A" w:rsidP="00645110">
            <w:pPr>
              <w:pStyle w:val="TableFigText"/>
              <w:jc w:val="right"/>
            </w:pPr>
            <w:r w:rsidRPr="00271376">
              <w:t>3.2</w:t>
            </w:r>
          </w:p>
        </w:tc>
        <w:tc>
          <w:tcPr>
            <w:tcW w:w="1054" w:type="dxa"/>
            <w:vAlign w:val="center"/>
          </w:tcPr>
          <w:p w:rsidR="00E17C0A" w:rsidRPr="00271376" w:rsidRDefault="00E17C0A" w:rsidP="00645110">
            <w:pPr>
              <w:pStyle w:val="TableFigText"/>
              <w:jc w:val="right"/>
            </w:pPr>
            <w:r w:rsidRPr="00271376">
              <w:t>24.5</w:t>
            </w:r>
          </w:p>
        </w:tc>
      </w:tr>
      <w:tr w:rsidR="00E17C0A" w:rsidRPr="00EF5802" w:rsidTr="005B2C04">
        <w:tc>
          <w:tcPr>
            <w:tcW w:w="2410" w:type="dxa"/>
          </w:tcPr>
          <w:p w:rsidR="00E17C0A" w:rsidRPr="00EF5802" w:rsidRDefault="00E17C0A" w:rsidP="005B2C04">
            <w:pPr>
              <w:pStyle w:val="TableFigText"/>
              <w:keepNext/>
              <w:rPr>
                <w:rFonts w:asciiTheme="minorHAnsi" w:hAnsiTheme="minorHAnsi" w:cstheme="minorHAnsi"/>
                <w:b/>
                <w:szCs w:val="22"/>
              </w:rPr>
            </w:pPr>
            <w:r w:rsidRPr="00EF5802">
              <w:rPr>
                <w:rFonts w:asciiTheme="minorHAnsi" w:hAnsiTheme="minorHAnsi" w:cstheme="minorHAnsi"/>
                <w:b/>
                <w:szCs w:val="22"/>
              </w:rPr>
              <w:t>Total</w:t>
            </w:r>
            <w:r w:rsidRPr="00EF5802">
              <w:rPr>
                <w:rFonts w:asciiTheme="minorHAnsi" w:hAnsiTheme="minorHAnsi" w:cstheme="minorHAnsi"/>
                <w:b/>
                <w:szCs w:val="22"/>
                <w:vertAlign w:val="superscript"/>
              </w:rPr>
              <w:t>(a)</w:t>
            </w:r>
          </w:p>
        </w:tc>
        <w:tc>
          <w:tcPr>
            <w:tcW w:w="1146" w:type="dxa"/>
            <w:vAlign w:val="center"/>
          </w:tcPr>
          <w:p w:rsidR="00E17C0A" w:rsidRPr="00645110" w:rsidRDefault="00E17C0A" w:rsidP="00645110">
            <w:pPr>
              <w:pStyle w:val="TableFigText"/>
              <w:jc w:val="right"/>
              <w:rPr>
                <w:b/>
              </w:rPr>
            </w:pPr>
            <w:r w:rsidRPr="00645110">
              <w:rPr>
                <w:b/>
              </w:rPr>
              <w:t>n/a</w:t>
            </w:r>
          </w:p>
        </w:tc>
        <w:tc>
          <w:tcPr>
            <w:tcW w:w="1346" w:type="dxa"/>
            <w:vAlign w:val="center"/>
          </w:tcPr>
          <w:p w:rsidR="00E17C0A" w:rsidRPr="00645110" w:rsidRDefault="00E17C0A" w:rsidP="00645110">
            <w:pPr>
              <w:pStyle w:val="TableFigText"/>
              <w:jc w:val="right"/>
              <w:rPr>
                <w:b/>
              </w:rPr>
            </w:pPr>
            <w:r w:rsidRPr="00645110">
              <w:rPr>
                <w:b/>
              </w:rPr>
              <w:t>n/a</w:t>
            </w:r>
          </w:p>
        </w:tc>
        <w:tc>
          <w:tcPr>
            <w:tcW w:w="1229" w:type="dxa"/>
            <w:vAlign w:val="center"/>
          </w:tcPr>
          <w:p w:rsidR="00E17C0A" w:rsidRPr="00645110" w:rsidRDefault="00E17C0A" w:rsidP="00645110">
            <w:pPr>
              <w:pStyle w:val="TableFigText"/>
              <w:jc w:val="right"/>
              <w:rPr>
                <w:b/>
              </w:rPr>
            </w:pPr>
            <w:r w:rsidRPr="00645110">
              <w:rPr>
                <w:b/>
              </w:rPr>
              <w:t>111.7</w:t>
            </w:r>
          </w:p>
        </w:tc>
        <w:tc>
          <w:tcPr>
            <w:tcW w:w="1027" w:type="dxa"/>
            <w:vAlign w:val="center"/>
          </w:tcPr>
          <w:p w:rsidR="00E17C0A" w:rsidRPr="00645110" w:rsidRDefault="00E17C0A" w:rsidP="00645110">
            <w:pPr>
              <w:pStyle w:val="TableFigText"/>
              <w:jc w:val="right"/>
              <w:rPr>
                <w:b/>
              </w:rPr>
            </w:pPr>
            <w:r w:rsidRPr="00645110">
              <w:rPr>
                <w:b/>
              </w:rPr>
              <w:t>56.6</w:t>
            </w:r>
          </w:p>
        </w:tc>
        <w:tc>
          <w:tcPr>
            <w:tcW w:w="1074" w:type="dxa"/>
            <w:vAlign w:val="center"/>
          </w:tcPr>
          <w:p w:rsidR="00E17C0A" w:rsidRPr="00645110" w:rsidRDefault="00E17C0A" w:rsidP="00645110">
            <w:pPr>
              <w:pStyle w:val="TableFigText"/>
              <w:jc w:val="right"/>
              <w:rPr>
                <w:b/>
              </w:rPr>
            </w:pPr>
            <w:r w:rsidRPr="00645110">
              <w:rPr>
                <w:b/>
              </w:rPr>
              <w:t>23.7</w:t>
            </w:r>
          </w:p>
        </w:tc>
        <w:tc>
          <w:tcPr>
            <w:tcW w:w="1054" w:type="dxa"/>
            <w:vAlign w:val="center"/>
          </w:tcPr>
          <w:p w:rsidR="00E17C0A" w:rsidRPr="00645110" w:rsidRDefault="00E17C0A" w:rsidP="00645110">
            <w:pPr>
              <w:pStyle w:val="TableFigText"/>
              <w:jc w:val="right"/>
              <w:rPr>
                <w:b/>
              </w:rPr>
            </w:pPr>
            <w:r w:rsidRPr="00645110">
              <w:rPr>
                <w:b/>
              </w:rPr>
              <w:t>192.0</w:t>
            </w:r>
          </w:p>
        </w:tc>
      </w:tr>
    </w:tbl>
    <w:p w:rsidR="00E17C0A" w:rsidRPr="007253FD" w:rsidRDefault="00E17C0A" w:rsidP="007253FD">
      <w:pPr>
        <w:pStyle w:val="TableFigNotesnumbered"/>
        <w:numPr>
          <w:ilvl w:val="0"/>
          <w:numId w:val="104"/>
        </w:numPr>
        <w:rPr>
          <w:rStyle w:val="table-note"/>
        </w:rPr>
      </w:pPr>
      <w:r w:rsidRPr="007253FD">
        <w:rPr>
          <w:rStyle w:val="table-note"/>
        </w:rPr>
        <w:t>Totals may not add due to rounding.</w:t>
      </w:r>
    </w:p>
    <w:p w:rsidR="00E17C0A" w:rsidRPr="007253FD" w:rsidRDefault="00E17C0A" w:rsidP="007253FD">
      <w:pPr>
        <w:pStyle w:val="TableFigNotesnumbered"/>
        <w:numPr>
          <w:ilvl w:val="0"/>
          <w:numId w:val="104"/>
        </w:numPr>
        <w:rPr>
          <w:rStyle w:val="table-note"/>
        </w:rPr>
      </w:pPr>
      <w:r w:rsidRPr="007253FD">
        <w:rPr>
          <w:rStyle w:val="table-note"/>
        </w:rPr>
        <w:t>Diagnostic and health professionals includes qualified staff (other than qualified medical or nursing staff) engaged in duties of a diagnostic, professional or technical nature and covers all allied health professionals and laboratory technicians, including Social Workers, Occupational Therapists and others  (</w:t>
      </w:r>
      <w:proofErr w:type="spellStart"/>
      <w:r w:rsidRPr="007253FD">
        <w:rPr>
          <w:rStyle w:val="table-note"/>
        </w:rPr>
        <w:t>METeOR</w:t>
      </w:r>
      <w:proofErr w:type="spellEnd"/>
      <w:r w:rsidRPr="007253FD">
        <w:rPr>
          <w:rStyle w:val="table-note"/>
        </w:rPr>
        <w:t xml:space="preserve"> identifier 287611).</w:t>
      </w:r>
    </w:p>
    <w:p w:rsidR="00E17C0A" w:rsidRPr="007253FD" w:rsidRDefault="00E17C0A" w:rsidP="007253FD">
      <w:pPr>
        <w:pStyle w:val="TableFigNotesnumbered"/>
        <w:numPr>
          <w:ilvl w:val="0"/>
          <w:numId w:val="104"/>
        </w:numPr>
        <w:rPr>
          <w:rStyle w:val="table-note"/>
        </w:rPr>
      </w:pPr>
      <w:r w:rsidRPr="007253FD">
        <w:rPr>
          <w:rStyle w:val="table-note"/>
        </w:rPr>
        <w:t>Includes registered and enrolled nurses.</w:t>
      </w:r>
    </w:p>
    <w:p w:rsidR="00E17C0A" w:rsidRPr="007253FD" w:rsidRDefault="00E17C0A" w:rsidP="007253FD">
      <w:pPr>
        <w:pStyle w:val="TableFigNotesnumbered"/>
        <w:numPr>
          <w:ilvl w:val="0"/>
          <w:numId w:val="104"/>
        </w:numPr>
        <w:rPr>
          <w:rStyle w:val="table-note"/>
        </w:rPr>
      </w:pPr>
      <w:r w:rsidRPr="007253FD">
        <w:rPr>
          <w:rStyle w:val="table-note"/>
        </w:rPr>
        <w:t xml:space="preserve">The definition of these categories was modified from 'consultants' to 'mental health workers' for the 2010–11 collection, in order to capture a variety of contemporary roles. </w:t>
      </w:r>
    </w:p>
    <w:p w:rsidR="00E17C0A" w:rsidRPr="007253FD" w:rsidRDefault="00E17C0A" w:rsidP="007253FD">
      <w:pPr>
        <w:pStyle w:val="TableFigNotesnumbered"/>
        <w:numPr>
          <w:ilvl w:val="0"/>
          <w:numId w:val="104"/>
        </w:numPr>
        <w:rPr>
          <w:rStyle w:val="table-note"/>
        </w:rPr>
      </w:pPr>
      <w:r w:rsidRPr="007253FD">
        <w:rPr>
          <w:rStyle w:val="table-note"/>
        </w:rPr>
        <w:lastRenderedPageBreak/>
        <w:t>Other personal care staff includes staff engaged primarily in the provision of personal care to patients or residents, not formally qualified, for example attendants, assistants of home assistance, home companions, family aides, ward helpers, warders, orderlies, ward assistants and nursing assistants (</w:t>
      </w:r>
      <w:proofErr w:type="spellStart"/>
      <w:r w:rsidRPr="007253FD">
        <w:rPr>
          <w:rStyle w:val="table-note"/>
        </w:rPr>
        <w:t>METeOR</w:t>
      </w:r>
      <w:proofErr w:type="spellEnd"/>
      <w:r w:rsidRPr="007253FD">
        <w:rPr>
          <w:rStyle w:val="table-note"/>
        </w:rPr>
        <w:t xml:space="preserve"> 270171).</w:t>
      </w:r>
    </w:p>
    <w:p w:rsidR="00E17C0A" w:rsidRPr="007253FD" w:rsidRDefault="00E17C0A" w:rsidP="007253FD">
      <w:pPr>
        <w:pStyle w:val="TableFigNotesnumbered"/>
        <w:numPr>
          <w:ilvl w:val="0"/>
          <w:numId w:val="104"/>
        </w:numPr>
        <w:rPr>
          <w:rStyle w:val="table-note"/>
        </w:rPr>
      </w:pPr>
      <w:r w:rsidRPr="007253FD">
        <w:rPr>
          <w:rStyle w:val="table-note"/>
        </w:rPr>
        <w:t xml:space="preserve">Other </w:t>
      </w:r>
      <w:proofErr w:type="gramStart"/>
      <w:r w:rsidRPr="007253FD">
        <w:rPr>
          <w:rStyle w:val="table-note"/>
        </w:rPr>
        <w:t>staff</w:t>
      </w:r>
      <w:proofErr w:type="gramEnd"/>
      <w:r w:rsidRPr="007253FD">
        <w:rPr>
          <w:rStyle w:val="table-note"/>
        </w:rPr>
        <w:t xml:space="preserve"> includes administrative and clerical and domestic and other staff categories. </w:t>
      </w:r>
    </w:p>
    <w:p w:rsidR="00E17C0A" w:rsidRPr="00207B28" w:rsidRDefault="00E17C0A" w:rsidP="00E17C0A">
      <w:pPr>
        <w:spacing w:before="0" w:after="0" w:line="240" w:lineRule="auto"/>
        <w:rPr>
          <w:rFonts w:asciiTheme="minorHAnsi" w:hAnsiTheme="minorHAnsi" w:cstheme="minorHAnsi"/>
        </w:rPr>
      </w:pPr>
    </w:p>
    <w:p w:rsidR="00E17C0A" w:rsidRPr="007253FD" w:rsidRDefault="00E17C0A" w:rsidP="00E17C0A">
      <w:pPr>
        <w:spacing w:before="0" w:after="0" w:line="240" w:lineRule="auto"/>
        <w:rPr>
          <w:rStyle w:val="table-note"/>
          <w:rFonts w:ascii="Arial" w:hAnsi="Arial"/>
          <w:sz w:val="14"/>
          <w:szCs w:val="20"/>
          <w:lang w:eastAsia="en-US"/>
        </w:rPr>
      </w:pPr>
      <w:r w:rsidRPr="007253FD">
        <w:rPr>
          <w:rStyle w:val="table-note"/>
          <w:rFonts w:ascii="Arial" w:hAnsi="Arial"/>
          <w:sz w:val="14"/>
          <w:szCs w:val="20"/>
          <w:lang w:eastAsia="en-US"/>
        </w:rPr>
        <w:t>Notes:</w:t>
      </w:r>
      <w:r w:rsidRPr="007253FD">
        <w:rPr>
          <w:rStyle w:val="table-note"/>
          <w:rFonts w:ascii="Arial" w:hAnsi="Arial"/>
          <w:sz w:val="14"/>
          <w:szCs w:val="20"/>
          <w:lang w:eastAsia="en-US"/>
        </w:rPr>
        <w:tab/>
      </w:r>
    </w:p>
    <w:p w:rsidR="00E17C0A" w:rsidRPr="007253FD" w:rsidRDefault="00E17C0A" w:rsidP="00540186">
      <w:pPr>
        <w:pStyle w:val="ListParagraph"/>
        <w:numPr>
          <w:ilvl w:val="0"/>
          <w:numId w:val="29"/>
        </w:numPr>
        <w:spacing w:after="0" w:line="240" w:lineRule="auto"/>
        <w:rPr>
          <w:rStyle w:val="table-note"/>
          <w:rFonts w:ascii="Arial" w:eastAsia="Times New Roman" w:hAnsi="Arial" w:cs="Times New Roman"/>
          <w:sz w:val="14"/>
          <w:szCs w:val="20"/>
          <w:lang w:eastAsia="en-US"/>
        </w:rPr>
      </w:pPr>
      <w:r w:rsidRPr="007253FD">
        <w:rPr>
          <w:rStyle w:val="table-note"/>
          <w:rFonts w:ascii="Arial" w:eastAsia="Times New Roman" w:hAnsi="Arial" w:cs="Times New Roman"/>
          <w:sz w:val="14"/>
          <w:szCs w:val="20"/>
          <w:lang w:eastAsia="en-US"/>
        </w:rPr>
        <w:t xml:space="preserve">Includes consumer and carer workers and staff employed at a higher organisational level. Excludes staff employed at regional or state level in mental health policy units of the associated relevant health department or equivalent. </w:t>
      </w:r>
    </w:p>
    <w:p w:rsidR="00E17C0A" w:rsidRPr="007253FD" w:rsidRDefault="00E17C0A" w:rsidP="00540186">
      <w:pPr>
        <w:pStyle w:val="ListParagraph"/>
        <w:numPr>
          <w:ilvl w:val="0"/>
          <w:numId w:val="29"/>
        </w:numPr>
        <w:spacing w:after="0" w:line="240" w:lineRule="auto"/>
        <w:rPr>
          <w:rStyle w:val="table-note"/>
          <w:rFonts w:ascii="Arial" w:eastAsia="Times New Roman" w:hAnsi="Arial" w:cs="Times New Roman"/>
          <w:sz w:val="14"/>
          <w:szCs w:val="20"/>
          <w:lang w:eastAsia="en-US"/>
        </w:rPr>
      </w:pPr>
      <w:r w:rsidRPr="007253FD">
        <w:rPr>
          <w:rStyle w:val="table-note"/>
          <w:rFonts w:ascii="Arial" w:eastAsia="Times New Roman" w:hAnsi="Arial" w:cs="Times New Roman"/>
          <w:sz w:val="14"/>
          <w:szCs w:val="20"/>
          <w:lang w:eastAsia="en-US"/>
        </w:rPr>
        <w:t>Domestic staff FTE figures are not available for the Northern Territory.</w:t>
      </w:r>
    </w:p>
    <w:p w:rsidR="00E17C0A" w:rsidRPr="008A3F74" w:rsidRDefault="008A3F74" w:rsidP="00E17C0A">
      <w:pPr>
        <w:pStyle w:val="TableCaption"/>
        <w:rPr>
          <w:rStyle w:val="table-note"/>
        </w:rPr>
      </w:pPr>
      <w:r w:rsidRPr="008A3F74">
        <w:rPr>
          <w:rStyle w:val="table-note"/>
        </w:rPr>
        <w:t xml:space="preserve">Table 69: </w:t>
      </w:r>
      <w:r w:rsidR="00E17C0A" w:rsidRPr="008A3F74">
        <w:rPr>
          <w:rStyle w:val="table-note"/>
        </w:rPr>
        <w:t>NT: Full-time-equivalent staff, state and territory specialised mental health care facilities, by staffing category, 2011–12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NT: Full-time-equivalent staff, state and territory specialised mental health care facilities, by staffing category, 2011–12"/>
        <w:tblDescription w:val="Table showing, in 2011-12, the number of full-time-equivalent (FTE) staff in specialised mental health care facilities across NT region types.  Outer regional areas have the highest number of all types of FTE staff at 142.5. Nurses were the highest FTE staff type overall, across all region types, at 119.3. The major cities and inner regional categories were not applicable."/>
      </w:tblPr>
      <w:tblGrid>
        <w:gridCol w:w="2410"/>
        <w:gridCol w:w="1146"/>
        <w:gridCol w:w="1346"/>
        <w:gridCol w:w="1229"/>
        <w:gridCol w:w="1027"/>
        <w:gridCol w:w="1074"/>
        <w:gridCol w:w="1054"/>
      </w:tblGrid>
      <w:tr w:rsidR="00E17C0A" w:rsidRPr="00EF5802" w:rsidTr="000C3DEA">
        <w:trPr>
          <w:tblHeader/>
        </w:trPr>
        <w:tc>
          <w:tcPr>
            <w:tcW w:w="2410" w:type="dxa"/>
          </w:tcPr>
          <w:p w:rsidR="00E17C0A" w:rsidRPr="00EF5802" w:rsidRDefault="00E17C0A" w:rsidP="005B2C04">
            <w:pPr>
              <w:pStyle w:val="TableFigText"/>
              <w:keepNext/>
              <w:rPr>
                <w:rFonts w:asciiTheme="minorHAnsi" w:hAnsiTheme="minorHAnsi" w:cstheme="minorHAnsi"/>
                <w:szCs w:val="22"/>
              </w:rPr>
            </w:pPr>
          </w:p>
        </w:tc>
        <w:tc>
          <w:tcPr>
            <w:tcW w:w="1146"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Major cities</w:t>
            </w:r>
          </w:p>
        </w:tc>
        <w:tc>
          <w:tcPr>
            <w:tcW w:w="1346"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Inner regional</w:t>
            </w:r>
          </w:p>
        </w:tc>
        <w:tc>
          <w:tcPr>
            <w:tcW w:w="1229"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Outer regional</w:t>
            </w:r>
          </w:p>
        </w:tc>
        <w:tc>
          <w:tcPr>
            <w:tcW w:w="1027"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Remote</w:t>
            </w:r>
          </w:p>
        </w:tc>
        <w:tc>
          <w:tcPr>
            <w:tcW w:w="1074"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Very remote</w:t>
            </w:r>
          </w:p>
        </w:tc>
        <w:tc>
          <w:tcPr>
            <w:tcW w:w="1054"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Total</w:t>
            </w:r>
            <w:r w:rsidRPr="00E86D05">
              <w:rPr>
                <w:rFonts w:asciiTheme="minorHAnsi" w:hAnsiTheme="minorHAnsi" w:cstheme="minorHAnsi"/>
                <w:b/>
                <w:szCs w:val="22"/>
                <w:vertAlign w:val="superscript"/>
              </w:rPr>
              <w:t>(a)</w:t>
            </w:r>
          </w:p>
        </w:tc>
      </w:tr>
      <w:tr w:rsidR="00E17C0A" w:rsidRPr="00EF5802" w:rsidTr="005B2C04">
        <w:tc>
          <w:tcPr>
            <w:tcW w:w="2410" w:type="dxa"/>
          </w:tcPr>
          <w:p w:rsidR="00E17C0A" w:rsidRPr="00EF5802" w:rsidRDefault="00E17C0A" w:rsidP="005B2C04">
            <w:pPr>
              <w:pStyle w:val="TableFigText"/>
              <w:keepNext/>
              <w:rPr>
                <w:rFonts w:asciiTheme="minorHAnsi" w:hAnsiTheme="minorHAnsi" w:cstheme="minorHAnsi"/>
                <w:szCs w:val="22"/>
              </w:rPr>
            </w:pPr>
            <w:r w:rsidRPr="00EF5802">
              <w:rPr>
                <w:rFonts w:asciiTheme="minorHAnsi" w:hAnsiTheme="minorHAnsi" w:cstheme="minorHAnsi"/>
                <w:szCs w:val="22"/>
              </w:rPr>
              <w:t>Consultant psychiatrists and psychiatrists</w:t>
            </w:r>
          </w:p>
        </w:tc>
        <w:tc>
          <w:tcPr>
            <w:tcW w:w="1146" w:type="dxa"/>
            <w:vAlign w:val="center"/>
          </w:tcPr>
          <w:p w:rsidR="00E17C0A" w:rsidRPr="00271376" w:rsidRDefault="00E17C0A" w:rsidP="00645110">
            <w:pPr>
              <w:pStyle w:val="TableFigText"/>
              <w:jc w:val="right"/>
            </w:pPr>
            <w:r w:rsidRPr="00271376">
              <w:t>n/a</w:t>
            </w:r>
          </w:p>
        </w:tc>
        <w:tc>
          <w:tcPr>
            <w:tcW w:w="1346" w:type="dxa"/>
            <w:vAlign w:val="center"/>
          </w:tcPr>
          <w:p w:rsidR="00E17C0A" w:rsidRPr="00271376" w:rsidRDefault="00E17C0A" w:rsidP="00645110">
            <w:pPr>
              <w:pStyle w:val="TableFigText"/>
              <w:jc w:val="right"/>
            </w:pPr>
            <w:r w:rsidRPr="00271376">
              <w:t>n/a</w:t>
            </w:r>
          </w:p>
        </w:tc>
        <w:tc>
          <w:tcPr>
            <w:tcW w:w="1229" w:type="dxa"/>
            <w:vAlign w:val="center"/>
          </w:tcPr>
          <w:p w:rsidR="00E17C0A" w:rsidRPr="00271376" w:rsidRDefault="00E17C0A" w:rsidP="00645110">
            <w:pPr>
              <w:pStyle w:val="TableFigText"/>
              <w:jc w:val="right"/>
            </w:pPr>
            <w:r w:rsidRPr="00271376">
              <w:t>5.9</w:t>
            </w:r>
          </w:p>
        </w:tc>
        <w:tc>
          <w:tcPr>
            <w:tcW w:w="1027" w:type="dxa"/>
            <w:vAlign w:val="center"/>
          </w:tcPr>
          <w:p w:rsidR="00E17C0A" w:rsidRPr="00271376" w:rsidRDefault="00E17C0A" w:rsidP="00645110">
            <w:pPr>
              <w:pStyle w:val="TableFigText"/>
              <w:jc w:val="right"/>
            </w:pPr>
            <w:r w:rsidRPr="00271376">
              <w:t>7.4</w:t>
            </w:r>
          </w:p>
        </w:tc>
        <w:tc>
          <w:tcPr>
            <w:tcW w:w="1074" w:type="dxa"/>
            <w:vAlign w:val="center"/>
          </w:tcPr>
          <w:p w:rsidR="00E17C0A" w:rsidRPr="00271376" w:rsidRDefault="00E17C0A" w:rsidP="00645110">
            <w:pPr>
              <w:pStyle w:val="TableFigText"/>
              <w:jc w:val="right"/>
            </w:pPr>
            <w:r w:rsidRPr="00271376">
              <w:t>2.2</w:t>
            </w:r>
          </w:p>
        </w:tc>
        <w:tc>
          <w:tcPr>
            <w:tcW w:w="1054" w:type="dxa"/>
            <w:vAlign w:val="center"/>
          </w:tcPr>
          <w:p w:rsidR="00E17C0A" w:rsidRPr="00271376" w:rsidRDefault="00E17C0A" w:rsidP="00645110">
            <w:pPr>
              <w:pStyle w:val="TableFigText"/>
              <w:jc w:val="right"/>
            </w:pPr>
            <w:r w:rsidRPr="00271376">
              <w:t>15.5</w:t>
            </w:r>
          </w:p>
        </w:tc>
      </w:tr>
      <w:tr w:rsidR="00E17C0A" w:rsidRPr="00EF5802" w:rsidTr="005B2C04">
        <w:tc>
          <w:tcPr>
            <w:tcW w:w="2410" w:type="dxa"/>
          </w:tcPr>
          <w:p w:rsidR="00E17C0A" w:rsidRPr="00EF5802" w:rsidRDefault="00E17C0A" w:rsidP="005B2C04">
            <w:pPr>
              <w:pStyle w:val="TableFigText"/>
              <w:keepNext/>
              <w:rPr>
                <w:rFonts w:asciiTheme="minorHAnsi" w:hAnsiTheme="minorHAnsi" w:cstheme="minorHAnsi"/>
                <w:szCs w:val="22"/>
              </w:rPr>
            </w:pPr>
            <w:r w:rsidRPr="00EF5802">
              <w:rPr>
                <w:rFonts w:asciiTheme="minorHAnsi" w:hAnsiTheme="minorHAnsi" w:cstheme="minorHAnsi"/>
                <w:szCs w:val="22"/>
              </w:rPr>
              <w:t>Psychiatry registrars and trainees</w:t>
            </w:r>
          </w:p>
        </w:tc>
        <w:tc>
          <w:tcPr>
            <w:tcW w:w="1146" w:type="dxa"/>
            <w:vAlign w:val="center"/>
          </w:tcPr>
          <w:p w:rsidR="00E17C0A" w:rsidRPr="00271376" w:rsidRDefault="00E17C0A" w:rsidP="00645110">
            <w:pPr>
              <w:pStyle w:val="TableFigText"/>
              <w:jc w:val="right"/>
            </w:pPr>
            <w:r w:rsidRPr="00271376">
              <w:t>n/a</w:t>
            </w:r>
          </w:p>
        </w:tc>
        <w:tc>
          <w:tcPr>
            <w:tcW w:w="1346" w:type="dxa"/>
            <w:vAlign w:val="center"/>
          </w:tcPr>
          <w:p w:rsidR="00E17C0A" w:rsidRPr="00271376" w:rsidRDefault="00E17C0A" w:rsidP="00645110">
            <w:pPr>
              <w:pStyle w:val="TableFigText"/>
              <w:jc w:val="right"/>
            </w:pPr>
            <w:r w:rsidRPr="00271376">
              <w:t>n/a</w:t>
            </w:r>
          </w:p>
        </w:tc>
        <w:tc>
          <w:tcPr>
            <w:tcW w:w="1229" w:type="dxa"/>
            <w:vAlign w:val="center"/>
          </w:tcPr>
          <w:p w:rsidR="00E17C0A" w:rsidRPr="00271376" w:rsidRDefault="00E17C0A" w:rsidP="00645110">
            <w:pPr>
              <w:pStyle w:val="TableFigText"/>
              <w:jc w:val="right"/>
            </w:pPr>
            <w:r w:rsidRPr="00271376">
              <w:t>9.0</w:t>
            </w:r>
          </w:p>
        </w:tc>
        <w:tc>
          <w:tcPr>
            <w:tcW w:w="1027" w:type="dxa"/>
            <w:vAlign w:val="center"/>
          </w:tcPr>
          <w:p w:rsidR="00E17C0A" w:rsidRPr="00271376" w:rsidRDefault="00E17C0A" w:rsidP="00645110">
            <w:pPr>
              <w:pStyle w:val="TableFigText"/>
              <w:jc w:val="right"/>
            </w:pPr>
            <w:r w:rsidRPr="00271376">
              <w:t>3.9</w:t>
            </w:r>
          </w:p>
        </w:tc>
        <w:tc>
          <w:tcPr>
            <w:tcW w:w="1074" w:type="dxa"/>
            <w:vAlign w:val="center"/>
          </w:tcPr>
          <w:p w:rsidR="00E17C0A" w:rsidRPr="00271376" w:rsidRDefault="00E17C0A" w:rsidP="00645110">
            <w:pPr>
              <w:pStyle w:val="TableFigText"/>
              <w:jc w:val="right"/>
            </w:pPr>
            <w:r w:rsidRPr="00271376">
              <w:t>1.8</w:t>
            </w:r>
          </w:p>
        </w:tc>
        <w:tc>
          <w:tcPr>
            <w:tcW w:w="1054" w:type="dxa"/>
            <w:vAlign w:val="center"/>
          </w:tcPr>
          <w:p w:rsidR="00E17C0A" w:rsidRPr="00271376" w:rsidRDefault="00E17C0A" w:rsidP="00645110">
            <w:pPr>
              <w:pStyle w:val="TableFigText"/>
              <w:jc w:val="right"/>
            </w:pPr>
            <w:r w:rsidRPr="00271376">
              <w:t>14.7</w:t>
            </w:r>
          </w:p>
        </w:tc>
      </w:tr>
      <w:tr w:rsidR="00E17C0A" w:rsidRPr="00EF5802" w:rsidTr="005B2C04">
        <w:tc>
          <w:tcPr>
            <w:tcW w:w="2410" w:type="dxa"/>
          </w:tcPr>
          <w:p w:rsidR="00E17C0A" w:rsidRPr="00EF5802" w:rsidRDefault="00E17C0A" w:rsidP="005B2C04">
            <w:pPr>
              <w:pStyle w:val="TableFigText"/>
              <w:keepNext/>
              <w:rPr>
                <w:rFonts w:asciiTheme="minorHAnsi" w:hAnsiTheme="minorHAnsi" w:cstheme="minorHAnsi"/>
                <w:szCs w:val="22"/>
              </w:rPr>
            </w:pPr>
            <w:r w:rsidRPr="00EF5802">
              <w:rPr>
                <w:rFonts w:asciiTheme="minorHAnsi" w:hAnsiTheme="minorHAnsi" w:cstheme="minorHAnsi"/>
                <w:szCs w:val="22"/>
              </w:rPr>
              <w:t>Other medical officers</w:t>
            </w:r>
          </w:p>
        </w:tc>
        <w:tc>
          <w:tcPr>
            <w:tcW w:w="1146" w:type="dxa"/>
            <w:vAlign w:val="center"/>
          </w:tcPr>
          <w:p w:rsidR="00E17C0A" w:rsidRPr="00271376" w:rsidRDefault="00E17C0A" w:rsidP="00645110">
            <w:pPr>
              <w:pStyle w:val="TableFigText"/>
              <w:jc w:val="right"/>
            </w:pPr>
            <w:r w:rsidRPr="00271376">
              <w:t>n/a</w:t>
            </w:r>
          </w:p>
        </w:tc>
        <w:tc>
          <w:tcPr>
            <w:tcW w:w="1346" w:type="dxa"/>
            <w:vAlign w:val="center"/>
          </w:tcPr>
          <w:p w:rsidR="00E17C0A" w:rsidRPr="00271376" w:rsidRDefault="00E17C0A" w:rsidP="00645110">
            <w:pPr>
              <w:pStyle w:val="TableFigText"/>
              <w:jc w:val="right"/>
            </w:pPr>
            <w:r w:rsidRPr="00271376">
              <w:t>n/a</w:t>
            </w:r>
          </w:p>
        </w:tc>
        <w:tc>
          <w:tcPr>
            <w:tcW w:w="1229" w:type="dxa"/>
            <w:vAlign w:val="center"/>
          </w:tcPr>
          <w:p w:rsidR="00E17C0A" w:rsidRPr="00271376" w:rsidRDefault="00E17C0A" w:rsidP="00645110">
            <w:pPr>
              <w:pStyle w:val="TableFigText"/>
              <w:jc w:val="right"/>
            </w:pPr>
            <w:r w:rsidRPr="00271376">
              <w:t>0.8</w:t>
            </w:r>
          </w:p>
        </w:tc>
        <w:tc>
          <w:tcPr>
            <w:tcW w:w="1027" w:type="dxa"/>
            <w:vAlign w:val="center"/>
          </w:tcPr>
          <w:p w:rsidR="00E17C0A" w:rsidRPr="00271376" w:rsidRDefault="00E17C0A" w:rsidP="00645110">
            <w:pPr>
              <w:pStyle w:val="TableFigText"/>
              <w:jc w:val="right"/>
            </w:pPr>
            <w:r w:rsidRPr="00271376">
              <w:t>0.1</w:t>
            </w:r>
          </w:p>
        </w:tc>
        <w:tc>
          <w:tcPr>
            <w:tcW w:w="1074" w:type="dxa"/>
            <w:vAlign w:val="center"/>
          </w:tcPr>
          <w:p w:rsidR="00E17C0A" w:rsidRPr="00271376" w:rsidRDefault="00E17C0A" w:rsidP="00645110">
            <w:pPr>
              <w:pStyle w:val="TableFigText"/>
              <w:jc w:val="right"/>
            </w:pPr>
            <w:r w:rsidRPr="00271376">
              <w:t>0.1</w:t>
            </w:r>
          </w:p>
        </w:tc>
        <w:tc>
          <w:tcPr>
            <w:tcW w:w="1054" w:type="dxa"/>
            <w:vAlign w:val="center"/>
          </w:tcPr>
          <w:p w:rsidR="00E17C0A" w:rsidRPr="00271376" w:rsidRDefault="00E17C0A" w:rsidP="00645110">
            <w:pPr>
              <w:pStyle w:val="TableFigText"/>
              <w:jc w:val="right"/>
            </w:pPr>
            <w:r w:rsidRPr="00271376">
              <w:t>1.0</w:t>
            </w:r>
          </w:p>
        </w:tc>
      </w:tr>
      <w:tr w:rsidR="00E17C0A" w:rsidRPr="00EF5802" w:rsidTr="005B2C04">
        <w:tc>
          <w:tcPr>
            <w:tcW w:w="2410" w:type="dxa"/>
          </w:tcPr>
          <w:p w:rsidR="00E17C0A" w:rsidRPr="00EF5802" w:rsidRDefault="00E17C0A" w:rsidP="005B2C04">
            <w:pPr>
              <w:pStyle w:val="TableFigText"/>
              <w:keepNext/>
              <w:rPr>
                <w:rFonts w:asciiTheme="minorHAnsi" w:hAnsiTheme="minorHAnsi" w:cstheme="minorHAnsi"/>
                <w:szCs w:val="22"/>
              </w:rPr>
            </w:pPr>
            <w:r w:rsidRPr="00EF5802">
              <w:rPr>
                <w:rFonts w:asciiTheme="minorHAnsi" w:hAnsiTheme="minorHAnsi" w:cstheme="minorHAnsi"/>
                <w:szCs w:val="22"/>
              </w:rPr>
              <w:t>Psychologists</w:t>
            </w:r>
          </w:p>
        </w:tc>
        <w:tc>
          <w:tcPr>
            <w:tcW w:w="1146" w:type="dxa"/>
            <w:vAlign w:val="center"/>
          </w:tcPr>
          <w:p w:rsidR="00E17C0A" w:rsidRPr="00271376" w:rsidRDefault="00E17C0A" w:rsidP="00645110">
            <w:pPr>
              <w:pStyle w:val="TableFigText"/>
              <w:jc w:val="right"/>
            </w:pPr>
            <w:r w:rsidRPr="00271376">
              <w:t>n/a</w:t>
            </w:r>
          </w:p>
        </w:tc>
        <w:tc>
          <w:tcPr>
            <w:tcW w:w="1346" w:type="dxa"/>
            <w:vAlign w:val="center"/>
          </w:tcPr>
          <w:p w:rsidR="00E17C0A" w:rsidRPr="00271376" w:rsidRDefault="00E17C0A" w:rsidP="00645110">
            <w:pPr>
              <w:pStyle w:val="TableFigText"/>
              <w:jc w:val="right"/>
            </w:pPr>
            <w:r w:rsidRPr="00271376">
              <w:t>n/a</w:t>
            </w:r>
          </w:p>
        </w:tc>
        <w:tc>
          <w:tcPr>
            <w:tcW w:w="1229" w:type="dxa"/>
            <w:vAlign w:val="center"/>
          </w:tcPr>
          <w:p w:rsidR="00E17C0A" w:rsidRPr="00271376" w:rsidRDefault="00E17C0A" w:rsidP="00645110">
            <w:pPr>
              <w:pStyle w:val="TableFigText"/>
              <w:jc w:val="right"/>
            </w:pPr>
            <w:r w:rsidRPr="00271376">
              <w:t>8.5</w:t>
            </w:r>
          </w:p>
        </w:tc>
        <w:tc>
          <w:tcPr>
            <w:tcW w:w="1027" w:type="dxa"/>
            <w:vAlign w:val="center"/>
          </w:tcPr>
          <w:p w:rsidR="00E17C0A" w:rsidRPr="00271376" w:rsidRDefault="00E17C0A" w:rsidP="00645110">
            <w:pPr>
              <w:pStyle w:val="TableFigText"/>
              <w:jc w:val="right"/>
            </w:pPr>
            <w:r w:rsidRPr="00271376">
              <w:t>3.0</w:t>
            </w:r>
          </w:p>
        </w:tc>
        <w:tc>
          <w:tcPr>
            <w:tcW w:w="1074" w:type="dxa"/>
            <w:vAlign w:val="center"/>
          </w:tcPr>
          <w:p w:rsidR="00E17C0A" w:rsidRPr="00271376" w:rsidRDefault="00E17C0A" w:rsidP="00645110">
            <w:pPr>
              <w:pStyle w:val="TableFigText"/>
              <w:jc w:val="right"/>
            </w:pPr>
            <w:r w:rsidRPr="00271376">
              <w:t>1.6</w:t>
            </w:r>
          </w:p>
        </w:tc>
        <w:tc>
          <w:tcPr>
            <w:tcW w:w="1054" w:type="dxa"/>
            <w:vAlign w:val="center"/>
          </w:tcPr>
          <w:p w:rsidR="00E17C0A" w:rsidRPr="00271376" w:rsidRDefault="00E17C0A" w:rsidP="00645110">
            <w:pPr>
              <w:pStyle w:val="TableFigText"/>
              <w:jc w:val="right"/>
            </w:pPr>
            <w:r w:rsidRPr="00271376">
              <w:t>13.2</w:t>
            </w:r>
          </w:p>
        </w:tc>
      </w:tr>
      <w:tr w:rsidR="00E17C0A" w:rsidRPr="00EF5802" w:rsidTr="005B2C04">
        <w:tc>
          <w:tcPr>
            <w:tcW w:w="2410" w:type="dxa"/>
          </w:tcPr>
          <w:p w:rsidR="00E17C0A" w:rsidRPr="00EF5802" w:rsidRDefault="00E17C0A" w:rsidP="005B2C04">
            <w:pPr>
              <w:pStyle w:val="TableFigText"/>
              <w:keepNext/>
              <w:rPr>
                <w:rFonts w:asciiTheme="minorHAnsi" w:hAnsiTheme="minorHAnsi" w:cstheme="minorHAnsi"/>
                <w:szCs w:val="22"/>
              </w:rPr>
            </w:pPr>
            <w:r w:rsidRPr="00EF5802">
              <w:rPr>
                <w:rFonts w:asciiTheme="minorHAnsi" w:hAnsiTheme="minorHAnsi" w:cstheme="minorHAnsi"/>
                <w:szCs w:val="22"/>
              </w:rPr>
              <w:t>Diagnostic and health professionals</w:t>
            </w:r>
            <w:r w:rsidRPr="00EF5802">
              <w:rPr>
                <w:rFonts w:asciiTheme="minorHAnsi" w:hAnsiTheme="minorHAnsi" w:cstheme="minorHAnsi"/>
                <w:szCs w:val="22"/>
                <w:vertAlign w:val="superscript"/>
              </w:rPr>
              <w:t>(b)</w:t>
            </w:r>
          </w:p>
        </w:tc>
        <w:tc>
          <w:tcPr>
            <w:tcW w:w="1146" w:type="dxa"/>
            <w:vAlign w:val="center"/>
          </w:tcPr>
          <w:p w:rsidR="00E17C0A" w:rsidRPr="00271376" w:rsidRDefault="00E17C0A" w:rsidP="00645110">
            <w:pPr>
              <w:pStyle w:val="TableFigText"/>
              <w:jc w:val="right"/>
            </w:pPr>
            <w:r w:rsidRPr="00271376">
              <w:t>n/a</w:t>
            </w:r>
          </w:p>
        </w:tc>
        <w:tc>
          <w:tcPr>
            <w:tcW w:w="1346" w:type="dxa"/>
            <w:vAlign w:val="center"/>
          </w:tcPr>
          <w:p w:rsidR="00E17C0A" w:rsidRPr="00271376" w:rsidRDefault="00E17C0A" w:rsidP="00645110">
            <w:pPr>
              <w:pStyle w:val="TableFigText"/>
              <w:jc w:val="right"/>
            </w:pPr>
            <w:r w:rsidRPr="00271376">
              <w:t>n/a</w:t>
            </w:r>
          </w:p>
        </w:tc>
        <w:tc>
          <w:tcPr>
            <w:tcW w:w="1229" w:type="dxa"/>
            <w:vAlign w:val="center"/>
          </w:tcPr>
          <w:p w:rsidR="00E17C0A" w:rsidRPr="00271376" w:rsidRDefault="00E17C0A" w:rsidP="00645110">
            <w:pPr>
              <w:pStyle w:val="TableFigText"/>
              <w:jc w:val="right"/>
            </w:pPr>
            <w:r w:rsidRPr="00271376">
              <w:t>16.2</w:t>
            </w:r>
          </w:p>
        </w:tc>
        <w:tc>
          <w:tcPr>
            <w:tcW w:w="1027" w:type="dxa"/>
            <w:vAlign w:val="center"/>
          </w:tcPr>
          <w:p w:rsidR="00E17C0A" w:rsidRPr="00271376" w:rsidRDefault="00E17C0A" w:rsidP="00645110">
            <w:pPr>
              <w:pStyle w:val="TableFigText"/>
              <w:jc w:val="right"/>
            </w:pPr>
            <w:r w:rsidRPr="00271376">
              <w:t>10.2</w:t>
            </w:r>
          </w:p>
        </w:tc>
        <w:tc>
          <w:tcPr>
            <w:tcW w:w="1074" w:type="dxa"/>
            <w:vAlign w:val="center"/>
          </w:tcPr>
          <w:p w:rsidR="00E17C0A" w:rsidRPr="00271376" w:rsidRDefault="00E17C0A" w:rsidP="00645110">
            <w:pPr>
              <w:pStyle w:val="TableFigText"/>
              <w:jc w:val="right"/>
            </w:pPr>
            <w:r w:rsidRPr="00271376">
              <w:t>3.9</w:t>
            </w:r>
          </w:p>
        </w:tc>
        <w:tc>
          <w:tcPr>
            <w:tcW w:w="1054" w:type="dxa"/>
            <w:vAlign w:val="center"/>
          </w:tcPr>
          <w:p w:rsidR="00E17C0A" w:rsidRPr="00271376" w:rsidRDefault="00E17C0A" w:rsidP="00645110">
            <w:pPr>
              <w:pStyle w:val="TableFigText"/>
              <w:jc w:val="right"/>
            </w:pPr>
            <w:r w:rsidRPr="00271376">
              <w:t>30.3</w:t>
            </w:r>
          </w:p>
        </w:tc>
      </w:tr>
      <w:tr w:rsidR="00E17C0A" w:rsidRPr="00EF5802" w:rsidTr="005B2C04">
        <w:tc>
          <w:tcPr>
            <w:tcW w:w="2410" w:type="dxa"/>
          </w:tcPr>
          <w:p w:rsidR="00E17C0A" w:rsidRPr="00EF5802" w:rsidRDefault="00E17C0A" w:rsidP="005B2C04">
            <w:pPr>
              <w:pStyle w:val="TableFigText"/>
              <w:keepNext/>
              <w:rPr>
                <w:rFonts w:asciiTheme="minorHAnsi" w:hAnsiTheme="minorHAnsi" w:cstheme="minorHAnsi"/>
                <w:szCs w:val="22"/>
              </w:rPr>
            </w:pPr>
            <w:r w:rsidRPr="00EF5802">
              <w:rPr>
                <w:rFonts w:asciiTheme="minorHAnsi" w:hAnsiTheme="minorHAnsi" w:cstheme="minorHAnsi"/>
                <w:szCs w:val="22"/>
              </w:rPr>
              <w:t>Nurses</w:t>
            </w:r>
            <w:r w:rsidRPr="00EF5802">
              <w:rPr>
                <w:rFonts w:asciiTheme="minorHAnsi" w:hAnsiTheme="minorHAnsi" w:cstheme="minorHAnsi"/>
                <w:szCs w:val="22"/>
                <w:vertAlign w:val="superscript"/>
              </w:rPr>
              <w:t>(c)</w:t>
            </w:r>
          </w:p>
        </w:tc>
        <w:tc>
          <w:tcPr>
            <w:tcW w:w="1146" w:type="dxa"/>
            <w:vAlign w:val="center"/>
          </w:tcPr>
          <w:p w:rsidR="00E17C0A" w:rsidRPr="00271376" w:rsidRDefault="00E17C0A" w:rsidP="00645110">
            <w:pPr>
              <w:pStyle w:val="TableFigText"/>
              <w:jc w:val="right"/>
            </w:pPr>
            <w:r w:rsidRPr="00271376">
              <w:t>n/a</w:t>
            </w:r>
          </w:p>
        </w:tc>
        <w:tc>
          <w:tcPr>
            <w:tcW w:w="1346" w:type="dxa"/>
            <w:vAlign w:val="center"/>
          </w:tcPr>
          <w:p w:rsidR="00E17C0A" w:rsidRPr="00271376" w:rsidRDefault="00E17C0A" w:rsidP="00645110">
            <w:pPr>
              <w:pStyle w:val="TableFigText"/>
              <w:jc w:val="right"/>
            </w:pPr>
            <w:r w:rsidRPr="00271376">
              <w:t>n/a</w:t>
            </w:r>
          </w:p>
        </w:tc>
        <w:tc>
          <w:tcPr>
            <w:tcW w:w="1229" w:type="dxa"/>
            <w:vAlign w:val="center"/>
          </w:tcPr>
          <w:p w:rsidR="00E17C0A" w:rsidRPr="00271376" w:rsidRDefault="00E17C0A" w:rsidP="00645110">
            <w:pPr>
              <w:pStyle w:val="TableFigText"/>
              <w:jc w:val="right"/>
            </w:pPr>
            <w:r w:rsidRPr="00271376">
              <w:t>68.2</w:t>
            </w:r>
          </w:p>
        </w:tc>
        <w:tc>
          <w:tcPr>
            <w:tcW w:w="1027" w:type="dxa"/>
            <w:vAlign w:val="center"/>
          </w:tcPr>
          <w:p w:rsidR="00E17C0A" w:rsidRPr="00271376" w:rsidRDefault="00E17C0A" w:rsidP="00645110">
            <w:pPr>
              <w:pStyle w:val="TableFigText"/>
              <w:jc w:val="right"/>
            </w:pPr>
            <w:r w:rsidRPr="00271376">
              <w:t>36.0</w:t>
            </w:r>
          </w:p>
        </w:tc>
        <w:tc>
          <w:tcPr>
            <w:tcW w:w="1074" w:type="dxa"/>
            <w:vAlign w:val="center"/>
          </w:tcPr>
          <w:p w:rsidR="00E17C0A" w:rsidRPr="00271376" w:rsidRDefault="00E17C0A" w:rsidP="00645110">
            <w:pPr>
              <w:pStyle w:val="TableFigText"/>
              <w:jc w:val="right"/>
            </w:pPr>
            <w:r w:rsidRPr="00271376">
              <w:t>15.0</w:t>
            </w:r>
          </w:p>
        </w:tc>
        <w:tc>
          <w:tcPr>
            <w:tcW w:w="1054" w:type="dxa"/>
            <w:vAlign w:val="center"/>
          </w:tcPr>
          <w:p w:rsidR="00E17C0A" w:rsidRPr="00271376" w:rsidRDefault="00E17C0A" w:rsidP="00645110">
            <w:pPr>
              <w:pStyle w:val="TableFigText"/>
              <w:jc w:val="right"/>
            </w:pPr>
            <w:r w:rsidRPr="00271376">
              <w:t>119.3</w:t>
            </w:r>
          </w:p>
        </w:tc>
      </w:tr>
      <w:tr w:rsidR="00E17C0A" w:rsidRPr="00EF5802" w:rsidTr="005B2C04">
        <w:tc>
          <w:tcPr>
            <w:tcW w:w="2410" w:type="dxa"/>
          </w:tcPr>
          <w:p w:rsidR="00E17C0A" w:rsidRPr="00EF5802" w:rsidRDefault="00E17C0A" w:rsidP="005B2C04">
            <w:pPr>
              <w:pStyle w:val="TableFigText"/>
              <w:keepNext/>
              <w:rPr>
                <w:rFonts w:asciiTheme="minorHAnsi" w:hAnsiTheme="minorHAnsi" w:cstheme="minorHAnsi"/>
                <w:szCs w:val="22"/>
              </w:rPr>
            </w:pPr>
            <w:r w:rsidRPr="00EF5802">
              <w:rPr>
                <w:rFonts w:asciiTheme="minorHAnsi" w:hAnsiTheme="minorHAnsi" w:cstheme="minorHAnsi"/>
                <w:szCs w:val="22"/>
              </w:rPr>
              <w:t>Carer workers</w:t>
            </w:r>
            <w:r w:rsidRPr="00EF5802">
              <w:rPr>
                <w:rFonts w:asciiTheme="minorHAnsi" w:hAnsiTheme="minorHAnsi" w:cstheme="minorHAnsi"/>
                <w:szCs w:val="22"/>
                <w:vertAlign w:val="superscript"/>
              </w:rPr>
              <w:t>(d)</w:t>
            </w:r>
          </w:p>
        </w:tc>
        <w:tc>
          <w:tcPr>
            <w:tcW w:w="1146" w:type="dxa"/>
            <w:vAlign w:val="center"/>
          </w:tcPr>
          <w:p w:rsidR="00E17C0A" w:rsidRPr="00271376" w:rsidRDefault="00E17C0A" w:rsidP="00645110">
            <w:pPr>
              <w:pStyle w:val="TableFigText"/>
              <w:jc w:val="right"/>
            </w:pPr>
            <w:r w:rsidRPr="00271376">
              <w:t>n/a</w:t>
            </w:r>
          </w:p>
        </w:tc>
        <w:tc>
          <w:tcPr>
            <w:tcW w:w="1346" w:type="dxa"/>
            <w:vAlign w:val="center"/>
          </w:tcPr>
          <w:p w:rsidR="00E17C0A" w:rsidRPr="00271376" w:rsidRDefault="00E17C0A" w:rsidP="00645110">
            <w:pPr>
              <w:pStyle w:val="TableFigText"/>
              <w:jc w:val="right"/>
            </w:pPr>
            <w:r w:rsidRPr="00271376">
              <w:t>n/a</w:t>
            </w:r>
          </w:p>
        </w:tc>
        <w:tc>
          <w:tcPr>
            <w:tcW w:w="1229" w:type="dxa"/>
            <w:vAlign w:val="center"/>
          </w:tcPr>
          <w:p w:rsidR="00E17C0A" w:rsidRPr="00271376" w:rsidRDefault="00E17C0A" w:rsidP="00645110">
            <w:pPr>
              <w:pStyle w:val="TableFigText"/>
              <w:jc w:val="right"/>
            </w:pPr>
            <w:r w:rsidRPr="00271376">
              <w:t>0.0</w:t>
            </w:r>
          </w:p>
        </w:tc>
        <w:tc>
          <w:tcPr>
            <w:tcW w:w="1027" w:type="dxa"/>
            <w:vAlign w:val="center"/>
          </w:tcPr>
          <w:p w:rsidR="00E17C0A" w:rsidRPr="00271376" w:rsidRDefault="00E17C0A" w:rsidP="00645110">
            <w:pPr>
              <w:pStyle w:val="TableFigText"/>
              <w:jc w:val="right"/>
            </w:pPr>
            <w:r w:rsidRPr="00271376">
              <w:t>0.0</w:t>
            </w:r>
          </w:p>
        </w:tc>
        <w:tc>
          <w:tcPr>
            <w:tcW w:w="1074" w:type="dxa"/>
            <w:vAlign w:val="center"/>
          </w:tcPr>
          <w:p w:rsidR="00E17C0A" w:rsidRPr="00271376" w:rsidRDefault="00E17C0A" w:rsidP="00645110">
            <w:pPr>
              <w:pStyle w:val="TableFigText"/>
              <w:jc w:val="right"/>
            </w:pPr>
            <w:r w:rsidRPr="00271376">
              <w:t>0.0</w:t>
            </w:r>
          </w:p>
        </w:tc>
        <w:tc>
          <w:tcPr>
            <w:tcW w:w="1054" w:type="dxa"/>
            <w:vAlign w:val="center"/>
          </w:tcPr>
          <w:p w:rsidR="00E17C0A" w:rsidRPr="00271376" w:rsidRDefault="00E17C0A" w:rsidP="00645110">
            <w:pPr>
              <w:pStyle w:val="TableFigText"/>
              <w:jc w:val="right"/>
            </w:pPr>
            <w:r w:rsidRPr="00271376">
              <w:t>0.0</w:t>
            </w:r>
          </w:p>
        </w:tc>
      </w:tr>
      <w:tr w:rsidR="00E17C0A" w:rsidRPr="00EF5802" w:rsidTr="005B2C04">
        <w:tc>
          <w:tcPr>
            <w:tcW w:w="2410" w:type="dxa"/>
          </w:tcPr>
          <w:p w:rsidR="00E17C0A" w:rsidRPr="00EF5802" w:rsidRDefault="00E17C0A" w:rsidP="005B2C04">
            <w:pPr>
              <w:pStyle w:val="TableFigText"/>
              <w:keepNext/>
              <w:rPr>
                <w:rFonts w:asciiTheme="minorHAnsi" w:hAnsiTheme="minorHAnsi" w:cstheme="minorHAnsi"/>
                <w:szCs w:val="22"/>
              </w:rPr>
            </w:pPr>
            <w:r w:rsidRPr="00EF5802">
              <w:rPr>
                <w:rFonts w:asciiTheme="minorHAnsi" w:hAnsiTheme="minorHAnsi" w:cstheme="minorHAnsi"/>
                <w:szCs w:val="22"/>
              </w:rPr>
              <w:t>Consumer workers</w:t>
            </w:r>
            <w:r w:rsidRPr="00EF5802">
              <w:rPr>
                <w:rFonts w:asciiTheme="minorHAnsi" w:hAnsiTheme="minorHAnsi" w:cstheme="minorHAnsi"/>
                <w:szCs w:val="22"/>
                <w:vertAlign w:val="superscript"/>
              </w:rPr>
              <w:t>(d)</w:t>
            </w:r>
          </w:p>
        </w:tc>
        <w:tc>
          <w:tcPr>
            <w:tcW w:w="1146" w:type="dxa"/>
            <w:vAlign w:val="center"/>
          </w:tcPr>
          <w:p w:rsidR="00E17C0A" w:rsidRPr="00271376" w:rsidRDefault="00E17C0A" w:rsidP="00645110">
            <w:pPr>
              <w:pStyle w:val="TableFigText"/>
              <w:jc w:val="right"/>
            </w:pPr>
            <w:r w:rsidRPr="00271376">
              <w:t>n/a</w:t>
            </w:r>
          </w:p>
        </w:tc>
        <w:tc>
          <w:tcPr>
            <w:tcW w:w="1346" w:type="dxa"/>
            <w:vAlign w:val="center"/>
          </w:tcPr>
          <w:p w:rsidR="00E17C0A" w:rsidRPr="00271376" w:rsidRDefault="00E17C0A" w:rsidP="00645110">
            <w:pPr>
              <w:pStyle w:val="TableFigText"/>
              <w:jc w:val="right"/>
            </w:pPr>
            <w:r w:rsidRPr="00271376">
              <w:t>n/a</w:t>
            </w:r>
          </w:p>
        </w:tc>
        <w:tc>
          <w:tcPr>
            <w:tcW w:w="1229" w:type="dxa"/>
            <w:vAlign w:val="center"/>
          </w:tcPr>
          <w:p w:rsidR="00E17C0A" w:rsidRPr="00271376" w:rsidRDefault="00E17C0A" w:rsidP="00645110">
            <w:pPr>
              <w:pStyle w:val="TableFigText"/>
              <w:jc w:val="right"/>
            </w:pPr>
            <w:r w:rsidRPr="00271376">
              <w:t>0.0</w:t>
            </w:r>
          </w:p>
        </w:tc>
        <w:tc>
          <w:tcPr>
            <w:tcW w:w="1027" w:type="dxa"/>
            <w:vAlign w:val="center"/>
          </w:tcPr>
          <w:p w:rsidR="00E17C0A" w:rsidRPr="00271376" w:rsidRDefault="00E17C0A" w:rsidP="00645110">
            <w:pPr>
              <w:pStyle w:val="TableFigText"/>
              <w:jc w:val="right"/>
            </w:pPr>
            <w:r w:rsidRPr="00271376">
              <w:t>0.0</w:t>
            </w:r>
          </w:p>
        </w:tc>
        <w:tc>
          <w:tcPr>
            <w:tcW w:w="1074" w:type="dxa"/>
            <w:vAlign w:val="center"/>
          </w:tcPr>
          <w:p w:rsidR="00E17C0A" w:rsidRPr="00271376" w:rsidRDefault="00E17C0A" w:rsidP="00645110">
            <w:pPr>
              <w:pStyle w:val="TableFigText"/>
              <w:jc w:val="right"/>
            </w:pPr>
            <w:r w:rsidRPr="00271376">
              <w:t>0.0</w:t>
            </w:r>
          </w:p>
        </w:tc>
        <w:tc>
          <w:tcPr>
            <w:tcW w:w="1054" w:type="dxa"/>
            <w:vAlign w:val="center"/>
          </w:tcPr>
          <w:p w:rsidR="00E17C0A" w:rsidRPr="00271376" w:rsidRDefault="00E17C0A" w:rsidP="00645110">
            <w:pPr>
              <w:pStyle w:val="TableFigText"/>
              <w:jc w:val="right"/>
            </w:pPr>
            <w:r w:rsidRPr="00271376">
              <w:t>0.0</w:t>
            </w:r>
          </w:p>
        </w:tc>
      </w:tr>
      <w:tr w:rsidR="00E17C0A" w:rsidRPr="00EF5802" w:rsidTr="005B2C04">
        <w:tc>
          <w:tcPr>
            <w:tcW w:w="2410" w:type="dxa"/>
          </w:tcPr>
          <w:p w:rsidR="00E17C0A" w:rsidRPr="00EF5802" w:rsidRDefault="00E17C0A" w:rsidP="005B2C04">
            <w:pPr>
              <w:pStyle w:val="TableFigText"/>
              <w:keepNext/>
              <w:rPr>
                <w:rFonts w:asciiTheme="minorHAnsi" w:hAnsiTheme="minorHAnsi" w:cstheme="minorHAnsi"/>
                <w:szCs w:val="22"/>
              </w:rPr>
            </w:pPr>
            <w:r w:rsidRPr="00EF5802">
              <w:rPr>
                <w:rFonts w:asciiTheme="minorHAnsi" w:hAnsiTheme="minorHAnsi" w:cstheme="minorHAnsi"/>
                <w:szCs w:val="22"/>
              </w:rPr>
              <w:t>Other personal care</w:t>
            </w:r>
            <w:r w:rsidRPr="00EF5802">
              <w:rPr>
                <w:rFonts w:asciiTheme="minorHAnsi" w:hAnsiTheme="minorHAnsi" w:cstheme="minorHAnsi"/>
                <w:szCs w:val="22"/>
                <w:vertAlign w:val="superscript"/>
              </w:rPr>
              <w:t>(e)</w:t>
            </w:r>
          </w:p>
        </w:tc>
        <w:tc>
          <w:tcPr>
            <w:tcW w:w="1146" w:type="dxa"/>
            <w:vAlign w:val="center"/>
          </w:tcPr>
          <w:p w:rsidR="00E17C0A" w:rsidRPr="00271376" w:rsidRDefault="00E17C0A" w:rsidP="00645110">
            <w:pPr>
              <w:pStyle w:val="TableFigText"/>
              <w:jc w:val="right"/>
            </w:pPr>
            <w:r w:rsidRPr="00271376">
              <w:t>n/a</w:t>
            </w:r>
          </w:p>
        </w:tc>
        <w:tc>
          <w:tcPr>
            <w:tcW w:w="1346" w:type="dxa"/>
            <w:vAlign w:val="center"/>
          </w:tcPr>
          <w:p w:rsidR="00E17C0A" w:rsidRPr="00271376" w:rsidRDefault="00E17C0A" w:rsidP="00645110">
            <w:pPr>
              <w:pStyle w:val="TableFigText"/>
              <w:jc w:val="right"/>
            </w:pPr>
            <w:r w:rsidRPr="00271376">
              <w:t>n/a</w:t>
            </w:r>
          </w:p>
        </w:tc>
        <w:tc>
          <w:tcPr>
            <w:tcW w:w="1229" w:type="dxa"/>
            <w:vAlign w:val="center"/>
          </w:tcPr>
          <w:p w:rsidR="00E17C0A" w:rsidRPr="00271376" w:rsidRDefault="00E17C0A" w:rsidP="00645110">
            <w:pPr>
              <w:pStyle w:val="TableFigText"/>
              <w:jc w:val="right"/>
            </w:pPr>
            <w:r w:rsidRPr="00271376">
              <w:t>18.7</w:t>
            </w:r>
          </w:p>
        </w:tc>
        <w:tc>
          <w:tcPr>
            <w:tcW w:w="1027" w:type="dxa"/>
            <w:vAlign w:val="center"/>
          </w:tcPr>
          <w:p w:rsidR="00E17C0A" w:rsidRPr="00271376" w:rsidRDefault="00E17C0A" w:rsidP="00645110">
            <w:pPr>
              <w:pStyle w:val="TableFigText"/>
              <w:jc w:val="right"/>
            </w:pPr>
            <w:r w:rsidRPr="00271376">
              <w:t>2.6</w:t>
            </w:r>
          </w:p>
        </w:tc>
        <w:tc>
          <w:tcPr>
            <w:tcW w:w="1074" w:type="dxa"/>
            <w:vAlign w:val="center"/>
          </w:tcPr>
          <w:p w:rsidR="00E17C0A" w:rsidRPr="00271376" w:rsidRDefault="00E17C0A" w:rsidP="00645110">
            <w:pPr>
              <w:pStyle w:val="TableFigText"/>
              <w:jc w:val="right"/>
            </w:pPr>
            <w:r w:rsidRPr="00271376">
              <w:t>0.9</w:t>
            </w:r>
          </w:p>
        </w:tc>
        <w:tc>
          <w:tcPr>
            <w:tcW w:w="1054" w:type="dxa"/>
            <w:vAlign w:val="center"/>
          </w:tcPr>
          <w:p w:rsidR="00E17C0A" w:rsidRPr="00271376" w:rsidRDefault="00E17C0A" w:rsidP="00645110">
            <w:pPr>
              <w:pStyle w:val="TableFigText"/>
              <w:jc w:val="right"/>
            </w:pPr>
            <w:r w:rsidRPr="00271376">
              <w:t>22.1</w:t>
            </w:r>
          </w:p>
        </w:tc>
      </w:tr>
      <w:tr w:rsidR="00E17C0A" w:rsidRPr="00EF5802" w:rsidTr="005B2C04">
        <w:tc>
          <w:tcPr>
            <w:tcW w:w="2410" w:type="dxa"/>
          </w:tcPr>
          <w:p w:rsidR="00E17C0A" w:rsidRPr="00EF5802" w:rsidRDefault="00E17C0A" w:rsidP="005B2C04">
            <w:pPr>
              <w:pStyle w:val="TableFigText"/>
              <w:keepNext/>
              <w:rPr>
                <w:rFonts w:asciiTheme="minorHAnsi" w:hAnsiTheme="minorHAnsi" w:cstheme="minorHAnsi"/>
                <w:szCs w:val="22"/>
              </w:rPr>
            </w:pPr>
            <w:r w:rsidRPr="00EF5802">
              <w:rPr>
                <w:rFonts w:asciiTheme="minorHAnsi" w:hAnsiTheme="minorHAnsi" w:cstheme="minorHAnsi"/>
                <w:szCs w:val="22"/>
              </w:rPr>
              <w:t>Other staffing categories</w:t>
            </w:r>
            <w:r w:rsidRPr="00EF5802">
              <w:rPr>
                <w:rFonts w:asciiTheme="minorHAnsi" w:hAnsiTheme="minorHAnsi" w:cstheme="minorHAnsi"/>
                <w:szCs w:val="22"/>
                <w:vertAlign w:val="superscript"/>
              </w:rPr>
              <w:t>(f)</w:t>
            </w:r>
          </w:p>
        </w:tc>
        <w:tc>
          <w:tcPr>
            <w:tcW w:w="1146" w:type="dxa"/>
            <w:vAlign w:val="center"/>
          </w:tcPr>
          <w:p w:rsidR="00E17C0A" w:rsidRPr="00271376" w:rsidRDefault="00E17C0A" w:rsidP="00645110">
            <w:pPr>
              <w:pStyle w:val="TableFigText"/>
              <w:jc w:val="right"/>
            </w:pPr>
            <w:r w:rsidRPr="00271376">
              <w:t>n/a</w:t>
            </w:r>
          </w:p>
        </w:tc>
        <w:tc>
          <w:tcPr>
            <w:tcW w:w="1346" w:type="dxa"/>
            <w:vAlign w:val="center"/>
          </w:tcPr>
          <w:p w:rsidR="00E17C0A" w:rsidRPr="00271376" w:rsidRDefault="00E17C0A" w:rsidP="00645110">
            <w:pPr>
              <w:pStyle w:val="TableFigText"/>
              <w:jc w:val="right"/>
            </w:pPr>
            <w:r w:rsidRPr="00271376">
              <w:t>n/a</w:t>
            </w:r>
          </w:p>
        </w:tc>
        <w:tc>
          <w:tcPr>
            <w:tcW w:w="1229" w:type="dxa"/>
            <w:vAlign w:val="center"/>
          </w:tcPr>
          <w:p w:rsidR="00E17C0A" w:rsidRPr="00271376" w:rsidRDefault="00E17C0A" w:rsidP="00645110">
            <w:pPr>
              <w:pStyle w:val="TableFigText"/>
              <w:jc w:val="right"/>
            </w:pPr>
            <w:r w:rsidRPr="00271376">
              <w:t>15.2</w:t>
            </w:r>
          </w:p>
        </w:tc>
        <w:tc>
          <w:tcPr>
            <w:tcW w:w="1027" w:type="dxa"/>
            <w:vAlign w:val="center"/>
          </w:tcPr>
          <w:p w:rsidR="00E17C0A" w:rsidRPr="00271376" w:rsidRDefault="00E17C0A" w:rsidP="00645110">
            <w:pPr>
              <w:pStyle w:val="TableFigText"/>
              <w:jc w:val="right"/>
            </w:pPr>
            <w:r w:rsidRPr="00271376">
              <w:t>11.0</w:t>
            </w:r>
          </w:p>
        </w:tc>
        <w:tc>
          <w:tcPr>
            <w:tcW w:w="1074" w:type="dxa"/>
            <w:vAlign w:val="center"/>
          </w:tcPr>
          <w:p w:rsidR="00E17C0A" w:rsidRPr="00271376" w:rsidRDefault="00E17C0A" w:rsidP="00645110">
            <w:pPr>
              <w:pStyle w:val="TableFigText"/>
              <w:jc w:val="right"/>
            </w:pPr>
            <w:r w:rsidRPr="00271376">
              <w:t>3.9</w:t>
            </w:r>
          </w:p>
        </w:tc>
        <w:tc>
          <w:tcPr>
            <w:tcW w:w="1054" w:type="dxa"/>
            <w:vAlign w:val="center"/>
          </w:tcPr>
          <w:p w:rsidR="00E17C0A" w:rsidRPr="00271376" w:rsidRDefault="00E17C0A" w:rsidP="00645110">
            <w:pPr>
              <w:pStyle w:val="TableFigText"/>
              <w:jc w:val="right"/>
            </w:pPr>
            <w:r w:rsidRPr="00271376">
              <w:t>30.1</w:t>
            </w:r>
          </w:p>
        </w:tc>
      </w:tr>
      <w:tr w:rsidR="00E17C0A" w:rsidRPr="00EF5802" w:rsidTr="005B2C04">
        <w:tc>
          <w:tcPr>
            <w:tcW w:w="2410" w:type="dxa"/>
          </w:tcPr>
          <w:p w:rsidR="00E17C0A" w:rsidRPr="00EF5802" w:rsidRDefault="00E17C0A" w:rsidP="005B2C04">
            <w:pPr>
              <w:pStyle w:val="TableFigText"/>
              <w:keepNext/>
              <w:rPr>
                <w:rFonts w:asciiTheme="minorHAnsi" w:hAnsiTheme="minorHAnsi" w:cstheme="minorHAnsi"/>
                <w:b/>
                <w:szCs w:val="22"/>
              </w:rPr>
            </w:pPr>
            <w:r w:rsidRPr="00EF5802">
              <w:rPr>
                <w:rFonts w:asciiTheme="minorHAnsi" w:hAnsiTheme="minorHAnsi" w:cstheme="minorHAnsi"/>
                <w:b/>
                <w:szCs w:val="22"/>
              </w:rPr>
              <w:t>Total</w:t>
            </w:r>
            <w:r w:rsidRPr="00EF5802">
              <w:rPr>
                <w:rFonts w:asciiTheme="minorHAnsi" w:hAnsiTheme="minorHAnsi" w:cstheme="minorHAnsi"/>
                <w:b/>
                <w:szCs w:val="22"/>
                <w:vertAlign w:val="superscript"/>
              </w:rPr>
              <w:t>(a)</w:t>
            </w:r>
          </w:p>
        </w:tc>
        <w:tc>
          <w:tcPr>
            <w:tcW w:w="1146" w:type="dxa"/>
            <w:vAlign w:val="center"/>
          </w:tcPr>
          <w:p w:rsidR="00E17C0A" w:rsidRPr="00645110" w:rsidRDefault="00E17C0A" w:rsidP="00645110">
            <w:pPr>
              <w:pStyle w:val="TableFigText"/>
              <w:jc w:val="right"/>
              <w:rPr>
                <w:b/>
              </w:rPr>
            </w:pPr>
            <w:r w:rsidRPr="00645110">
              <w:rPr>
                <w:b/>
              </w:rPr>
              <w:t>n/a</w:t>
            </w:r>
          </w:p>
        </w:tc>
        <w:tc>
          <w:tcPr>
            <w:tcW w:w="1346" w:type="dxa"/>
            <w:vAlign w:val="center"/>
          </w:tcPr>
          <w:p w:rsidR="00E17C0A" w:rsidRPr="00645110" w:rsidRDefault="00E17C0A" w:rsidP="00645110">
            <w:pPr>
              <w:pStyle w:val="TableFigText"/>
              <w:jc w:val="right"/>
              <w:rPr>
                <w:b/>
              </w:rPr>
            </w:pPr>
            <w:r w:rsidRPr="00645110">
              <w:rPr>
                <w:b/>
              </w:rPr>
              <w:t>n/a</w:t>
            </w:r>
          </w:p>
        </w:tc>
        <w:tc>
          <w:tcPr>
            <w:tcW w:w="1229" w:type="dxa"/>
            <w:vAlign w:val="center"/>
          </w:tcPr>
          <w:p w:rsidR="00E17C0A" w:rsidRPr="00645110" w:rsidRDefault="00E17C0A" w:rsidP="00645110">
            <w:pPr>
              <w:pStyle w:val="TableFigText"/>
              <w:jc w:val="right"/>
              <w:rPr>
                <w:b/>
              </w:rPr>
            </w:pPr>
            <w:r w:rsidRPr="00645110">
              <w:rPr>
                <w:b/>
              </w:rPr>
              <w:t>142.5</w:t>
            </w:r>
          </w:p>
        </w:tc>
        <w:tc>
          <w:tcPr>
            <w:tcW w:w="1027" w:type="dxa"/>
            <w:vAlign w:val="center"/>
          </w:tcPr>
          <w:p w:rsidR="00E17C0A" w:rsidRPr="00645110" w:rsidRDefault="00E17C0A" w:rsidP="00645110">
            <w:pPr>
              <w:pStyle w:val="TableFigText"/>
              <w:jc w:val="right"/>
              <w:rPr>
                <w:b/>
              </w:rPr>
            </w:pPr>
            <w:r w:rsidRPr="00645110">
              <w:rPr>
                <w:b/>
              </w:rPr>
              <w:t>74.3</w:t>
            </w:r>
          </w:p>
        </w:tc>
        <w:tc>
          <w:tcPr>
            <w:tcW w:w="1074" w:type="dxa"/>
            <w:vAlign w:val="center"/>
          </w:tcPr>
          <w:p w:rsidR="00E17C0A" w:rsidRPr="00645110" w:rsidRDefault="00E17C0A" w:rsidP="00645110">
            <w:pPr>
              <w:pStyle w:val="TableFigText"/>
              <w:jc w:val="right"/>
              <w:rPr>
                <w:b/>
              </w:rPr>
            </w:pPr>
            <w:r w:rsidRPr="00645110">
              <w:rPr>
                <w:b/>
              </w:rPr>
              <w:t>29.3</w:t>
            </w:r>
          </w:p>
        </w:tc>
        <w:tc>
          <w:tcPr>
            <w:tcW w:w="1054" w:type="dxa"/>
            <w:vAlign w:val="center"/>
          </w:tcPr>
          <w:p w:rsidR="00E17C0A" w:rsidRPr="00645110" w:rsidRDefault="00E17C0A" w:rsidP="00645110">
            <w:pPr>
              <w:pStyle w:val="TableFigText"/>
              <w:jc w:val="right"/>
              <w:rPr>
                <w:b/>
              </w:rPr>
            </w:pPr>
            <w:r w:rsidRPr="00645110">
              <w:rPr>
                <w:b/>
              </w:rPr>
              <w:t>246.1</w:t>
            </w:r>
          </w:p>
        </w:tc>
      </w:tr>
    </w:tbl>
    <w:p w:rsidR="00E17C0A" w:rsidRPr="00B522A7" w:rsidRDefault="00E17C0A" w:rsidP="009474EF">
      <w:pPr>
        <w:pStyle w:val="TableFigNotesnumbered"/>
        <w:numPr>
          <w:ilvl w:val="0"/>
          <w:numId w:val="105"/>
        </w:numPr>
        <w:rPr>
          <w:rStyle w:val="table-note"/>
        </w:rPr>
      </w:pPr>
      <w:r w:rsidRPr="00B522A7">
        <w:rPr>
          <w:rStyle w:val="table-note"/>
        </w:rPr>
        <w:t>Totals may not add due to rounding.</w:t>
      </w:r>
    </w:p>
    <w:p w:rsidR="00E17C0A" w:rsidRPr="00B522A7" w:rsidRDefault="00E17C0A" w:rsidP="009474EF">
      <w:pPr>
        <w:pStyle w:val="TableFigNotesnumbered"/>
        <w:numPr>
          <w:ilvl w:val="0"/>
          <w:numId w:val="105"/>
        </w:numPr>
        <w:rPr>
          <w:rStyle w:val="table-note"/>
        </w:rPr>
      </w:pPr>
      <w:r w:rsidRPr="00B522A7">
        <w:rPr>
          <w:rStyle w:val="table-note"/>
        </w:rPr>
        <w:t>Diagnostic and health professionals includes qualified staff (other than qualified medical or nursing staff) engaged in duties of a diagnostic, professional or technical nature and covers all allied health professionals and laboratory technicians, including Social Workers, Occupational Therapists and others  (</w:t>
      </w:r>
      <w:proofErr w:type="spellStart"/>
      <w:r w:rsidRPr="00B522A7">
        <w:rPr>
          <w:rStyle w:val="table-note"/>
        </w:rPr>
        <w:t>METeOR</w:t>
      </w:r>
      <w:proofErr w:type="spellEnd"/>
      <w:r w:rsidRPr="00B522A7">
        <w:rPr>
          <w:rStyle w:val="table-note"/>
        </w:rPr>
        <w:t xml:space="preserve"> identifier 287611).</w:t>
      </w:r>
    </w:p>
    <w:p w:rsidR="00E17C0A" w:rsidRPr="00B522A7" w:rsidRDefault="00E17C0A" w:rsidP="009474EF">
      <w:pPr>
        <w:pStyle w:val="TableFigNotesnumbered"/>
        <w:numPr>
          <w:ilvl w:val="0"/>
          <w:numId w:val="105"/>
        </w:numPr>
        <w:rPr>
          <w:rStyle w:val="table-note"/>
        </w:rPr>
      </w:pPr>
      <w:r w:rsidRPr="00B522A7">
        <w:rPr>
          <w:rStyle w:val="table-note"/>
        </w:rPr>
        <w:t>Includes registered and enrolled nurses.</w:t>
      </w:r>
    </w:p>
    <w:p w:rsidR="00E17C0A" w:rsidRPr="00B522A7" w:rsidRDefault="00E17C0A" w:rsidP="009474EF">
      <w:pPr>
        <w:pStyle w:val="TableFigNotesnumbered"/>
        <w:numPr>
          <w:ilvl w:val="0"/>
          <w:numId w:val="105"/>
        </w:numPr>
        <w:rPr>
          <w:rStyle w:val="table-note"/>
        </w:rPr>
      </w:pPr>
      <w:r w:rsidRPr="00B522A7">
        <w:rPr>
          <w:rStyle w:val="table-note"/>
        </w:rPr>
        <w:t xml:space="preserve">The definition of these categories was modified from 'consultants' to 'mental health workers' for the 2010–11 collection, in order to capture a variety of contemporary roles. </w:t>
      </w:r>
    </w:p>
    <w:p w:rsidR="00E17C0A" w:rsidRPr="00B522A7" w:rsidRDefault="00E17C0A" w:rsidP="009474EF">
      <w:pPr>
        <w:pStyle w:val="TableFigNotesnumbered"/>
        <w:numPr>
          <w:ilvl w:val="0"/>
          <w:numId w:val="105"/>
        </w:numPr>
        <w:rPr>
          <w:rStyle w:val="table-note"/>
        </w:rPr>
      </w:pPr>
      <w:r w:rsidRPr="00B522A7">
        <w:rPr>
          <w:rStyle w:val="table-note"/>
        </w:rPr>
        <w:t>Other personal care staff includes staff engaged primarily in the provision of personal care to patients or residents, not formally qualified, for example attendants, assistants of home assistance, home companions, family aides, ward helpers, warders, orderlies, ward assistants and nursing assistants (</w:t>
      </w:r>
      <w:proofErr w:type="spellStart"/>
      <w:r w:rsidRPr="00B522A7">
        <w:rPr>
          <w:rStyle w:val="table-note"/>
        </w:rPr>
        <w:t>METeOR</w:t>
      </w:r>
      <w:proofErr w:type="spellEnd"/>
      <w:r w:rsidRPr="00B522A7">
        <w:rPr>
          <w:rStyle w:val="table-note"/>
        </w:rPr>
        <w:t xml:space="preserve"> 270171).</w:t>
      </w:r>
    </w:p>
    <w:p w:rsidR="00E17C0A" w:rsidRPr="00B522A7" w:rsidRDefault="00E17C0A" w:rsidP="009474EF">
      <w:pPr>
        <w:pStyle w:val="TableFigNotesnumbered"/>
        <w:numPr>
          <w:ilvl w:val="0"/>
          <w:numId w:val="105"/>
        </w:numPr>
        <w:rPr>
          <w:rStyle w:val="table-note"/>
        </w:rPr>
      </w:pPr>
      <w:r w:rsidRPr="00B522A7">
        <w:rPr>
          <w:rStyle w:val="table-note"/>
        </w:rPr>
        <w:t xml:space="preserve">Other </w:t>
      </w:r>
      <w:proofErr w:type="gramStart"/>
      <w:r w:rsidRPr="00B522A7">
        <w:rPr>
          <w:rStyle w:val="table-note"/>
        </w:rPr>
        <w:t>staff</w:t>
      </w:r>
      <w:proofErr w:type="gramEnd"/>
      <w:r w:rsidRPr="00B522A7">
        <w:rPr>
          <w:rStyle w:val="table-note"/>
        </w:rPr>
        <w:t xml:space="preserve"> includes administrative and clerical and domestic and other staff categories. </w:t>
      </w:r>
    </w:p>
    <w:p w:rsidR="00E17C0A" w:rsidRPr="00207B28" w:rsidRDefault="00E17C0A" w:rsidP="00E17C0A">
      <w:pPr>
        <w:spacing w:before="0" w:after="0" w:line="240" w:lineRule="auto"/>
        <w:rPr>
          <w:rFonts w:asciiTheme="minorHAnsi" w:hAnsiTheme="minorHAnsi" w:cstheme="minorHAnsi"/>
        </w:rPr>
      </w:pPr>
    </w:p>
    <w:p w:rsidR="00E17C0A" w:rsidRPr="003365B1" w:rsidRDefault="00E17C0A" w:rsidP="00E17C0A">
      <w:pPr>
        <w:spacing w:before="0" w:after="0" w:line="240" w:lineRule="auto"/>
        <w:rPr>
          <w:rStyle w:val="table-note"/>
          <w:rFonts w:ascii="Arial" w:hAnsi="Arial"/>
        </w:rPr>
      </w:pPr>
      <w:r w:rsidRPr="003365B1">
        <w:rPr>
          <w:rStyle w:val="table-note"/>
          <w:rFonts w:ascii="Arial" w:hAnsi="Arial"/>
          <w:sz w:val="14"/>
          <w:szCs w:val="20"/>
          <w:lang w:eastAsia="en-US"/>
        </w:rPr>
        <w:t>Notes:</w:t>
      </w:r>
      <w:r w:rsidRPr="003365B1">
        <w:rPr>
          <w:rStyle w:val="table-note"/>
          <w:rFonts w:ascii="Arial" w:hAnsi="Arial"/>
        </w:rPr>
        <w:tab/>
      </w:r>
    </w:p>
    <w:p w:rsidR="00E17C0A" w:rsidRPr="003365B1" w:rsidRDefault="00E17C0A" w:rsidP="00540186">
      <w:pPr>
        <w:pStyle w:val="ListParagraph"/>
        <w:numPr>
          <w:ilvl w:val="0"/>
          <w:numId w:val="30"/>
        </w:numPr>
        <w:spacing w:after="0" w:line="240" w:lineRule="auto"/>
        <w:rPr>
          <w:rStyle w:val="table-note"/>
          <w:rFonts w:ascii="Arial" w:eastAsia="Times New Roman" w:hAnsi="Arial" w:cs="Times New Roman"/>
          <w:sz w:val="14"/>
          <w:szCs w:val="20"/>
          <w:lang w:eastAsia="en-US"/>
        </w:rPr>
      </w:pPr>
      <w:r w:rsidRPr="003365B1">
        <w:rPr>
          <w:rStyle w:val="table-note"/>
          <w:rFonts w:ascii="Arial" w:eastAsia="Times New Roman" w:hAnsi="Arial" w:cs="Times New Roman"/>
          <w:sz w:val="14"/>
          <w:szCs w:val="20"/>
          <w:lang w:eastAsia="en-US"/>
        </w:rPr>
        <w:t xml:space="preserve">Includes consumer and carer workers and staff employed at a higher organisational level. Excludes staff employed at regional or state level in mental health policy units of the associated relevant health department or equivalent. </w:t>
      </w:r>
    </w:p>
    <w:p w:rsidR="00E17C0A" w:rsidRPr="003365B1" w:rsidRDefault="00E17C0A" w:rsidP="00540186">
      <w:pPr>
        <w:pStyle w:val="ListParagraph"/>
        <w:numPr>
          <w:ilvl w:val="0"/>
          <w:numId w:val="30"/>
        </w:numPr>
        <w:spacing w:after="0" w:line="240" w:lineRule="auto"/>
        <w:rPr>
          <w:rStyle w:val="table-note"/>
          <w:rFonts w:ascii="Arial" w:eastAsia="Times New Roman" w:hAnsi="Arial" w:cs="Times New Roman"/>
          <w:sz w:val="14"/>
          <w:szCs w:val="20"/>
          <w:lang w:eastAsia="en-US"/>
        </w:rPr>
      </w:pPr>
      <w:r w:rsidRPr="003365B1">
        <w:rPr>
          <w:rStyle w:val="table-note"/>
          <w:rFonts w:ascii="Arial" w:eastAsia="Times New Roman" w:hAnsi="Arial" w:cs="Times New Roman"/>
          <w:sz w:val="14"/>
          <w:szCs w:val="20"/>
          <w:lang w:eastAsia="en-US"/>
        </w:rPr>
        <w:t>Domestic staff FTE figures are not available for the Northern Territory.</w:t>
      </w:r>
    </w:p>
    <w:p w:rsidR="00E17C0A" w:rsidRPr="008A3F74" w:rsidRDefault="008A3F74" w:rsidP="00E17C0A">
      <w:pPr>
        <w:pStyle w:val="TableCaption"/>
        <w:rPr>
          <w:rStyle w:val="table-note"/>
        </w:rPr>
      </w:pPr>
      <w:r w:rsidRPr="008A3F74">
        <w:rPr>
          <w:rStyle w:val="table-note"/>
        </w:rPr>
        <w:t xml:space="preserve">Table 70: </w:t>
      </w:r>
      <w:r w:rsidR="00E17C0A" w:rsidRPr="008A3F74">
        <w:rPr>
          <w:rStyle w:val="table-note"/>
        </w:rPr>
        <w:t xml:space="preserve">NT: State and territory specialised mental health service activity, by service type, 2007–08 </w:t>
      </w:r>
    </w:p>
    <w:tbl>
      <w:tblPr>
        <w:tblStyle w:val="TableGrid"/>
        <w:tblW w:w="0" w:type="auto"/>
        <w:tblLook w:val="04A0" w:firstRow="1" w:lastRow="0" w:firstColumn="1" w:lastColumn="0" w:noHBand="0" w:noVBand="1"/>
        <w:tblCaption w:val="State and territory specialised mental health service activity, by service type, 2007–08 "/>
        <w:tblDescription w:val="Table showing that, in 2007-08, community mental health care contacts was the highest specialised mental health service activity type recorded across all region types in NT at 36,841, followed by hospital days at 10,990 and residential mental health care contacts at 1,737. The major cities and inner regional categories were not applicable. "/>
      </w:tblPr>
      <w:tblGrid>
        <w:gridCol w:w="2384"/>
        <w:gridCol w:w="1047"/>
        <w:gridCol w:w="1380"/>
        <w:gridCol w:w="1252"/>
        <w:gridCol w:w="1049"/>
        <w:gridCol w:w="1094"/>
        <w:gridCol w:w="1080"/>
      </w:tblGrid>
      <w:tr w:rsidR="00E17C0A" w:rsidRPr="00EF5802" w:rsidTr="000C3DEA">
        <w:trPr>
          <w:tblHeader/>
        </w:trPr>
        <w:tc>
          <w:tcPr>
            <w:tcW w:w="2485" w:type="dxa"/>
          </w:tcPr>
          <w:p w:rsidR="00E17C0A" w:rsidRPr="00EF5802" w:rsidRDefault="00E17C0A" w:rsidP="005B2C04">
            <w:pPr>
              <w:pStyle w:val="TableFigText"/>
              <w:keepNext/>
              <w:rPr>
                <w:rFonts w:asciiTheme="minorHAnsi" w:hAnsiTheme="minorHAnsi" w:cstheme="minorHAnsi"/>
                <w:szCs w:val="22"/>
              </w:rPr>
            </w:pPr>
          </w:p>
        </w:tc>
        <w:tc>
          <w:tcPr>
            <w:tcW w:w="1078"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Major cities</w:t>
            </w:r>
          </w:p>
        </w:tc>
        <w:tc>
          <w:tcPr>
            <w:tcW w:w="1425"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Inner regional</w:t>
            </w:r>
          </w:p>
        </w:tc>
        <w:tc>
          <w:tcPr>
            <w:tcW w:w="1288"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Outer regional</w:t>
            </w:r>
          </w:p>
        </w:tc>
        <w:tc>
          <w:tcPr>
            <w:tcW w:w="1071"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Remote</w:t>
            </w:r>
          </w:p>
        </w:tc>
        <w:tc>
          <w:tcPr>
            <w:tcW w:w="1122"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Very remote</w:t>
            </w:r>
          </w:p>
        </w:tc>
        <w:tc>
          <w:tcPr>
            <w:tcW w:w="1107" w:type="dxa"/>
          </w:tcPr>
          <w:p w:rsidR="00E17C0A" w:rsidRPr="00EF5802" w:rsidRDefault="00E17C0A" w:rsidP="005B2C04">
            <w:pPr>
              <w:pStyle w:val="TableFigText"/>
              <w:keepNext/>
              <w:jc w:val="right"/>
              <w:rPr>
                <w:rFonts w:asciiTheme="minorHAnsi" w:hAnsiTheme="minorHAnsi" w:cstheme="minorHAnsi"/>
                <w:b/>
                <w:szCs w:val="22"/>
              </w:rPr>
            </w:pPr>
            <w:r w:rsidRPr="00EF5802">
              <w:rPr>
                <w:rFonts w:asciiTheme="minorHAnsi" w:hAnsiTheme="minorHAnsi" w:cstheme="minorHAnsi"/>
                <w:b/>
                <w:szCs w:val="22"/>
              </w:rPr>
              <w:t>Total</w:t>
            </w:r>
          </w:p>
        </w:tc>
      </w:tr>
      <w:tr w:rsidR="00E17C0A" w:rsidRPr="00EF5802" w:rsidTr="005B2C04">
        <w:tc>
          <w:tcPr>
            <w:tcW w:w="2485" w:type="dxa"/>
          </w:tcPr>
          <w:p w:rsidR="00E17C0A" w:rsidRPr="00EF5802" w:rsidRDefault="00E17C0A" w:rsidP="005B2C04">
            <w:pPr>
              <w:pStyle w:val="TableFigText"/>
              <w:keepNext/>
              <w:rPr>
                <w:rFonts w:asciiTheme="minorHAnsi" w:hAnsiTheme="minorHAnsi" w:cstheme="minorHAnsi"/>
                <w:szCs w:val="22"/>
              </w:rPr>
            </w:pPr>
            <w:r w:rsidRPr="00EF5802">
              <w:rPr>
                <w:rFonts w:asciiTheme="minorHAnsi" w:hAnsiTheme="minorHAnsi" w:cstheme="minorHAnsi"/>
                <w:szCs w:val="22"/>
              </w:rPr>
              <w:t>Hospital days</w:t>
            </w:r>
            <w:r w:rsidRPr="00EF5802">
              <w:rPr>
                <w:rFonts w:asciiTheme="minorHAnsi" w:hAnsiTheme="minorHAnsi" w:cstheme="minorHAnsi"/>
                <w:szCs w:val="22"/>
                <w:vertAlign w:val="superscript"/>
              </w:rPr>
              <w:t>(a)</w:t>
            </w:r>
          </w:p>
        </w:tc>
        <w:tc>
          <w:tcPr>
            <w:tcW w:w="1078" w:type="dxa"/>
            <w:vAlign w:val="center"/>
          </w:tcPr>
          <w:p w:rsidR="00E17C0A" w:rsidRPr="00271376" w:rsidRDefault="00E17C0A" w:rsidP="00645110">
            <w:pPr>
              <w:pStyle w:val="TableFigText"/>
              <w:jc w:val="right"/>
            </w:pPr>
            <w:r w:rsidRPr="00271376">
              <w:t>n/a</w:t>
            </w:r>
          </w:p>
        </w:tc>
        <w:tc>
          <w:tcPr>
            <w:tcW w:w="1425" w:type="dxa"/>
            <w:vAlign w:val="center"/>
          </w:tcPr>
          <w:p w:rsidR="00E17C0A" w:rsidRPr="00271376" w:rsidRDefault="00E17C0A" w:rsidP="00645110">
            <w:pPr>
              <w:pStyle w:val="TableFigText"/>
              <w:jc w:val="right"/>
            </w:pPr>
            <w:r w:rsidRPr="00271376">
              <w:t>n/a</w:t>
            </w:r>
          </w:p>
        </w:tc>
        <w:tc>
          <w:tcPr>
            <w:tcW w:w="1288" w:type="dxa"/>
            <w:vAlign w:val="center"/>
          </w:tcPr>
          <w:p w:rsidR="00E17C0A" w:rsidRPr="00271376" w:rsidRDefault="00E17C0A" w:rsidP="00645110">
            <w:pPr>
              <w:pStyle w:val="TableFigText"/>
              <w:jc w:val="right"/>
            </w:pPr>
            <w:r w:rsidRPr="00271376">
              <w:t>7,850</w:t>
            </w:r>
          </w:p>
        </w:tc>
        <w:tc>
          <w:tcPr>
            <w:tcW w:w="1071" w:type="dxa"/>
            <w:vAlign w:val="center"/>
          </w:tcPr>
          <w:p w:rsidR="00E17C0A" w:rsidRPr="00271376" w:rsidRDefault="00E17C0A" w:rsidP="00645110">
            <w:pPr>
              <w:pStyle w:val="TableFigText"/>
              <w:jc w:val="right"/>
            </w:pPr>
            <w:r w:rsidRPr="00271376">
              <w:t>3,140</w:t>
            </w:r>
          </w:p>
        </w:tc>
        <w:tc>
          <w:tcPr>
            <w:tcW w:w="1122" w:type="dxa"/>
            <w:vAlign w:val="center"/>
          </w:tcPr>
          <w:p w:rsidR="00E17C0A" w:rsidRPr="00271376" w:rsidRDefault="00E17C0A" w:rsidP="00645110">
            <w:pPr>
              <w:pStyle w:val="TableFigText"/>
              <w:jc w:val="right"/>
            </w:pPr>
            <w:r w:rsidRPr="00271376">
              <w:t>0</w:t>
            </w:r>
          </w:p>
        </w:tc>
        <w:tc>
          <w:tcPr>
            <w:tcW w:w="1107" w:type="dxa"/>
            <w:vAlign w:val="center"/>
          </w:tcPr>
          <w:p w:rsidR="00E17C0A" w:rsidRPr="00271376" w:rsidRDefault="00E17C0A" w:rsidP="00645110">
            <w:pPr>
              <w:pStyle w:val="TableFigText"/>
              <w:jc w:val="right"/>
            </w:pPr>
            <w:r w:rsidRPr="00271376">
              <w:t>10,990</w:t>
            </w:r>
          </w:p>
        </w:tc>
      </w:tr>
      <w:tr w:rsidR="00E17C0A" w:rsidRPr="00EF5802" w:rsidTr="005B2C04">
        <w:tc>
          <w:tcPr>
            <w:tcW w:w="2485" w:type="dxa"/>
          </w:tcPr>
          <w:p w:rsidR="00E17C0A" w:rsidRPr="00EF5802" w:rsidRDefault="00E17C0A" w:rsidP="005B2C04">
            <w:pPr>
              <w:pStyle w:val="TableFigText"/>
              <w:keepNext/>
              <w:rPr>
                <w:rFonts w:asciiTheme="minorHAnsi" w:hAnsiTheme="minorHAnsi" w:cstheme="minorHAnsi"/>
                <w:szCs w:val="22"/>
              </w:rPr>
            </w:pPr>
            <w:r w:rsidRPr="00EF5802">
              <w:rPr>
                <w:rFonts w:asciiTheme="minorHAnsi" w:hAnsiTheme="minorHAnsi" w:cstheme="minorHAnsi"/>
                <w:szCs w:val="22"/>
              </w:rPr>
              <w:t>Community mental health care contacts</w:t>
            </w:r>
            <w:r w:rsidRPr="00EF5802">
              <w:rPr>
                <w:rFonts w:asciiTheme="minorHAnsi" w:hAnsiTheme="minorHAnsi" w:cstheme="minorHAnsi"/>
                <w:szCs w:val="22"/>
                <w:vertAlign w:val="superscript"/>
              </w:rPr>
              <w:t>(b)</w:t>
            </w:r>
            <w:r w:rsidRPr="00EF5802">
              <w:rPr>
                <w:rFonts w:asciiTheme="minorHAnsi" w:hAnsiTheme="minorHAnsi" w:cstheme="minorHAnsi"/>
                <w:szCs w:val="22"/>
              </w:rPr>
              <w:t xml:space="preserve"> </w:t>
            </w:r>
          </w:p>
        </w:tc>
        <w:tc>
          <w:tcPr>
            <w:tcW w:w="1078" w:type="dxa"/>
            <w:vAlign w:val="center"/>
          </w:tcPr>
          <w:p w:rsidR="00E17C0A" w:rsidRPr="00271376" w:rsidRDefault="00E17C0A" w:rsidP="00645110">
            <w:pPr>
              <w:pStyle w:val="TableFigText"/>
              <w:jc w:val="right"/>
            </w:pPr>
            <w:r w:rsidRPr="00271376">
              <w:t>n/a</w:t>
            </w:r>
          </w:p>
        </w:tc>
        <w:tc>
          <w:tcPr>
            <w:tcW w:w="1425" w:type="dxa"/>
            <w:vAlign w:val="center"/>
          </w:tcPr>
          <w:p w:rsidR="00E17C0A" w:rsidRPr="00271376" w:rsidRDefault="00E17C0A" w:rsidP="00645110">
            <w:pPr>
              <w:pStyle w:val="TableFigText"/>
              <w:jc w:val="right"/>
            </w:pPr>
            <w:r w:rsidRPr="00271376">
              <w:t>n/a</w:t>
            </w:r>
          </w:p>
        </w:tc>
        <w:tc>
          <w:tcPr>
            <w:tcW w:w="1288" w:type="dxa"/>
            <w:vAlign w:val="center"/>
          </w:tcPr>
          <w:p w:rsidR="00E17C0A" w:rsidRPr="00271376" w:rsidRDefault="00E17C0A" w:rsidP="00645110">
            <w:pPr>
              <w:pStyle w:val="TableFigText"/>
              <w:jc w:val="right"/>
            </w:pPr>
            <w:r w:rsidRPr="00271376">
              <w:t>25,484</w:t>
            </w:r>
          </w:p>
        </w:tc>
        <w:tc>
          <w:tcPr>
            <w:tcW w:w="1071" w:type="dxa"/>
            <w:vAlign w:val="center"/>
          </w:tcPr>
          <w:p w:rsidR="00E17C0A" w:rsidRPr="00271376" w:rsidRDefault="00E17C0A" w:rsidP="00645110">
            <w:pPr>
              <w:pStyle w:val="TableFigText"/>
              <w:jc w:val="right"/>
            </w:pPr>
            <w:r w:rsidRPr="00271376">
              <w:t>9,929</w:t>
            </w:r>
          </w:p>
        </w:tc>
        <w:tc>
          <w:tcPr>
            <w:tcW w:w="1122" w:type="dxa"/>
            <w:vAlign w:val="center"/>
          </w:tcPr>
          <w:p w:rsidR="00E17C0A" w:rsidRPr="00271376" w:rsidRDefault="00E17C0A" w:rsidP="00645110">
            <w:pPr>
              <w:pStyle w:val="TableFigText"/>
              <w:jc w:val="right"/>
            </w:pPr>
            <w:r w:rsidRPr="00271376">
              <w:t>1,428</w:t>
            </w:r>
          </w:p>
        </w:tc>
        <w:tc>
          <w:tcPr>
            <w:tcW w:w="1107" w:type="dxa"/>
            <w:vAlign w:val="center"/>
          </w:tcPr>
          <w:p w:rsidR="00E17C0A" w:rsidRPr="00271376" w:rsidRDefault="00E17C0A" w:rsidP="00645110">
            <w:pPr>
              <w:pStyle w:val="TableFigText"/>
              <w:jc w:val="right"/>
            </w:pPr>
            <w:r w:rsidRPr="00271376">
              <w:t>36,841</w:t>
            </w:r>
          </w:p>
        </w:tc>
      </w:tr>
      <w:tr w:rsidR="00E17C0A" w:rsidRPr="00EF5802" w:rsidTr="005B2C04">
        <w:tc>
          <w:tcPr>
            <w:tcW w:w="2485" w:type="dxa"/>
          </w:tcPr>
          <w:p w:rsidR="00E17C0A" w:rsidRPr="00EF5802" w:rsidRDefault="00E17C0A" w:rsidP="005B2C04">
            <w:pPr>
              <w:pStyle w:val="TableFigText"/>
              <w:keepNext/>
              <w:rPr>
                <w:rFonts w:asciiTheme="minorHAnsi" w:hAnsiTheme="minorHAnsi" w:cstheme="minorHAnsi"/>
                <w:szCs w:val="22"/>
              </w:rPr>
            </w:pPr>
            <w:r w:rsidRPr="00EF5802">
              <w:rPr>
                <w:rFonts w:asciiTheme="minorHAnsi" w:hAnsiTheme="minorHAnsi" w:cstheme="minorHAnsi"/>
                <w:szCs w:val="22"/>
              </w:rPr>
              <w:t>Residential mental health care days</w:t>
            </w:r>
            <w:r w:rsidRPr="00EF5802">
              <w:rPr>
                <w:rFonts w:asciiTheme="minorHAnsi" w:hAnsiTheme="minorHAnsi" w:cstheme="minorHAnsi"/>
                <w:szCs w:val="22"/>
                <w:vertAlign w:val="superscript"/>
              </w:rPr>
              <w:t>(c)</w:t>
            </w:r>
          </w:p>
        </w:tc>
        <w:tc>
          <w:tcPr>
            <w:tcW w:w="1078" w:type="dxa"/>
            <w:vAlign w:val="center"/>
          </w:tcPr>
          <w:p w:rsidR="00E17C0A" w:rsidRPr="00271376" w:rsidRDefault="00E17C0A" w:rsidP="00645110">
            <w:pPr>
              <w:pStyle w:val="TableFigText"/>
              <w:jc w:val="right"/>
            </w:pPr>
            <w:r w:rsidRPr="00271376">
              <w:t>n/a</w:t>
            </w:r>
          </w:p>
        </w:tc>
        <w:tc>
          <w:tcPr>
            <w:tcW w:w="1425" w:type="dxa"/>
            <w:vAlign w:val="center"/>
          </w:tcPr>
          <w:p w:rsidR="00E17C0A" w:rsidRPr="00271376" w:rsidRDefault="00E17C0A" w:rsidP="00645110">
            <w:pPr>
              <w:pStyle w:val="TableFigText"/>
              <w:jc w:val="right"/>
            </w:pPr>
            <w:r w:rsidRPr="00271376">
              <w:t>n/a</w:t>
            </w:r>
          </w:p>
        </w:tc>
        <w:tc>
          <w:tcPr>
            <w:tcW w:w="1288" w:type="dxa"/>
            <w:vAlign w:val="center"/>
          </w:tcPr>
          <w:p w:rsidR="00E17C0A" w:rsidRPr="00271376" w:rsidRDefault="00E17C0A" w:rsidP="00645110">
            <w:pPr>
              <w:pStyle w:val="TableFigText"/>
              <w:jc w:val="right"/>
            </w:pPr>
            <w:r w:rsidRPr="00271376">
              <w:t>1,737</w:t>
            </w:r>
          </w:p>
        </w:tc>
        <w:tc>
          <w:tcPr>
            <w:tcW w:w="1071" w:type="dxa"/>
            <w:vAlign w:val="center"/>
          </w:tcPr>
          <w:p w:rsidR="00E17C0A" w:rsidRPr="00271376" w:rsidRDefault="00E17C0A" w:rsidP="00645110">
            <w:pPr>
              <w:pStyle w:val="TableFigText"/>
              <w:jc w:val="right"/>
            </w:pPr>
            <w:r w:rsidRPr="00271376">
              <w:t>0</w:t>
            </w:r>
          </w:p>
        </w:tc>
        <w:tc>
          <w:tcPr>
            <w:tcW w:w="1122" w:type="dxa"/>
            <w:vAlign w:val="center"/>
          </w:tcPr>
          <w:p w:rsidR="00E17C0A" w:rsidRPr="00271376" w:rsidRDefault="00E17C0A" w:rsidP="00645110">
            <w:pPr>
              <w:pStyle w:val="TableFigText"/>
              <w:jc w:val="right"/>
            </w:pPr>
            <w:r w:rsidRPr="00271376">
              <w:t>0</w:t>
            </w:r>
          </w:p>
        </w:tc>
        <w:tc>
          <w:tcPr>
            <w:tcW w:w="1107" w:type="dxa"/>
            <w:vAlign w:val="center"/>
          </w:tcPr>
          <w:p w:rsidR="00E17C0A" w:rsidRPr="00271376" w:rsidRDefault="00E17C0A" w:rsidP="00645110">
            <w:pPr>
              <w:pStyle w:val="TableFigText"/>
              <w:jc w:val="right"/>
            </w:pPr>
            <w:r w:rsidRPr="00271376">
              <w:t>1,737</w:t>
            </w:r>
          </w:p>
        </w:tc>
      </w:tr>
    </w:tbl>
    <w:p w:rsidR="00E17C0A" w:rsidRPr="009474EF" w:rsidRDefault="00E17C0A" w:rsidP="008C2A85">
      <w:pPr>
        <w:pStyle w:val="TableFigNotesnumbered"/>
        <w:ind w:left="294" w:hanging="294"/>
        <w:rPr>
          <w:rStyle w:val="table-note"/>
        </w:rPr>
      </w:pPr>
      <w:proofErr w:type="gramStart"/>
      <w:r w:rsidRPr="009474EF">
        <w:rPr>
          <w:rStyle w:val="table-note"/>
        </w:rPr>
        <w:t>n/a</w:t>
      </w:r>
      <w:proofErr w:type="gramEnd"/>
      <w:r w:rsidRPr="009474EF">
        <w:rPr>
          <w:rStyle w:val="table-note"/>
        </w:rPr>
        <w:t xml:space="preserve"> </w:t>
      </w:r>
      <w:r w:rsidRPr="009474EF">
        <w:rPr>
          <w:rStyle w:val="table-note"/>
        </w:rPr>
        <w:tab/>
        <w:t>Not applicable.</w:t>
      </w:r>
    </w:p>
    <w:p w:rsidR="00E17C0A" w:rsidRPr="009474EF" w:rsidRDefault="00E17C0A" w:rsidP="009474EF">
      <w:pPr>
        <w:pStyle w:val="TableFigNotesnumbered"/>
        <w:numPr>
          <w:ilvl w:val="0"/>
          <w:numId w:val="106"/>
        </w:numPr>
        <w:rPr>
          <w:rStyle w:val="table-note"/>
        </w:rPr>
      </w:pPr>
      <w:r w:rsidRPr="009474EF">
        <w:rPr>
          <w:rStyle w:val="table-note"/>
        </w:rPr>
        <w:lastRenderedPageBreak/>
        <w:t xml:space="preserve">Hospital days, also known as accrued mental health care days for public hospital services, will not equal figures reported from the National hospital morbidity database due to scope differences between the two collections.  </w:t>
      </w:r>
    </w:p>
    <w:p w:rsidR="00E17C0A" w:rsidRPr="009474EF" w:rsidRDefault="00E17C0A" w:rsidP="009474EF">
      <w:pPr>
        <w:pStyle w:val="TableFigNotesnumbered"/>
        <w:numPr>
          <w:ilvl w:val="0"/>
          <w:numId w:val="106"/>
        </w:numPr>
        <w:rPr>
          <w:rStyle w:val="table-note"/>
        </w:rPr>
      </w:pPr>
      <w:r w:rsidRPr="009474EF">
        <w:rPr>
          <w:rStyle w:val="table-note"/>
        </w:rPr>
        <w:t xml:space="preserve">Community mental health care contacts will not equate to those reported from the Community mental health care database due to differing scope. </w:t>
      </w:r>
    </w:p>
    <w:p w:rsidR="00E17C0A" w:rsidRPr="009474EF" w:rsidRDefault="00E17C0A" w:rsidP="009474EF">
      <w:pPr>
        <w:pStyle w:val="TableFigNotesnumbered"/>
        <w:numPr>
          <w:ilvl w:val="0"/>
          <w:numId w:val="106"/>
        </w:numPr>
        <w:rPr>
          <w:rStyle w:val="table-note"/>
        </w:rPr>
      </w:pPr>
      <w:proofErr w:type="gramStart"/>
      <w:r w:rsidRPr="009474EF">
        <w:rPr>
          <w:rStyle w:val="table-note"/>
        </w:rPr>
        <w:t>Residential mental health care days comprises</w:t>
      </w:r>
      <w:proofErr w:type="gramEnd"/>
      <w:r w:rsidRPr="009474EF">
        <w:rPr>
          <w:rStyle w:val="table-note"/>
        </w:rPr>
        <w:t xml:space="preserve"> the number of care days provided by all services, including government and non-government operated services, and 24-hour and non-24-hour staffed services. Figures will not equate to those reported from the Residential mental health care database due to differing collection scopes.</w:t>
      </w:r>
    </w:p>
    <w:p w:rsidR="00E17C0A" w:rsidRPr="008A3F74" w:rsidRDefault="008A3F74" w:rsidP="00E17C0A">
      <w:pPr>
        <w:pStyle w:val="TableCaption"/>
        <w:rPr>
          <w:rStyle w:val="table-note"/>
        </w:rPr>
      </w:pPr>
      <w:r w:rsidRPr="008A3F74">
        <w:rPr>
          <w:rStyle w:val="table-note"/>
        </w:rPr>
        <w:t xml:space="preserve">Table 71: </w:t>
      </w:r>
      <w:r w:rsidR="00E17C0A" w:rsidRPr="008A3F74">
        <w:rPr>
          <w:rStyle w:val="table-note"/>
        </w:rPr>
        <w:t>NT: State and territory specialised mental health service activity, by service type, 2011–12</w:t>
      </w:r>
    </w:p>
    <w:tbl>
      <w:tblPr>
        <w:tblStyle w:val="TableGrid"/>
        <w:tblW w:w="0" w:type="auto"/>
        <w:tblLook w:val="04A0" w:firstRow="1" w:lastRow="0" w:firstColumn="1" w:lastColumn="0" w:noHBand="0" w:noVBand="1"/>
        <w:tblCaption w:val="NT: State and territory specialised mental health service activity, by service type, 2011–12"/>
        <w:tblDescription w:val="Table showing that, in 2011-12, community mental health care contacts was the highest specialised mental health service activity type recorded across all region types in NT at 48,869, followed by hospital days at 10,489 and residential mental health care contacts at 4,828. The major cities and inner regional categories were not applicable. "/>
      </w:tblPr>
      <w:tblGrid>
        <w:gridCol w:w="2378"/>
        <w:gridCol w:w="1045"/>
        <w:gridCol w:w="1378"/>
        <w:gridCol w:w="1251"/>
        <w:gridCol w:w="1047"/>
        <w:gridCol w:w="1092"/>
        <w:gridCol w:w="1095"/>
      </w:tblGrid>
      <w:tr w:rsidR="00E17C0A" w:rsidRPr="00EF5802" w:rsidTr="000C3DEA">
        <w:trPr>
          <w:tblHeader/>
        </w:trPr>
        <w:tc>
          <w:tcPr>
            <w:tcW w:w="2479" w:type="dxa"/>
          </w:tcPr>
          <w:p w:rsidR="00E17C0A" w:rsidRPr="00EF5802" w:rsidRDefault="00E17C0A" w:rsidP="005B2C04">
            <w:pPr>
              <w:pStyle w:val="TableFigText"/>
              <w:rPr>
                <w:rFonts w:asciiTheme="minorHAnsi" w:hAnsiTheme="minorHAnsi" w:cstheme="minorHAnsi"/>
                <w:szCs w:val="22"/>
              </w:rPr>
            </w:pPr>
          </w:p>
        </w:tc>
        <w:tc>
          <w:tcPr>
            <w:tcW w:w="1076" w:type="dxa"/>
          </w:tcPr>
          <w:p w:rsidR="00E17C0A" w:rsidRPr="00EF5802" w:rsidRDefault="00E17C0A" w:rsidP="005B2C04">
            <w:pPr>
              <w:pStyle w:val="TableFigText"/>
              <w:jc w:val="right"/>
              <w:rPr>
                <w:rFonts w:asciiTheme="minorHAnsi" w:hAnsiTheme="minorHAnsi" w:cstheme="minorHAnsi"/>
                <w:b/>
                <w:szCs w:val="22"/>
              </w:rPr>
            </w:pPr>
            <w:r w:rsidRPr="00EF5802">
              <w:rPr>
                <w:rFonts w:asciiTheme="minorHAnsi" w:hAnsiTheme="minorHAnsi" w:cstheme="minorHAnsi"/>
                <w:b/>
                <w:szCs w:val="22"/>
              </w:rPr>
              <w:t>Major cities</w:t>
            </w:r>
          </w:p>
        </w:tc>
        <w:tc>
          <w:tcPr>
            <w:tcW w:w="1423" w:type="dxa"/>
          </w:tcPr>
          <w:p w:rsidR="00E17C0A" w:rsidRPr="00EF5802" w:rsidRDefault="00E17C0A" w:rsidP="005B2C04">
            <w:pPr>
              <w:pStyle w:val="TableFigText"/>
              <w:jc w:val="right"/>
              <w:rPr>
                <w:rFonts w:asciiTheme="minorHAnsi" w:hAnsiTheme="minorHAnsi" w:cstheme="minorHAnsi"/>
                <w:b/>
                <w:szCs w:val="22"/>
              </w:rPr>
            </w:pPr>
            <w:r w:rsidRPr="00EF5802">
              <w:rPr>
                <w:rFonts w:asciiTheme="minorHAnsi" w:hAnsiTheme="minorHAnsi" w:cstheme="minorHAnsi"/>
                <w:b/>
                <w:szCs w:val="22"/>
              </w:rPr>
              <w:t>Inner regional</w:t>
            </w:r>
          </w:p>
        </w:tc>
        <w:tc>
          <w:tcPr>
            <w:tcW w:w="1286" w:type="dxa"/>
          </w:tcPr>
          <w:p w:rsidR="00E17C0A" w:rsidRPr="00EF5802" w:rsidRDefault="00E17C0A" w:rsidP="005B2C04">
            <w:pPr>
              <w:pStyle w:val="TableFigText"/>
              <w:jc w:val="right"/>
              <w:rPr>
                <w:rFonts w:asciiTheme="minorHAnsi" w:hAnsiTheme="minorHAnsi" w:cstheme="minorHAnsi"/>
                <w:b/>
                <w:szCs w:val="22"/>
              </w:rPr>
            </w:pPr>
            <w:r w:rsidRPr="00EF5802">
              <w:rPr>
                <w:rFonts w:asciiTheme="minorHAnsi" w:hAnsiTheme="minorHAnsi" w:cstheme="minorHAnsi"/>
                <w:b/>
                <w:szCs w:val="22"/>
              </w:rPr>
              <w:t>Outer regional</w:t>
            </w:r>
          </w:p>
        </w:tc>
        <w:tc>
          <w:tcPr>
            <w:tcW w:w="1069" w:type="dxa"/>
          </w:tcPr>
          <w:p w:rsidR="00E17C0A" w:rsidRPr="00EF5802" w:rsidRDefault="00E17C0A" w:rsidP="005B2C04">
            <w:pPr>
              <w:pStyle w:val="TableFigText"/>
              <w:jc w:val="right"/>
              <w:rPr>
                <w:rFonts w:asciiTheme="minorHAnsi" w:hAnsiTheme="minorHAnsi" w:cstheme="minorHAnsi"/>
                <w:b/>
                <w:szCs w:val="22"/>
              </w:rPr>
            </w:pPr>
            <w:r w:rsidRPr="00EF5802">
              <w:rPr>
                <w:rFonts w:asciiTheme="minorHAnsi" w:hAnsiTheme="minorHAnsi" w:cstheme="minorHAnsi"/>
                <w:b/>
                <w:szCs w:val="22"/>
              </w:rPr>
              <w:t>Remote</w:t>
            </w:r>
          </w:p>
        </w:tc>
        <w:tc>
          <w:tcPr>
            <w:tcW w:w="1120" w:type="dxa"/>
          </w:tcPr>
          <w:p w:rsidR="00E17C0A" w:rsidRPr="00EF5802" w:rsidRDefault="00E17C0A" w:rsidP="005B2C04">
            <w:pPr>
              <w:pStyle w:val="TableFigText"/>
              <w:jc w:val="right"/>
              <w:rPr>
                <w:rFonts w:asciiTheme="minorHAnsi" w:hAnsiTheme="minorHAnsi" w:cstheme="minorHAnsi"/>
                <w:b/>
                <w:szCs w:val="22"/>
              </w:rPr>
            </w:pPr>
            <w:r w:rsidRPr="00EF5802">
              <w:rPr>
                <w:rFonts w:asciiTheme="minorHAnsi" w:hAnsiTheme="minorHAnsi" w:cstheme="minorHAnsi"/>
                <w:b/>
                <w:szCs w:val="22"/>
              </w:rPr>
              <w:t>Very remote</w:t>
            </w:r>
          </w:p>
        </w:tc>
        <w:tc>
          <w:tcPr>
            <w:tcW w:w="1123" w:type="dxa"/>
          </w:tcPr>
          <w:p w:rsidR="00E17C0A" w:rsidRPr="00EF5802" w:rsidRDefault="00E17C0A" w:rsidP="005B2C04">
            <w:pPr>
              <w:pStyle w:val="TableFigText"/>
              <w:jc w:val="right"/>
              <w:rPr>
                <w:rFonts w:asciiTheme="minorHAnsi" w:hAnsiTheme="minorHAnsi" w:cstheme="minorHAnsi"/>
                <w:b/>
                <w:szCs w:val="22"/>
              </w:rPr>
            </w:pPr>
            <w:r w:rsidRPr="00EF5802">
              <w:rPr>
                <w:rFonts w:asciiTheme="minorHAnsi" w:hAnsiTheme="minorHAnsi" w:cstheme="minorHAnsi"/>
                <w:b/>
                <w:szCs w:val="22"/>
              </w:rPr>
              <w:t>Total</w:t>
            </w:r>
          </w:p>
        </w:tc>
      </w:tr>
      <w:tr w:rsidR="00E17C0A" w:rsidRPr="00EF5802" w:rsidTr="005B2C04">
        <w:tc>
          <w:tcPr>
            <w:tcW w:w="2479" w:type="dxa"/>
          </w:tcPr>
          <w:p w:rsidR="00E17C0A" w:rsidRPr="00EF5802" w:rsidRDefault="00E17C0A" w:rsidP="005B2C04">
            <w:pPr>
              <w:pStyle w:val="TableFigText"/>
              <w:rPr>
                <w:rFonts w:asciiTheme="minorHAnsi" w:hAnsiTheme="minorHAnsi" w:cstheme="minorHAnsi"/>
                <w:szCs w:val="22"/>
              </w:rPr>
            </w:pPr>
            <w:r w:rsidRPr="00EF5802">
              <w:rPr>
                <w:rFonts w:asciiTheme="minorHAnsi" w:hAnsiTheme="minorHAnsi" w:cstheme="minorHAnsi"/>
                <w:szCs w:val="22"/>
              </w:rPr>
              <w:t>Hospital days</w:t>
            </w:r>
            <w:r w:rsidRPr="00EF5802">
              <w:rPr>
                <w:rFonts w:asciiTheme="minorHAnsi" w:hAnsiTheme="minorHAnsi" w:cstheme="minorHAnsi"/>
                <w:szCs w:val="22"/>
                <w:vertAlign w:val="superscript"/>
              </w:rPr>
              <w:t>(a)</w:t>
            </w:r>
          </w:p>
        </w:tc>
        <w:tc>
          <w:tcPr>
            <w:tcW w:w="1076" w:type="dxa"/>
            <w:vAlign w:val="center"/>
          </w:tcPr>
          <w:p w:rsidR="00E17C0A" w:rsidRPr="00271376" w:rsidRDefault="00E17C0A" w:rsidP="00645110">
            <w:pPr>
              <w:pStyle w:val="TableFigText"/>
              <w:jc w:val="right"/>
            </w:pPr>
            <w:r w:rsidRPr="00271376">
              <w:t>n/a</w:t>
            </w:r>
          </w:p>
        </w:tc>
        <w:tc>
          <w:tcPr>
            <w:tcW w:w="1423" w:type="dxa"/>
            <w:vAlign w:val="center"/>
          </w:tcPr>
          <w:p w:rsidR="00E17C0A" w:rsidRPr="00271376" w:rsidRDefault="00E17C0A" w:rsidP="00645110">
            <w:pPr>
              <w:pStyle w:val="TableFigText"/>
              <w:jc w:val="right"/>
            </w:pPr>
            <w:r w:rsidRPr="00271376">
              <w:t>n/a</w:t>
            </w:r>
          </w:p>
        </w:tc>
        <w:tc>
          <w:tcPr>
            <w:tcW w:w="1286" w:type="dxa"/>
            <w:vAlign w:val="center"/>
          </w:tcPr>
          <w:p w:rsidR="00E17C0A" w:rsidRPr="00271376" w:rsidRDefault="00E17C0A" w:rsidP="00645110">
            <w:pPr>
              <w:pStyle w:val="TableFigText"/>
              <w:jc w:val="right"/>
            </w:pPr>
            <w:r w:rsidRPr="00271376">
              <w:t>8,617</w:t>
            </w:r>
          </w:p>
        </w:tc>
        <w:tc>
          <w:tcPr>
            <w:tcW w:w="1069" w:type="dxa"/>
            <w:vAlign w:val="center"/>
          </w:tcPr>
          <w:p w:rsidR="00E17C0A" w:rsidRPr="00271376" w:rsidRDefault="00E17C0A" w:rsidP="00645110">
            <w:pPr>
              <w:pStyle w:val="TableFigText"/>
              <w:jc w:val="right"/>
            </w:pPr>
            <w:r w:rsidRPr="00271376">
              <w:t>1,872</w:t>
            </w:r>
          </w:p>
        </w:tc>
        <w:tc>
          <w:tcPr>
            <w:tcW w:w="1120" w:type="dxa"/>
            <w:vAlign w:val="center"/>
          </w:tcPr>
          <w:p w:rsidR="00E17C0A" w:rsidRPr="00271376" w:rsidRDefault="00E17C0A" w:rsidP="00645110">
            <w:pPr>
              <w:pStyle w:val="TableFigText"/>
              <w:jc w:val="right"/>
            </w:pPr>
            <w:r w:rsidRPr="00271376">
              <w:t>0</w:t>
            </w:r>
          </w:p>
        </w:tc>
        <w:tc>
          <w:tcPr>
            <w:tcW w:w="1123" w:type="dxa"/>
            <w:vAlign w:val="center"/>
          </w:tcPr>
          <w:p w:rsidR="00E17C0A" w:rsidRPr="00271376" w:rsidRDefault="00E17C0A" w:rsidP="00645110">
            <w:pPr>
              <w:pStyle w:val="TableFigText"/>
              <w:jc w:val="right"/>
            </w:pPr>
            <w:r w:rsidRPr="00271376">
              <w:t>10,489</w:t>
            </w:r>
          </w:p>
        </w:tc>
      </w:tr>
      <w:tr w:rsidR="00E17C0A" w:rsidRPr="00EF5802" w:rsidTr="005B2C04">
        <w:tc>
          <w:tcPr>
            <w:tcW w:w="2479" w:type="dxa"/>
          </w:tcPr>
          <w:p w:rsidR="00E17C0A" w:rsidRPr="00EF5802" w:rsidRDefault="00E17C0A" w:rsidP="005B2C04">
            <w:pPr>
              <w:pStyle w:val="TableFigText"/>
              <w:rPr>
                <w:rFonts w:asciiTheme="minorHAnsi" w:hAnsiTheme="minorHAnsi" w:cstheme="minorHAnsi"/>
                <w:szCs w:val="22"/>
              </w:rPr>
            </w:pPr>
            <w:r w:rsidRPr="00EF5802">
              <w:rPr>
                <w:rFonts w:asciiTheme="minorHAnsi" w:hAnsiTheme="minorHAnsi" w:cstheme="minorHAnsi"/>
                <w:szCs w:val="22"/>
              </w:rPr>
              <w:t>Community mental health care contacts</w:t>
            </w:r>
            <w:r w:rsidRPr="00EF5802">
              <w:rPr>
                <w:rFonts w:asciiTheme="minorHAnsi" w:hAnsiTheme="minorHAnsi" w:cstheme="minorHAnsi"/>
                <w:szCs w:val="22"/>
                <w:vertAlign w:val="superscript"/>
              </w:rPr>
              <w:t>(b)</w:t>
            </w:r>
            <w:r w:rsidRPr="00EF5802">
              <w:rPr>
                <w:rFonts w:asciiTheme="minorHAnsi" w:hAnsiTheme="minorHAnsi" w:cstheme="minorHAnsi"/>
                <w:szCs w:val="22"/>
              </w:rPr>
              <w:t xml:space="preserve"> </w:t>
            </w:r>
          </w:p>
        </w:tc>
        <w:tc>
          <w:tcPr>
            <w:tcW w:w="1076" w:type="dxa"/>
            <w:vAlign w:val="center"/>
          </w:tcPr>
          <w:p w:rsidR="00E17C0A" w:rsidRPr="00271376" w:rsidRDefault="00E17C0A" w:rsidP="00645110">
            <w:pPr>
              <w:pStyle w:val="TableFigText"/>
              <w:jc w:val="right"/>
            </w:pPr>
            <w:r w:rsidRPr="00271376">
              <w:t>n/a</w:t>
            </w:r>
          </w:p>
        </w:tc>
        <w:tc>
          <w:tcPr>
            <w:tcW w:w="1423" w:type="dxa"/>
            <w:vAlign w:val="center"/>
          </w:tcPr>
          <w:p w:rsidR="00E17C0A" w:rsidRPr="00271376" w:rsidRDefault="00E17C0A" w:rsidP="00645110">
            <w:pPr>
              <w:pStyle w:val="TableFigText"/>
              <w:jc w:val="right"/>
            </w:pPr>
            <w:r w:rsidRPr="00271376">
              <w:t>n/a</w:t>
            </w:r>
          </w:p>
        </w:tc>
        <w:tc>
          <w:tcPr>
            <w:tcW w:w="1286" w:type="dxa"/>
            <w:vAlign w:val="center"/>
          </w:tcPr>
          <w:p w:rsidR="00E17C0A" w:rsidRPr="00271376" w:rsidRDefault="00E17C0A" w:rsidP="00645110">
            <w:pPr>
              <w:pStyle w:val="TableFigText"/>
              <w:jc w:val="right"/>
            </w:pPr>
            <w:r w:rsidRPr="00271376">
              <w:t>30,990</w:t>
            </w:r>
          </w:p>
        </w:tc>
        <w:tc>
          <w:tcPr>
            <w:tcW w:w="1069" w:type="dxa"/>
            <w:vAlign w:val="center"/>
          </w:tcPr>
          <w:p w:rsidR="00E17C0A" w:rsidRPr="00271376" w:rsidRDefault="00E17C0A" w:rsidP="00645110">
            <w:pPr>
              <w:pStyle w:val="TableFigText"/>
              <w:jc w:val="right"/>
            </w:pPr>
            <w:r w:rsidRPr="00271376">
              <w:t>15,924</w:t>
            </w:r>
          </w:p>
        </w:tc>
        <w:tc>
          <w:tcPr>
            <w:tcW w:w="1120" w:type="dxa"/>
            <w:vAlign w:val="center"/>
          </w:tcPr>
          <w:p w:rsidR="00E17C0A" w:rsidRPr="00271376" w:rsidRDefault="00E17C0A" w:rsidP="00645110">
            <w:pPr>
              <w:pStyle w:val="TableFigText"/>
              <w:jc w:val="right"/>
            </w:pPr>
            <w:r w:rsidRPr="00271376">
              <w:t>1,955</w:t>
            </w:r>
          </w:p>
        </w:tc>
        <w:tc>
          <w:tcPr>
            <w:tcW w:w="1123" w:type="dxa"/>
            <w:vAlign w:val="center"/>
          </w:tcPr>
          <w:p w:rsidR="00E17C0A" w:rsidRPr="00271376" w:rsidRDefault="00E17C0A" w:rsidP="00645110">
            <w:pPr>
              <w:pStyle w:val="TableFigText"/>
              <w:jc w:val="right"/>
            </w:pPr>
            <w:r w:rsidRPr="00271376">
              <w:t>48,869</w:t>
            </w:r>
          </w:p>
        </w:tc>
      </w:tr>
      <w:tr w:rsidR="00E17C0A" w:rsidRPr="00EF5802" w:rsidTr="005B2C04">
        <w:tc>
          <w:tcPr>
            <w:tcW w:w="2479" w:type="dxa"/>
          </w:tcPr>
          <w:p w:rsidR="00E17C0A" w:rsidRPr="00EF5802" w:rsidRDefault="00E17C0A" w:rsidP="005B2C04">
            <w:pPr>
              <w:pStyle w:val="TableFigText"/>
              <w:rPr>
                <w:rFonts w:asciiTheme="minorHAnsi" w:hAnsiTheme="minorHAnsi" w:cstheme="minorHAnsi"/>
                <w:szCs w:val="22"/>
              </w:rPr>
            </w:pPr>
            <w:r w:rsidRPr="00EF5802">
              <w:rPr>
                <w:rFonts w:asciiTheme="minorHAnsi" w:hAnsiTheme="minorHAnsi" w:cstheme="minorHAnsi"/>
                <w:szCs w:val="22"/>
              </w:rPr>
              <w:t>Residential mental health care days</w:t>
            </w:r>
            <w:r w:rsidRPr="00EF5802">
              <w:rPr>
                <w:rFonts w:asciiTheme="minorHAnsi" w:hAnsiTheme="minorHAnsi" w:cstheme="minorHAnsi"/>
                <w:szCs w:val="22"/>
                <w:vertAlign w:val="superscript"/>
              </w:rPr>
              <w:t>(c)</w:t>
            </w:r>
          </w:p>
        </w:tc>
        <w:tc>
          <w:tcPr>
            <w:tcW w:w="1076" w:type="dxa"/>
            <w:vAlign w:val="center"/>
          </w:tcPr>
          <w:p w:rsidR="00E17C0A" w:rsidRPr="00271376" w:rsidRDefault="00E17C0A" w:rsidP="00645110">
            <w:pPr>
              <w:pStyle w:val="TableFigText"/>
              <w:jc w:val="right"/>
            </w:pPr>
            <w:r w:rsidRPr="00271376">
              <w:t>n/a</w:t>
            </w:r>
          </w:p>
        </w:tc>
        <w:tc>
          <w:tcPr>
            <w:tcW w:w="1423" w:type="dxa"/>
            <w:vAlign w:val="center"/>
          </w:tcPr>
          <w:p w:rsidR="00E17C0A" w:rsidRPr="00271376" w:rsidRDefault="00E17C0A" w:rsidP="00645110">
            <w:pPr>
              <w:pStyle w:val="TableFigText"/>
              <w:jc w:val="right"/>
            </w:pPr>
            <w:r w:rsidRPr="00271376">
              <w:t>n/a</w:t>
            </w:r>
          </w:p>
        </w:tc>
        <w:tc>
          <w:tcPr>
            <w:tcW w:w="1286" w:type="dxa"/>
            <w:vAlign w:val="center"/>
          </w:tcPr>
          <w:p w:rsidR="00E17C0A" w:rsidRPr="00271376" w:rsidRDefault="00E17C0A" w:rsidP="00645110">
            <w:pPr>
              <w:pStyle w:val="TableFigText"/>
              <w:jc w:val="right"/>
            </w:pPr>
            <w:r w:rsidRPr="00271376">
              <w:t>4,828</w:t>
            </w:r>
          </w:p>
        </w:tc>
        <w:tc>
          <w:tcPr>
            <w:tcW w:w="1069" w:type="dxa"/>
            <w:vAlign w:val="center"/>
          </w:tcPr>
          <w:p w:rsidR="00E17C0A" w:rsidRPr="00271376" w:rsidRDefault="00E17C0A" w:rsidP="00645110">
            <w:pPr>
              <w:pStyle w:val="TableFigText"/>
              <w:jc w:val="right"/>
            </w:pPr>
            <w:r w:rsidRPr="00271376">
              <w:t>0</w:t>
            </w:r>
          </w:p>
        </w:tc>
        <w:tc>
          <w:tcPr>
            <w:tcW w:w="1120" w:type="dxa"/>
            <w:vAlign w:val="center"/>
          </w:tcPr>
          <w:p w:rsidR="00E17C0A" w:rsidRPr="00271376" w:rsidRDefault="00E17C0A" w:rsidP="00645110">
            <w:pPr>
              <w:pStyle w:val="TableFigText"/>
              <w:jc w:val="right"/>
            </w:pPr>
            <w:r w:rsidRPr="00271376">
              <w:t>0</w:t>
            </w:r>
          </w:p>
        </w:tc>
        <w:tc>
          <w:tcPr>
            <w:tcW w:w="1123" w:type="dxa"/>
            <w:vAlign w:val="center"/>
          </w:tcPr>
          <w:p w:rsidR="00E17C0A" w:rsidRPr="00271376" w:rsidRDefault="00E17C0A" w:rsidP="00645110">
            <w:pPr>
              <w:pStyle w:val="TableFigText"/>
              <w:jc w:val="right"/>
            </w:pPr>
            <w:r w:rsidRPr="00271376">
              <w:t>4,828</w:t>
            </w:r>
          </w:p>
        </w:tc>
      </w:tr>
    </w:tbl>
    <w:p w:rsidR="00E17C0A" w:rsidRPr="009474EF" w:rsidRDefault="00E17C0A" w:rsidP="008C2A85">
      <w:pPr>
        <w:pStyle w:val="TableFigNotesnumbered"/>
        <w:ind w:left="294" w:hanging="294"/>
        <w:rPr>
          <w:rStyle w:val="table-note"/>
        </w:rPr>
      </w:pPr>
      <w:proofErr w:type="gramStart"/>
      <w:r w:rsidRPr="009474EF">
        <w:rPr>
          <w:rStyle w:val="table-note"/>
        </w:rPr>
        <w:t>n/a</w:t>
      </w:r>
      <w:proofErr w:type="gramEnd"/>
      <w:r w:rsidRPr="009474EF">
        <w:rPr>
          <w:rStyle w:val="table-note"/>
        </w:rPr>
        <w:t xml:space="preserve"> </w:t>
      </w:r>
      <w:r w:rsidRPr="009474EF">
        <w:rPr>
          <w:rStyle w:val="table-note"/>
        </w:rPr>
        <w:tab/>
        <w:t>Not applicable.</w:t>
      </w:r>
    </w:p>
    <w:p w:rsidR="00E17C0A" w:rsidRPr="009474EF" w:rsidRDefault="00E17C0A" w:rsidP="009474EF">
      <w:pPr>
        <w:pStyle w:val="TableFigNotesnumbered"/>
        <w:numPr>
          <w:ilvl w:val="0"/>
          <w:numId w:val="107"/>
        </w:numPr>
        <w:rPr>
          <w:rStyle w:val="table-note"/>
        </w:rPr>
      </w:pPr>
      <w:r w:rsidRPr="009474EF">
        <w:rPr>
          <w:rStyle w:val="table-note"/>
        </w:rPr>
        <w:t xml:space="preserve">Hospital days, also known as accrued mental health care days for public hospital services, will not equal figures reported from the National hospital morbidity database due to scope differences between the two collections.  </w:t>
      </w:r>
    </w:p>
    <w:p w:rsidR="00E17C0A" w:rsidRPr="009474EF" w:rsidRDefault="00E17C0A" w:rsidP="009474EF">
      <w:pPr>
        <w:pStyle w:val="TableFigNotesnumbered"/>
        <w:numPr>
          <w:ilvl w:val="0"/>
          <w:numId w:val="107"/>
        </w:numPr>
        <w:rPr>
          <w:rStyle w:val="table-note"/>
        </w:rPr>
      </w:pPr>
      <w:r w:rsidRPr="009474EF">
        <w:rPr>
          <w:rStyle w:val="table-note"/>
        </w:rPr>
        <w:t xml:space="preserve">Community mental health care contacts will not equate to those reported from the Community mental health care database due to differing scope. </w:t>
      </w:r>
    </w:p>
    <w:p w:rsidR="00E17C0A" w:rsidRPr="009474EF" w:rsidRDefault="00E17C0A" w:rsidP="009474EF">
      <w:pPr>
        <w:pStyle w:val="TableFigNotesnumbered"/>
        <w:numPr>
          <w:ilvl w:val="0"/>
          <w:numId w:val="107"/>
        </w:numPr>
        <w:rPr>
          <w:rStyle w:val="table-note"/>
        </w:rPr>
      </w:pPr>
      <w:proofErr w:type="gramStart"/>
      <w:r w:rsidRPr="009474EF">
        <w:rPr>
          <w:rStyle w:val="table-note"/>
        </w:rPr>
        <w:t>Residential mental health care days comprises</w:t>
      </w:r>
      <w:proofErr w:type="gramEnd"/>
      <w:r w:rsidRPr="009474EF">
        <w:rPr>
          <w:rStyle w:val="table-note"/>
        </w:rPr>
        <w:t xml:space="preserve"> the number of care days provided by all services, including government and non-government operated services, and 24-hour and non-24-hour staffed services. Figures will not equate to those reported from the Residential mental health care database due to differing collection scopes.</w:t>
      </w:r>
    </w:p>
    <w:p w:rsidR="008E4A1C" w:rsidRDefault="008E4A1C">
      <w:pPr>
        <w:spacing w:before="0" w:after="0" w:line="240" w:lineRule="auto"/>
        <w:rPr>
          <w:rFonts w:asciiTheme="minorHAnsi" w:hAnsiTheme="minorHAnsi" w:cstheme="minorHAnsi"/>
          <w:sz w:val="14"/>
          <w:szCs w:val="20"/>
          <w:lang w:eastAsia="en-US"/>
        </w:rPr>
      </w:pPr>
      <w:r>
        <w:rPr>
          <w:rFonts w:asciiTheme="minorHAnsi" w:hAnsiTheme="minorHAnsi" w:cstheme="minorHAnsi"/>
        </w:rPr>
        <w:br w:type="page"/>
      </w:r>
    </w:p>
    <w:p w:rsidR="008E4A1C" w:rsidRDefault="008E4A1C" w:rsidP="00645110">
      <w:pPr>
        <w:pStyle w:val="Heading2"/>
      </w:pPr>
      <w:r>
        <w:lastRenderedPageBreak/>
        <w:t>Appendix 1</w:t>
      </w:r>
    </w:p>
    <w:p w:rsidR="008E4A1C" w:rsidRDefault="008E4A1C" w:rsidP="00645110">
      <w:pPr>
        <w:pStyle w:val="Heading3"/>
      </w:pPr>
      <w:r>
        <w:t xml:space="preserve">Australian Capital Territory </w:t>
      </w:r>
    </w:p>
    <w:p w:rsidR="008E4A1C" w:rsidRDefault="008E4A1C" w:rsidP="00645110">
      <w:pPr>
        <w:pStyle w:val="AIHWbodytext"/>
      </w:pPr>
      <w:r>
        <w:t xml:space="preserve">The ACT declined to provide data for this report. The data presented here has been sourced from the publically available data published on the </w:t>
      </w:r>
      <w:proofErr w:type="gramStart"/>
      <w:r w:rsidRPr="00645110">
        <w:rPr>
          <w:i/>
        </w:rPr>
        <w:t>Mental</w:t>
      </w:r>
      <w:proofErr w:type="gramEnd"/>
      <w:r w:rsidRPr="00645110">
        <w:rPr>
          <w:i/>
        </w:rPr>
        <w:t xml:space="preserve"> health services in Australia</w:t>
      </w:r>
      <w:r>
        <w:t xml:space="preserve"> website: </w:t>
      </w:r>
      <w:hyperlink r:id="rId24" w:history="1">
        <w:r w:rsidRPr="00E37E7A">
          <w:rPr>
            <w:rStyle w:val="Hyperlink"/>
          </w:rPr>
          <w:t>http://mhsa.aihw.gov.au/home/</w:t>
        </w:r>
      </w:hyperlink>
      <w:r w:rsidR="00964472">
        <w:t xml:space="preserve"> as requested by the NMHC. </w:t>
      </w:r>
    </w:p>
    <w:p w:rsidR="008E4A1C" w:rsidRPr="008E4A1C" w:rsidRDefault="008E4A1C" w:rsidP="00645110">
      <w:pPr>
        <w:pStyle w:val="AIHWbodytext"/>
      </w:pPr>
      <w:r>
        <w:t>It should be noted that the data presented here</w:t>
      </w:r>
      <w:r w:rsidR="00987128">
        <w:t xml:space="preserve"> were calculated using different methodology to </w:t>
      </w:r>
      <w:r>
        <w:t>the data presented for the other jurisdictions presented in this report and readers are advised to read associated footnotes and caveats.</w:t>
      </w:r>
    </w:p>
    <w:p w:rsidR="008E4A1C" w:rsidRPr="008A3F74" w:rsidRDefault="008A3F74" w:rsidP="008E4A1C">
      <w:pPr>
        <w:pStyle w:val="TableCaption"/>
        <w:rPr>
          <w:rStyle w:val="table-note"/>
        </w:rPr>
      </w:pPr>
      <w:r w:rsidRPr="008A3F74">
        <w:rPr>
          <w:rStyle w:val="table-note"/>
        </w:rPr>
        <w:t xml:space="preserve">Table 72: </w:t>
      </w:r>
      <w:r w:rsidR="008E4A1C" w:rsidRPr="008A3F74">
        <w:rPr>
          <w:rStyle w:val="table-note"/>
        </w:rPr>
        <w:t xml:space="preserve">ACT: Recurrent </w:t>
      </w:r>
      <w:proofErr w:type="gramStart"/>
      <w:r w:rsidR="008E4A1C" w:rsidRPr="008A3F74">
        <w:rPr>
          <w:rStyle w:val="table-note"/>
        </w:rPr>
        <w:t>expenditure</w:t>
      </w:r>
      <w:r w:rsidR="008E4A1C" w:rsidRPr="008A3F74">
        <w:rPr>
          <w:rStyle w:val="table-note"/>
          <w:vertAlign w:val="superscript"/>
        </w:rPr>
        <w:t>(</w:t>
      </w:r>
      <w:proofErr w:type="gramEnd"/>
      <w:r w:rsidR="008E4A1C" w:rsidRPr="008A3F74">
        <w:rPr>
          <w:rStyle w:val="table-note"/>
          <w:vertAlign w:val="superscript"/>
        </w:rPr>
        <w:t>a)(b)</w:t>
      </w:r>
      <w:r w:rsidR="008E4A1C" w:rsidRPr="008A3F74">
        <w:rPr>
          <w:rStyle w:val="table-note"/>
        </w:rPr>
        <w:t xml:space="preserve"> ($’000) on state and territory specialised mental health services, by service type, 2007–08 (constant prices)</w:t>
      </w:r>
      <w:r w:rsidR="008E4A1C" w:rsidRPr="008A3F74">
        <w:rPr>
          <w:rStyle w:val="table-note"/>
          <w:vertAlign w:val="superscript"/>
        </w:rPr>
        <w:t>(c)</w:t>
      </w:r>
    </w:p>
    <w:tbl>
      <w:tblPr>
        <w:tblStyle w:val="TableGrid"/>
        <w:tblW w:w="0" w:type="auto"/>
        <w:tblLook w:val="04A0" w:firstRow="1" w:lastRow="0" w:firstColumn="1" w:lastColumn="0" w:noHBand="0" w:noVBand="1"/>
        <w:tblCaption w:val="Recurrent expenditure(a)(b) ($’000) on state and territory specialised mental health services, by service type, 2007–08 (constant prices)(c)"/>
        <w:tblDescription w:val="Table showing that, in 2007-2008, in the ACT  community mental health services had the highest recurrent expenditure at $30,988,000, followed by public hospital services $17,792,000 and residential mental health services $8,477,000."/>
      </w:tblPr>
      <w:tblGrid>
        <w:gridCol w:w="2388"/>
        <w:gridCol w:w="1044"/>
        <w:gridCol w:w="1376"/>
        <w:gridCol w:w="1248"/>
        <w:gridCol w:w="1045"/>
        <w:gridCol w:w="1091"/>
        <w:gridCol w:w="1094"/>
      </w:tblGrid>
      <w:tr w:rsidR="008E4A1C" w:rsidRPr="001B1E83" w:rsidTr="000C3DEA">
        <w:trPr>
          <w:tblHeader/>
        </w:trPr>
        <w:tc>
          <w:tcPr>
            <w:tcW w:w="2388" w:type="dxa"/>
          </w:tcPr>
          <w:p w:rsidR="008E4A1C" w:rsidRPr="001B1E83" w:rsidRDefault="008E4A1C" w:rsidP="00987128">
            <w:pPr>
              <w:pStyle w:val="TableFigText"/>
              <w:rPr>
                <w:rFonts w:asciiTheme="minorHAnsi" w:hAnsiTheme="minorHAnsi" w:cstheme="minorHAnsi"/>
                <w:szCs w:val="22"/>
              </w:rPr>
            </w:pPr>
          </w:p>
        </w:tc>
        <w:tc>
          <w:tcPr>
            <w:tcW w:w="1044" w:type="dxa"/>
          </w:tcPr>
          <w:p w:rsidR="008E4A1C" w:rsidRPr="001B1E83" w:rsidRDefault="008E4A1C" w:rsidP="00987128">
            <w:pPr>
              <w:pStyle w:val="TableFigText"/>
              <w:jc w:val="right"/>
              <w:rPr>
                <w:rFonts w:asciiTheme="minorHAnsi" w:hAnsiTheme="minorHAnsi" w:cstheme="minorHAnsi"/>
                <w:b/>
                <w:szCs w:val="22"/>
              </w:rPr>
            </w:pPr>
            <w:r w:rsidRPr="001B1E83">
              <w:rPr>
                <w:rFonts w:asciiTheme="minorHAnsi" w:hAnsiTheme="minorHAnsi" w:cstheme="minorHAnsi"/>
                <w:b/>
                <w:szCs w:val="22"/>
              </w:rPr>
              <w:t>Major cities</w:t>
            </w:r>
          </w:p>
        </w:tc>
        <w:tc>
          <w:tcPr>
            <w:tcW w:w="1376" w:type="dxa"/>
          </w:tcPr>
          <w:p w:rsidR="008E4A1C" w:rsidRPr="001B1E83" w:rsidRDefault="008E4A1C" w:rsidP="00987128">
            <w:pPr>
              <w:pStyle w:val="TableFigText"/>
              <w:jc w:val="right"/>
              <w:rPr>
                <w:rFonts w:asciiTheme="minorHAnsi" w:hAnsiTheme="minorHAnsi" w:cstheme="minorHAnsi"/>
                <w:b/>
                <w:szCs w:val="22"/>
              </w:rPr>
            </w:pPr>
            <w:r w:rsidRPr="001B1E83">
              <w:rPr>
                <w:rFonts w:asciiTheme="minorHAnsi" w:hAnsiTheme="minorHAnsi" w:cstheme="minorHAnsi"/>
                <w:b/>
                <w:szCs w:val="22"/>
              </w:rPr>
              <w:t>Inner regional</w:t>
            </w:r>
          </w:p>
        </w:tc>
        <w:tc>
          <w:tcPr>
            <w:tcW w:w="1248" w:type="dxa"/>
          </w:tcPr>
          <w:p w:rsidR="008E4A1C" w:rsidRPr="001B1E83" w:rsidRDefault="008E4A1C" w:rsidP="00987128">
            <w:pPr>
              <w:pStyle w:val="TableFigText"/>
              <w:jc w:val="right"/>
              <w:rPr>
                <w:rFonts w:asciiTheme="minorHAnsi" w:hAnsiTheme="minorHAnsi" w:cstheme="minorHAnsi"/>
                <w:b/>
                <w:szCs w:val="22"/>
              </w:rPr>
            </w:pPr>
            <w:r w:rsidRPr="001B1E83">
              <w:rPr>
                <w:rFonts w:asciiTheme="minorHAnsi" w:hAnsiTheme="minorHAnsi" w:cstheme="minorHAnsi"/>
                <w:b/>
                <w:szCs w:val="22"/>
              </w:rPr>
              <w:t>Outer regional</w:t>
            </w:r>
          </w:p>
        </w:tc>
        <w:tc>
          <w:tcPr>
            <w:tcW w:w="1045" w:type="dxa"/>
          </w:tcPr>
          <w:p w:rsidR="008E4A1C" w:rsidRPr="001B1E83" w:rsidRDefault="008E4A1C" w:rsidP="00987128">
            <w:pPr>
              <w:pStyle w:val="TableFigText"/>
              <w:jc w:val="right"/>
              <w:rPr>
                <w:rFonts w:asciiTheme="minorHAnsi" w:hAnsiTheme="minorHAnsi" w:cstheme="minorHAnsi"/>
                <w:b/>
                <w:szCs w:val="22"/>
              </w:rPr>
            </w:pPr>
            <w:r w:rsidRPr="001B1E83">
              <w:rPr>
                <w:rFonts w:asciiTheme="minorHAnsi" w:hAnsiTheme="minorHAnsi" w:cstheme="minorHAnsi"/>
                <w:b/>
                <w:szCs w:val="22"/>
              </w:rPr>
              <w:t>Remote</w:t>
            </w:r>
          </w:p>
        </w:tc>
        <w:tc>
          <w:tcPr>
            <w:tcW w:w="1091" w:type="dxa"/>
          </w:tcPr>
          <w:p w:rsidR="008E4A1C" w:rsidRPr="001B1E83" w:rsidRDefault="008E4A1C" w:rsidP="00987128">
            <w:pPr>
              <w:pStyle w:val="TableFigText"/>
              <w:jc w:val="right"/>
              <w:rPr>
                <w:rFonts w:asciiTheme="minorHAnsi" w:hAnsiTheme="minorHAnsi" w:cstheme="minorHAnsi"/>
                <w:b/>
                <w:szCs w:val="22"/>
              </w:rPr>
            </w:pPr>
            <w:r w:rsidRPr="001B1E83">
              <w:rPr>
                <w:rFonts w:asciiTheme="minorHAnsi" w:hAnsiTheme="minorHAnsi" w:cstheme="minorHAnsi"/>
                <w:b/>
                <w:szCs w:val="22"/>
              </w:rPr>
              <w:t>Very remote</w:t>
            </w:r>
          </w:p>
        </w:tc>
        <w:tc>
          <w:tcPr>
            <w:tcW w:w="1094" w:type="dxa"/>
          </w:tcPr>
          <w:p w:rsidR="008E4A1C" w:rsidRPr="001B1E83" w:rsidRDefault="008E4A1C" w:rsidP="00987128">
            <w:pPr>
              <w:pStyle w:val="TableFigText"/>
              <w:jc w:val="right"/>
              <w:rPr>
                <w:rFonts w:asciiTheme="minorHAnsi" w:hAnsiTheme="minorHAnsi" w:cstheme="minorHAnsi"/>
                <w:b/>
                <w:szCs w:val="22"/>
              </w:rPr>
            </w:pPr>
            <w:r w:rsidRPr="001B1E83">
              <w:rPr>
                <w:rFonts w:asciiTheme="minorHAnsi" w:hAnsiTheme="minorHAnsi" w:cstheme="minorHAnsi"/>
                <w:b/>
                <w:szCs w:val="22"/>
              </w:rPr>
              <w:t>Total</w:t>
            </w:r>
            <w:r w:rsidRPr="001B1E83">
              <w:rPr>
                <w:rFonts w:asciiTheme="minorHAnsi" w:hAnsiTheme="minorHAnsi" w:cstheme="minorHAnsi"/>
                <w:szCs w:val="22"/>
                <w:vertAlign w:val="superscript"/>
              </w:rPr>
              <w:t>(d)</w:t>
            </w:r>
          </w:p>
        </w:tc>
      </w:tr>
      <w:tr w:rsidR="008E4A1C" w:rsidRPr="001B1E83" w:rsidTr="00987128">
        <w:tc>
          <w:tcPr>
            <w:tcW w:w="2388" w:type="dxa"/>
          </w:tcPr>
          <w:p w:rsidR="008E4A1C" w:rsidRPr="001B1E83" w:rsidRDefault="008E4A1C" w:rsidP="00987128">
            <w:pPr>
              <w:pStyle w:val="TableFigText"/>
              <w:rPr>
                <w:rFonts w:asciiTheme="minorHAnsi" w:hAnsiTheme="minorHAnsi" w:cstheme="minorHAnsi"/>
                <w:szCs w:val="22"/>
              </w:rPr>
            </w:pPr>
            <w:r w:rsidRPr="001B1E83">
              <w:rPr>
                <w:rFonts w:asciiTheme="minorHAnsi" w:hAnsiTheme="minorHAnsi" w:cstheme="minorHAnsi"/>
                <w:szCs w:val="22"/>
              </w:rPr>
              <w:t>Public hospital services</w:t>
            </w:r>
            <w:r w:rsidRPr="001B1E83">
              <w:rPr>
                <w:rFonts w:asciiTheme="minorHAnsi" w:hAnsiTheme="minorHAnsi" w:cstheme="minorHAnsi"/>
                <w:szCs w:val="22"/>
                <w:vertAlign w:val="superscript"/>
              </w:rPr>
              <w:t>(e)(f)</w:t>
            </w:r>
          </w:p>
        </w:tc>
        <w:tc>
          <w:tcPr>
            <w:tcW w:w="1044" w:type="dxa"/>
          </w:tcPr>
          <w:p w:rsidR="008E4A1C" w:rsidRPr="001B1E83" w:rsidRDefault="008E4A1C" w:rsidP="00987128">
            <w:pPr>
              <w:pStyle w:val="TableFigText"/>
              <w:jc w:val="right"/>
              <w:rPr>
                <w:rFonts w:asciiTheme="minorHAnsi" w:hAnsiTheme="minorHAnsi" w:cstheme="minorHAnsi"/>
                <w:szCs w:val="22"/>
              </w:rPr>
            </w:pPr>
            <w:proofErr w:type="spellStart"/>
            <w:r>
              <w:rPr>
                <w:rFonts w:asciiTheme="minorHAnsi" w:hAnsiTheme="minorHAnsi" w:cstheme="minorHAnsi"/>
                <w:szCs w:val="22"/>
              </w:rPr>
              <w:t>n.p</w:t>
            </w:r>
            <w:proofErr w:type="spellEnd"/>
            <w:r>
              <w:rPr>
                <w:rFonts w:asciiTheme="minorHAnsi" w:hAnsiTheme="minorHAnsi" w:cstheme="minorHAnsi"/>
                <w:szCs w:val="22"/>
              </w:rPr>
              <w:t>.</w:t>
            </w:r>
          </w:p>
        </w:tc>
        <w:tc>
          <w:tcPr>
            <w:tcW w:w="1376" w:type="dxa"/>
          </w:tcPr>
          <w:p w:rsidR="008E4A1C" w:rsidRPr="00F37004" w:rsidRDefault="008E4A1C" w:rsidP="00987128">
            <w:pPr>
              <w:jc w:val="right"/>
              <w:rPr>
                <w:rFonts w:asciiTheme="minorHAnsi" w:hAnsiTheme="minorHAnsi" w:cstheme="minorHAnsi"/>
                <w:sz w:val="16"/>
                <w:lang w:eastAsia="en-US"/>
              </w:rPr>
            </w:pPr>
            <w:proofErr w:type="spellStart"/>
            <w:r w:rsidRPr="00F37004">
              <w:rPr>
                <w:rFonts w:asciiTheme="minorHAnsi" w:hAnsiTheme="minorHAnsi" w:cstheme="minorHAnsi"/>
                <w:sz w:val="16"/>
                <w:lang w:eastAsia="en-US"/>
              </w:rPr>
              <w:t>n.p</w:t>
            </w:r>
            <w:proofErr w:type="spellEnd"/>
            <w:r w:rsidRPr="00F37004">
              <w:rPr>
                <w:rFonts w:asciiTheme="minorHAnsi" w:hAnsiTheme="minorHAnsi" w:cstheme="minorHAnsi"/>
                <w:sz w:val="16"/>
                <w:lang w:eastAsia="en-US"/>
              </w:rPr>
              <w:t>.</w:t>
            </w:r>
          </w:p>
        </w:tc>
        <w:tc>
          <w:tcPr>
            <w:tcW w:w="1248" w:type="dxa"/>
          </w:tcPr>
          <w:p w:rsidR="008E4A1C" w:rsidRPr="00F37004" w:rsidRDefault="008E4A1C" w:rsidP="00987128">
            <w:pPr>
              <w:jc w:val="right"/>
              <w:rPr>
                <w:rFonts w:asciiTheme="minorHAnsi" w:hAnsiTheme="minorHAnsi" w:cstheme="minorHAnsi"/>
                <w:sz w:val="16"/>
                <w:lang w:eastAsia="en-US"/>
              </w:rPr>
            </w:pPr>
            <w:proofErr w:type="spellStart"/>
            <w:r w:rsidRPr="00F37004">
              <w:rPr>
                <w:rFonts w:asciiTheme="minorHAnsi" w:hAnsiTheme="minorHAnsi" w:cstheme="minorHAnsi"/>
                <w:sz w:val="16"/>
                <w:lang w:eastAsia="en-US"/>
              </w:rPr>
              <w:t>n.p</w:t>
            </w:r>
            <w:proofErr w:type="spellEnd"/>
            <w:r w:rsidRPr="00F37004">
              <w:rPr>
                <w:rFonts w:asciiTheme="minorHAnsi" w:hAnsiTheme="minorHAnsi" w:cstheme="minorHAnsi"/>
                <w:sz w:val="16"/>
                <w:lang w:eastAsia="en-US"/>
              </w:rPr>
              <w:t>.</w:t>
            </w:r>
          </w:p>
        </w:tc>
        <w:tc>
          <w:tcPr>
            <w:tcW w:w="1045" w:type="dxa"/>
          </w:tcPr>
          <w:p w:rsidR="008E4A1C" w:rsidRPr="00F37004" w:rsidRDefault="008E4A1C" w:rsidP="00987128">
            <w:pPr>
              <w:jc w:val="right"/>
              <w:rPr>
                <w:rFonts w:asciiTheme="minorHAnsi" w:hAnsiTheme="minorHAnsi" w:cstheme="minorHAnsi"/>
                <w:sz w:val="16"/>
                <w:lang w:eastAsia="en-US"/>
              </w:rPr>
            </w:pPr>
            <w:proofErr w:type="spellStart"/>
            <w:r w:rsidRPr="00F37004">
              <w:rPr>
                <w:rFonts w:asciiTheme="minorHAnsi" w:hAnsiTheme="minorHAnsi" w:cstheme="minorHAnsi"/>
                <w:sz w:val="16"/>
                <w:lang w:eastAsia="en-US"/>
              </w:rPr>
              <w:t>n.p</w:t>
            </w:r>
            <w:proofErr w:type="spellEnd"/>
            <w:r w:rsidRPr="00F37004">
              <w:rPr>
                <w:rFonts w:asciiTheme="minorHAnsi" w:hAnsiTheme="minorHAnsi" w:cstheme="minorHAnsi"/>
                <w:sz w:val="16"/>
                <w:lang w:eastAsia="en-US"/>
              </w:rPr>
              <w:t>.</w:t>
            </w:r>
          </w:p>
        </w:tc>
        <w:tc>
          <w:tcPr>
            <w:tcW w:w="1091" w:type="dxa"/>
          </w:tcPr>
          <w:p w:rsidR="008E4A1C" w:rsidRPr="00F37004" w:rsidRDefault="008E4A1C" w:rsidP="00987128">
            <w:pPr>
              <w:jc w:val="right"/>
              <w:rPr>
                <w:rFonts w:asciiTheme="minorHAnsi" w:hAnsiTheme="minorHAnsi" w:cstheme="minorHAnsi"/>
                <w:sz w:val="16"/>
                <w:lang w:eastAsia="en-US"/>
              </w:rPr>
            </w:pPr>
            <w:proofErr w:type="spellStart"/>
            <w:r w:rsidRPr="00F37004">
              <w:rPr>
                <w:rFonts w:asciiTheme="minorHAnsi" w:hAnsiTheme="minorHAnsi" w:cstheme="minorHAnsi"/>
                <w:sz w:val="16"/>
                <w:lang w:eastAsia="en-US"/>
              </w:rPr>
              <w:t>n.p</w:t>
            </w:r>
            <w:proofErr w:type="spellEnd"/>
            <w:r w:rsidRPr="00F37004">
              <w:rPr>
                <w:rFonts w:asciiTheme="minorHAnsi" w:hAnsiTheme="minorHAnsi" w:cstheme="minorHAnsi"/>
                <w:sz w:val="16"/>
                <w:lang w:eastAsia="en-US"/>
              </w:rPr>
              <w:t>.</w:t>
            </w:r>
          </w:p>
        </w:tc>
        <w:tc>
          <w:tcPr>
            <w:tcW w:w="1094" w:type="dxa"/>
          </w:tcPr>
          <w:p w:rsidR="008E4A1C" w:rsidRPr="001B1E83" w:rsidRDefault="008E4A1C" w:rsidP="00987128">
            <w:pPr>
              <w:pStyle w:val="TableFigText"/>
              <w:jc w:val="right"/>
              <w:rPr>
                <w:rFonts w:asciiTheme="minorHAnsi" w:hAnsiTheme="minorHAnsi" w:cstheme="minorHAnsi"/>
                <w:szCs w:val="22"/>
              </w:rPr>
            </w:pPr>
            <w:r w:rsidRPr="006506F6">
              <w:rPr>
                <w:rFonts w:asciiTheme="minorHAnsi" w:hAnsiTheme="minorHAnsi" w:cstheme="minorHAnsi"/>
                <w:szCs w:val="22"/>
              </w:rPr>
              <w:t>17,792</w:t>
            </w:r>
          </w:p>
        </w:tc>
      </w:tr>
      <w:tr w:rsidR="008E4A1C" w:rsidRPr="001B1E83" w:rsidTr="00987128">
        <w:tc>
          <w:tcPr>
            <w:tcW w:w="2388" w:type="dxa"/>
          </w:tcPr>
          <w:p w:rsidR="008E4A1C" w:rsidRPr="001B1E83" w:rsidRDefault="008E4A1C" w:rsidP="00987128">
            <w:pPr>
              <w:pStyle w:val="TableFigText"/>
              <w:rPr>
                <w:rFonts w:asciiTheme="minorHAnsi" w:hAnsiTheme="minorHAnsi" w:cstheme="minorHAnsi"/>
                <w:szCs w:val="22"/>
              </w:rPr>
            </w:pPr>
            <w:r w:rsidRPr="001B1E83">
              <w:rPr>
                <w:rFonts w:asciiTheme="minorHAnsi" w:hAnsiTheme="minorHAnsi" w:cstheme="minorHAnsi"/>
                <w:szCs w:val="22"/>
              </w:rPr>
              <w:t>Community mental health services</w:t>
            </w:r>
          </w:p>
        </w:tc>
        <w:tc>
          <w:tcPr>
            <w:tcW w:w="1044" w:type="dxa"/>
          </w:tcPr>
          <w:p w:rsidR="008E4A1C" w:rsidRPr="00F37004" w:rsidRDefault="008E4A1C" w:rsidP="00987128">
            <w:pPr>
              <w:pStyle w:val="TableFigText"/>
              <w:jc w:val="right"/>
              <w:rPr>
                <w:rFonts w:asciiTheme="minorHAnsi" w:hAnsiTheme="minorHAnsi" w:cstheme="minorHAnsi"/>
                <w:szCs w:val="22"/>
              </w:rPr>
            </w:pPr>
            <w:proofErr w:type="spellStart"/>
            <w:r w:rsidRPr="009A698A">
              <w:rPr>
                <w:rFonts w:asciiTheme="minorHAnsi" w:hAnsiTheme="minorHAnsi" w:cstheme="minorHAnsi"/>
                <w:szCs w:val="22"/>
              </w:rPr>
              <w:t>n.p</w:t>
            </w:r>
            <w:proofErr w:type="spellEnd"/>
            <w:r w:rsidRPr="009A698A">
              <w:rPr>
                <w:rFonts w:asciiTheme="minorHAnsi" w:hAnsiTheme="minorHAnsi" w:cstheme="minorHAnsi"/>
                <w:szCs w:val="22"/>
              </w:rPr>
              <w:t>.</w:t>
            </w:r>
          </w:p>
        </w:tc>
        <w:tc>
          <w:tcPr>
            <w:tcW w:w="1376" w:type="dxa"/>
          </w:tcPr>
          <w:p w:rsidR="008E4A1C" w:rsidRPr="00F37004" w:rsidRDefault="008E4A1C" w:rsidP="00987128">
            <w:pPr>
              <w:pStyle w:val="TableFigText"/>
              <w:jc w:val="right"/>
              <w:rPr>
                <w:rFonts w:asciiTheme="minorHAnsi" w:hAnsiTheme="minorHAnsi" w:cstheme="minorHAnsi"/>
                <w:szCs w:val="22"/>
              </w:rPr>
            </w:pPr>
            <w:proofErr w:type="spellStart"/>
            <w:r w:rsidRPr="009A698A">
              <w:rPr>
                <w:rFonts w:asciiTheme="minorHAnsi" w:hAnsiTheme="minorHAnsi" w:cstheme="minorHAnsi"/>
                <w:szCs w:val="22"/>
              </w:rPr>
              <w:t>n.p</w:t>
            </w:r>
            <w:proofErr w:type="spellEnd"/>
            <w:r w:rsidRPr="009A698A">
              <w:rPr>
                <w:rFonts w:asciiTheme="minorHAnsi" w:hAnsiTheme="minorHAnsi" w:cstheme="minorHAnsi"/>
                <w:szCs w:val="22"/>
              </w:rPr>
              <w:t>.</w:t>
            </w:r>
          </w:p>
        </w:tc>
        <w:tc>
          <w:tcPr>
            <w:tcW w:w="1248" w:type="dxa"/>
          </w:tcPr>
          <w:p w:rsidR="008E4A1C" w:rsidRPr="00F37004" w:rsidRDefault="008E4A1C" w:rsidP="00987128">
            <w:pPr>
              <w:pStyle w:val="TableFigText"/>
              <w:jc w:val="right"/>
              <w:rPr>
                <w:rFonts w:asciiTheme="minorHAnsi" w:hAnsiTheme="minorHAnsi" w:cstheme="minorHAnsi"/>
                <w:szCs w:val="22"/>
              </w:rPr>
            </w:pPr>
            <w:proofErr w:type="spellStart"/>
            <w:r w:rsidRPr="009A698A">
              <w:rPr>
                <w:rFonts w:asciiTheme="minorHAnsi" w:hAnsiTheme="minorHAnsi" w:cstheme="minorHAnsi"/>
                <w:szCs w:val="22"/>
              </w:rPr>
              <w:t>n.p</w:t>
            </w:r>
            <w:proofErr w:type="spellEnd"/>
            <w:r w:rsidRPr="009A698A">
              <w:rPr>
                <w:rFonts w:asciiTheme="minorHAnsi" w:hAnsiTheme="minorHAnsi" w:cstheme="minorHAnsi"/>
                <w:szCs w:val="22"/>
              </w:rPr>
              <w:t>.</w:t>
            </w:r>
          </w:p>
        </w:tc>
        <w:tc>
          <w:tcPr>
            <w:tcW w:w="1045" w:type="dxa"/>
          </w:tcPr>
          <w:p w:rsidR="008E4A1C" w:rsidRPr="00F37004" w:rsidRDefault="008E4A1C" w:rsidP="00987128">
            <w:pPr>
              <w:pStyle w:val="TableFigText"/>
              <w:jc w:val="right"/>
              <w:rPr>
                <w:rFonts w:asciiTheme="minorHAnsi" w:hAnsiTheme="minorHAnsi" w:cstheme="minorHAnsi"/>
                <w:szCs w:val="22"/>
              </w:rPr>
            </w:pPr>
            <w:proofErr w:type="spellStart"/>
            <w:r w:rsidRPr="009A698A">
              <w:rPr>
                <w:rFonts w:asciiTheme="minorHAnsi" w:hAnsiTheme="minorHAnsi" w:cstheme="minorHAnsi"/>
                <w:szCs w:val="22"/>
              </w:rPr>
              <w:t>n.p</w:t>
            </w:r>
            <w:proofErr w:type="spellEnd"/>
            <w:r w:rsidRPr="009A698A">
              <w:rPr>
                <w:rFonts w:asciiTheme="minorHAnsi" w:hAnsiTheme="minorHAnsi" w:cstheme="minorHAnsi"/>
                <w:szCs w:val="22"/>
              </w:rPr>
              <w:t>.</w:t>
            </w:r>
          </w:p>
        </w:tc>
        <w:tc>
          <w:tcPr>
            <w:tcW w:w="1091" w:type="dxa"/>
          </w:tcPr>
          <w:p w:rsidR="008E4A1C" w:rsidRPr="00F37004" w:rsidRDefault="008E4A1C" w:rsidP="00987128">
            <w:pPr>
              <w:pStyle w:val="TableFigText"/>
              <w:jc w:val="right"/>
              <w:rPr>
                <w:rFonts w:asciiTheme="minorHAnsi" w:hAnsiTheme="minorHAnsi" w:cstheme="minorHAnsi"/>
                <w:szCs w:val="22"/>
              </w:rPr>
            </w:pPr>
            <w:proofErr w:type="spellStart"/>
            <w:r w:rsidRPr="009A698A">
              <w:rPr>
                <w:rFonts w:asciiTheme="minorHAnsi" w:hAnsiTheme="minorHAnsi" w:cstheme="minorHAnsi"/>
                <w:szCs w:val="22"/>
              </w:rPr>
              <w:t>n.p</w:t>
            </w:r>
            <w:proofErr w:type="spellEnd"/>
            <w:r w:rsidRPr="009A698A">
              <w:rPr>
                <w:rFonts w:asciiTheme="minorHAnsi" w:hAnsiTheme="minorHAnsi" w:cstheme="minorHAnsi"/>
                <w:szCs w:val="22"/>
              </w:rPr>
              <w:t>.</w:t>
            </w:r>
          </w:p>
        </w:tc>
        <w:tc>
          <w:tcPr>
            <w:tcW w:w="1094" w:type="dxa"/>
          </w:tcPr>
          <w:p w:rsidR="008E4A1C" w:rsidRPr="001B1E83" w:rsidRDefault="008E4A1C" w:rsidP="00987128">
            <w:pPr>
              <w:pStyle w:val="TableFigText"/>
              <w:jc w:val="right"/>
              <w:rPr>
                <w:rFonts w:asciiTheme="minorHAnsi" w:hAnsiTheme="minorHAnsi" w:cstheme="minorHAnsi"/>
                <w:szCs w:val="22"/>
              </w:rPr>
            </w:pPr>
            <w:r w:rsidRPr="006506F6">
              <w:rPr>
                <w:rFonts w:asciiTheme="minorHAnsi" w:hAnsiTheme="minorHAnsi" w:cstheme="minorHAnsi"/>
                <w:szCs w:val="22"/>
              </w:rPr>
              <w:t>30,988</w:t>
            </w:r>
          </w:p>
        </w:tc>
      </w:tr>
      <w:tr w:rsidR="008E4A1C" w:rsidRPr="001B1E83" w:rsidTr="00987128">
        <w:tc>
          <w:tcPr>
            <w:tcW w:w="2388" w:type="dxa"/>
          </w:tcPr>
          <w:p w:rsidR="008E4A1C" w:rsidRPr="001B1E83" w:rsidRDefault="008E4A1C" w:rsidP="00987128">
            <w:pPr>
              <w:pStyle w:val="TableFigText"/>
              <w:rPr>
                <w:rFonts w:asciiTheme="minorHAnsi" w:hAnsiTheme="minorHAnsi" w:cstheme="minorHAnsi"/>
                <w:szCs w:val="22"/>
              </w:rPr>
            </w:pPr>
            <w:r w:rsidRPr="001B1E83">
              <w:rPr>
                <w:rFonts w:asciiTheme="minorHAnsi" w:hAnsiTheme="minorHAnsi" w:cstheme="minorHAnsi"/>
                <w:szCs w:val="22"/>
              </w:rPr>
              <w:t>Residential mental health services</w:t>
            </w:r>
            <w:r w:rsidRPr="001B1E83">
              <w:rPr>
                <w:rFonts w:asciiTheme="minorHAnsi" w:hAnsiTheme="minorHAnsi" w:cstheme="minorHAnsi"/>
                <w:szCs w:val="22"/>
                <w:vertAlign w:val="superscript"/>
              </w:rPr>
              <w:t>(g)</w:t>
            </w:r>
          </w:p>
        </w:tc>
        <w:tc>
          <w:tcPr>
            <w:tcW w:w="1044" w:type="dxa"/>
          </w:tcPr>
          <w:p w:rsidR="008E4A1C" w:rsidRPr="00F37004" w:rsidRDefault="008E4A1C" w:rsidP="00987128">
            <w:pPr>
              <w:pStyle w:val="TableFigText"/>
              <w:jc w:val="right"/>
              <w:rPr>
                <w:rFonts w:asciiTheme="minorHAnsi" w:hAnsiTheme="minorHAnsi" w:cstheme="minorHAnsi"/>
                <w:szCs w:val="22"/>
              </w:rPr>
            </w:pPr>
            <w:proofErr w:type="spellStart"/>
            <w:r w:rsidRPr="006F526B">
              <w:rPr>
                <w:rFonts w:asciiTheme="minorHAnsi" w:hAnsiTheme="minorHAnsi" w:cstheme="minorHAnsi"/>
                <w:szCs w:val="22"/>
              </w:rPr>
              <w:t>n.p</w:t>
            </w:r>
            <w:proofErr w:type="spellEnd"/>
            <w:r w:rsidRPr="006F526B">
              <w:rPr>
                <w:rFonts w:asciiTheme="minorHAnsi" w:hAnsiTheme="minorHAnsi" w:cstheme="minorHAnsi"/>
                <w:szCs w:val="22"/>
              </w:rPr>
              <w:t>.</w:t>
            </w:r>
          </w:p>
        </w:tc>
        <w:tc>
          <w:tcPr>
            <w:tcW w:w="1376" w:type="dxa"/>
          </w:tcPr>
          <w:p w:rsidR="008E4A1C" w:rsidRPr="00F37004" w:rsidRDefault="008E4A1C" w:rsidP="00987128">
            <w:pPr>
              <w:pStyle w:val="TableFigText"/>
              <w:jc w:val="right"/>
              <w:rPr>
                <w:rFonts w:asciiTheme="minorHAnsi" w:hAnsiTheme="minorHAnsi" w:cstheme="minorHAnsi"/>
                <w:szCs w:val="22"/>
              </w:rPr>
            </w:pPr>
            <w:proofErr w:type="spellStart"/>
            <w:r w:rsidRPr="006F526B">
              <w:rPr>
                <w:rFonts w:asciiTheme="minorHAnsi" w:hAnsiTheme="minorHAnsi" w:cstheme="minorHAnsi"/>
                <w:szCs w:val="22"/>
              </w:rPr>
              <w:t>n.p</w:t>
            </w:r>
            <w:proofErr w:type="spellEnd"/>
            <w:r w:rsidRPr="006F526B">
              <w:rPr>
                <w:rFonts w:asciiTheme="minorHAnsi" w:hAnsiTheme="minorHAnsi" w:cstheme="minorHAnsi"/>
                <w:szCs w:val="22"/>
              </w:rPr>
              <w:t>.</w:t>
            </w:r>
          </w:p>
        </w:tc>
        <w:tc>
          <w:tcPr>
            <w:tcW w:w="1248" w:type="dxa"/>
          </w:tcPr>
          <w:p w:rsidR="008E4A1C" w:rsidRPr="00F37004" w:rsidRDefault="008E4A1C" w:rsidP="00987128">
            <w:pPr>
              <w:pStyle w:val="TableFigText"/>
              <w:jc w:val="right"/>
              <w:rPr>
                <w:rFonts w:asciiTheme="minorHAnsi" w:hAnsiTheme="minorHAnsi" w:cstheme="minorHAnsi"/>
                <w:szCs w:val="22"/>
              </w:rPr>
            </w:pPr>
            <w:proofErr w:type="spellStart"/>
            <w:r w:rsidRPr="006F526B">
              <w:rPr>
                <w:rFonts w:asciiTheme="minorHAnsi" w:hAnsiTheme="minorHAnsi" w:cstheme="minorHAnsi"/>
                <w:szCs w:val="22"/>
              </w:rPr>
              <w:t>n.p</w:t>
            </w:r>
            <w:proofErr w:type="spellEnd"/>
            <w:r w:rsidRPr="006F526B">
              <w:rPr>
                <w:rFonts w:asciiTheme="minorHAnsi" w:hAnsiTheme="minorHAnsi" w:cstheme="minorHAnsi"/>
                <w:szCs w:val="22"/>
              </w:rPr>
              <w:t>.</w:t>
            </w:r>
          </w:p>
        </w:tc>
        <w:tc>
          <w:tcPr>
            <w:tcW w:w="1045" w:type="dxa"/>
          </w:tcPr>
          <w:p w:rsidR="008E4A1C" w:rsidRPr="00F37004" w:rsidRDefault="008E4A1C" w:rsidP="00987128">
            <w:pPr>
              <w:pStyle w:val="TableFigText"/>
              <w:jc w:val="right"/>
              <w:rPr>
                <w:rFonts w:asciiTheme="minorHAnsi" w:hAnsiTheme="minorHAnsi" w:cstheme="minorHAnsi"/>
                <w:szCs w:val="22"/>
              </w:rPr>
            </w:pPr>
            <w:proofErr w:type="spellStart"/>
            <w:r w:rsidRPr="006F526B">
              <w:rPr>
                <w:rFonts w:asciiTheme="minorHAnsi" w:hAnsiTheme="minorHAnsi" w:cstheme="minorHAnsi"/>
                <w:szCs w:val="22"/>
              </w:rPr>
              <w:t>n.p</w:t>
            </w:r>
            <w:proofErr w:type="spellEnd"/>
            <w:r w:rsidRPr="006F526B">
              <w:rPr>
                <w:rFonts w:asciiTheme="minorHAnsi" w:hAnsiTheme="minorHAnsi" w:cstheme="minorHAnsi"/>
                <w:szCs w:val="22"/>
              </w:rPr>
              <w:t>.</w:t>
            </w:r>
          </w:p>
        </w:tc>
        <w:tc>
          <w:tcPr>
            <w:tcW w:w="1091" w:type="dxa"/>
          </w:tcPr>
          <w:p w:rsidR="008E4A1C" w:rsidRPr="00F37004" w:rsidRDefault="008E4A1C" w:rsidP="00987128">
            <w:pPr>
              <w:pStyle w:val="TableFigText"/>
              <w:jc w:val="right"/>
              <w:rPr>
                <w:rFonts w:asciiTheme="minorHAnsi" w:hAnsiTheme="minorHAnsi" w:cstheme="minorHAnsi"/>
                <w:szCs w:val="22"/>
              </w:rPr>
            </w:pPr>
            <w:proofErr w:type="spellStart"/>
            <w:r w:rsidRPr="006F526B">
              <w:rPr>
                <w:rFonts w:asciiTheme="minorHAnsi" w:hAnsiTheme="minorHAnsi" w:cstheme="minorHAnsi"/>
                <w:szCs w:val="22"/>
              </w:rPr>
              <w:t>n.p</w:t>
            </w:r>
            <w:proofErr w:type="spellEnd"/>
            <w:r w:rsidRPr="006F526B">
              <w:rPr>
                <w:rFonts w:asciiTheme="minorHAnsi" w:hAnsiTheme="minorHAnsi" w:cstheme="minorHAnsi"/>
                <w:szCs w:val="22"/>
              </w:rPr>
              <w:t>.</w:t>
            </w:r>
          </w:p>
        </w:tc>
        <w:tc>
          <w:tcPr>
            <w:tcW w:w="1094" w:type="dxa"/>
          </w:tcPr>
          <w:p w:rsidR="008E4A1C" w:rsidRPr="001B1E83" w:rsidRDefault="008E4A1C" w:rsidP="00987128">
            <w:pPr>
              <w:pStyle w:val="TableFigText"/>
              <w:jc w:val="right"/>
              <w:rPr>
                <w:rFonts w:asciiTheme="minorHAnsi" w:hAnsiTheme="minorHAnsi" w:cstheme="minorHAnsi"/>
                <w:szCs w:val="22"/>
              </w:rPr>
            </w:pPr>
            <w:r w:rsidRPr="006506F6">
              <w:rPr>
                <w:rFonts w:asciiTheme="minorHAnsi" w:hAnsiTheme="minorHAnsi" w:cstheme="minorHAnsi"/>
                <w:szCs w:val="22"/>
              </w:rPr>
              <w:t>8,477</w:t>
            </w:r>
          </w:p>
        </w:tc>
      </w:tr>
      <w:tr w:rsidR="008E4A1C" w:rsidRPr="001B1E83" w:rsidTr="00987128">
        <w:tc>
          <w:tcPr>
            <w:tcW w:w="2388" w:type="dxa"/>
          </w:tcPr>
          <w:p w:rsidR="008E4A1C" w:rsidRPr="00A83097" w:rsidRDefault="008E4A1C" w:rsidP="00987128">
            <w:pPr>
              <w:pStyle w:val="TableFigText"/>
              <w:rPr>
                <w:rFonts w:asciiTheme="minorHAnsi" w:hAnsiTheme="minorHAnsi" w:cstheme="minorHAnsi"/>
                <w:b/>
                <w:szCs w:val="22"/>
              </w:rPr>
            </w:pPr>
            <w:r w:rsidRPr="00A83097">
              <w:rPr>
                <w:rFonts w:asciiTheme="minorHAnsi" w:hAnsiTheme="minorHAnsi" w:cstheme="minorHAnsi"/>
                <w:b/>
                <w:szCs w:val="22"/>
              </w:rPr>
              <w:t>All mental health service types</w:t>
            </w:r>
            <w:r w:rsidRPr="00A83097">
              <w:rPr>
                <w:rFonts w:asciiTheme="minorHAnsi" w:hAnsiTheme="minorHAnsi" w:cstheme="minorHAnsi"/>
                <w:b/>
                <w:szCs w:val="22"/>
                <w:vertAlign w:val="superscript"/>
              </w:rPr>
              <w:t>(d)</w:t>
            </w:r>
          </w:p>
        </w:tc>
        <w:tc>
          <w:tcPr>
            <w:tcW w:w="1044" w:type="dxa"/>
          </w:tcPr>
          <w:p w:rsidR="008E4A1C" w:rsidRPr="00A83097" w:rsidRDefault="008E4A1C" w:rsidP="00987128">
            <w:pPr>
              <w:pStyle w:val="TableFigText"/>
              <w:jc w:val="right"/>
              <w:rPr>
                <w:rFonts w:asciiTheme="minorHAnsi" w:hAnsiTheme="minorHAnsi" w:cstheme="minorHAnsi"/>
                <w:b/>
                <w:szCs w:val="22"/>
              </w:rPr>
            </w:pPr>
            <w:proofErr w:type="spellStart"/>
            <w:r w:rsidRPr="00A83097">
              <w:rPr>
                <w:rFonts w:asciiTheme="minorHAnsi" w:hAnsiTheme="minorHAnsi" w:cstheme="minorHAnsi"/>
                <w:b/>
                <w:szCs w:val="22"/>
              </w:rPr>
              <w:t>n.p</w:t>
            </w:r>
            <w:proofErr w:type="spellEnd"/>
            <w:r w:rsidRPr="00A83097">
              <w:rPr>
                <w:rFonts w:asciiTheme="minorHAnsi" w:hAnsiTheme="minorHAnsi" w:cstheme="minorHAnsi"/>
                <w:b/>
                <w:szCs w:val="22"/>
              </w:rPr>
              <w:t>.</w:t>
            </w:r>
          </w:p>
        </w:tc>
        <w:tc>
          <w:tcPr>
            <w:tcW w:w="1376" w:type="dxa"/>
          </w:tcPr>
          <w:p w:rsidR="008E4A1C" w:rsidRPr="00A83097" w:rsidRDefault="008E4A1C" w:rsidP="00987128">
            <w:pPr>
              <w:pStyle w:val="TableFigText"/>
              <w:jc w:val="right"/>
              <w:rPr>
                <w:rFonts w:asciiTheme="minorHAnsi" w:hAnsiTheme="minorHAnsi" w:cstheme="minorHAnsi"/>
                <w:b/>
                <w:szCs w:val="22"/>
              </w:rPr>
            </w:pPr>
            <w:proofErr w:type="spellStart"/>
            <w:r w:rsidRPr="00A83097">
              <w:rPr>
                <w:rFonts w:asciiTheme="minorHAnsi" w:hAnsiTheme="minorHAnsi" w:cstheme="minorHAnsi"/>
                <w:b/>
                <w:szCs w:val="22"/>
              </w:rPr>
              <w:t>n.p</w:t>
            </w:r>
            <w:proofErr w:type="spellEnd"/>
            <w:r w:rsidRPr="00A83097">
              <w:rPr>
                <w:rFonts w:asciiTheme="minorHAnsi" w:hAnsiTheme="minorHAnsi" w:cstheme="minorHAnsi"/>
                <w:b/>
                <w:szCs w:val="22"/>
              </w:rPr>
              <w:t>.</w:t>
            </w:r>
          </w:p>
        </w:tc>
        <w:tc>
          <w:tcPr>
            <w:tcW w:w="1248" w:type="dxa"/>
          </w:tcPr>
          <w:p w:rsidR="008E4A1C" w:rsidRPr="00A83097" w:rsidRDefault="008E4A1C" w:rsidP="00987128">
            <w:pPr>
              <w:pStyle w:val="TableFigText"/>
              <w:jc w:val="right"/>
              <w:rPr>
                <w:rFonts w:asciiTheme="minorHAnsi" w:hAnsiTheme="minorHAnsi" w:cstheme="minorHAnsi"/>
                <w:b/>
                <w:szCs w:val="22"/>
              </w:rPr>
            </w:pPr>
            <w:proofErr w:type="spellStart"/>
            <w:r w:rsidRPr="00A83097">
              <w:rPr>
                <w:rFonts w:asciiTheme="minorHAnsi" w:hAnsiTheme="minorHAnsi" w:cstheme="minorHAnsi"/>
                <w:b/>
                <w:szCs w:val="22"/>
              </w:rPr>
              <w:t>n.p</w:t>
            </w:r>
            <w:proofErr w:type="spellEnd"/>
            <w:r w:rsidRPr="00A83097">
              <w:rPr>
                <w:rFonts w:asciiTheme="minorHAnsi" w:hAnsiTheme="minorHAnsi" w:cstheme="minorHAnsi"/>
                <w:b/>
                <w:szCs w:val="22"/>
              </w:rPr>
              <w:t>.</w:t>
            </w:r>
          </w:p>
        </w:tc>
        <w:tc>
          <w:tcPr>
            <w:tcW w:w="1045" w:type="dxa"/>
          </w:tcPr>
          <w:p w:rsidR="008E4A1C" w:rsidRPr="00A83097" w:rsidRDefault="008E4A1C" w:rsidP="00987128">
            <w:pPr>
              <w:pStyle w:val="TableFigText"/>
              <w:jc w:val="right"/>
              <w:rPr>
                <w:rFonts w:asciiTheme="minorHAnsi" w:hAnsiTheme="minorHAnsi" w:cstheme="minorHAnsi"/>
                <w:b/>
                <w:szCs w:val="22"/>
              </w:rPr>
            </w:pPr>
            <w:proofErr w:type="spellStart"/>
            <w:r w:rsidRPr="00A83097">
              <w:rPr>
                <w:rFonts w:asciiTheme="minorHAnsi" w:hAnsiTheme="minorHAnsi" w:cstheme="minorHAnsi"/>
                <w:b/>
                <w:szCs w:val="22"/>
              </w:rPr>
              <w:t>n.p</w:t>
            </w:r>
            <w:proofErr w:type="spellEnd"/>
            <w:r w:rsidRPr="00A83097">
              <w:rPr>
                <w:rFonts w:asciiTheme="minorHAnsi" w:hAnsiTheme="minorHAnsi" w:cstheme="minorHAnsi"/>
                <w:b/>
                <w:szCs w:val="22"/>
              </w:rPr>
              <w:t>.</w:t>
            </w:r>
          </w:p>
        </w:tc>
        <w:tc>
          <w:tcPr>
            <w:tcW w:w="1091" w:type="dxa"/>
          </w:tcPr>
          <w:p w:rsidR="008E4A1C" w:rsidRPr="00A83097" w:rsidRDefault="008E4A1C" w:rsidP="00987128">
            <w:pPr>
              <w:pStyle w:val="TableFigText"/>
              <w:jc w:val="right"/>
              <w:rPr>
                <w:rFonts w:asciiTheme="minorHAnsi" w:hAnsiTheme="minorHAnsi" w:cstheme="minorHAnsi"/>
                <w:b/>
                <w:szCs w:val="22"/>
              </w:rPr>
            </w:pPr>
            <w:proofErr w:type="spellStart"/>
            <w:r w:rsidRPr="00A83097">
              <w:rPr>
                <w:rFonts w:asciiTheme="minorHAnsi" w:hAnsiTheme="minorHAnsi" w:cstheme="minorHAnsi"/>
                <w:b/>
                <w:szCs w:val="22"/>
              </w:rPr>
              <w:t>n.p</w:t>
            </w:r>
            <w:proofErr w:type="spellEnd"/>
            <w:r w:rsidRPr="00A83097">
              <w:rPr>
                <w:rFonts w:asciiTheme="minorHAnsi" w:hAnsiTheme="minorHAnsi" w:cstheme="minorHAnsi"/>
                <w:b/>
                <w:szCs w:val="22"/>
              </w:rPr>
              <w:t>.</w:t>
            </w:r>
          </w:p>
        </w:tc>
        <w:tc>
          <w:tcPr>
            <w:tcW w:w="1094" w:type="dxa"/>
          </w:tcPr>
          <w:p w:rsidR="008E4A1C" w:rsidRPr="00A83097" w:rsidRDefault="008E4A1C" w:rsidP="00987128">
            <w:pPr>
              <w:pStyle w:val="TableFigText"/>
              <w:jc w:val="right"/>
              <w:rPr>
                <w:rFonts w:asciiTheme="minorHAnsi" w:hAnsiTheme="minorHAnsi" w:cstheme="minorHAnsi"/>
                <w:b/>
                <w:szCs w:val="22"/>
              </w:rPr>
            </w:pPr>
            <w:r w:rsidRPr="00A83097">
              <w:rPr>
                <w:rFonts w:asciiTheme="minorHAnsi" w:hAnsiTheme="minorHAnsi" w:cstheme="minorHAnsi"/>
                <w:b/>
                <w:szCs w:val="22"/>
              </w:rPr>
              <w:t>67,911</w:t>
            </w:r>
          </w:p>
        </w:tc>
      </w:tr>
    </w:tbl>
    <w:p w:rsidR="008E4A1C" w:rsidRPr="009474EF" w:rsidRDefault="008E4A1C" w:rsidP="008E4A1C">
      <w:pPr>
        <w:pStyle w:val="TableFigNotesnumbered"/>
        <w:rPr>
          <w:rStyle w:val="table-note"/>
        </w:rPr>
      </w:pPr>
      <w:proofErr w:type="spellStart"/>
      <w:proofErr w:type="gramStart"/>
      <w:r w:rsidRPr="009474EF">
        <w:rPr>
          <w:rStyle w:val="table-note"/>
        </w:rPr>
        <w:t>n.p</w:t>
      </w:r>
      <w:proofErr w:type="spellEnd"/>
      <w:r w:rsidRPr="009474EF">
        <w:rPr>
          <w:rStyle w:val="table-note"/>
        </w:rPr>
        <w:t>.</w:t>
      </w:r>
      <w:proofErr w:type="gramEnd"/>
      <w:r w:rsidRPr="009474EF">
        <w:rPr>
          <w:rStyle w:val="table-note"/>
        </w:rPr>
        <w:t xml:space="preserve"> Not published.</w:t>
      </w:r>
    </w:p>
    <w:p w:rsidR="008E4A1C" w:rsidRPr="009474EF" w:rsidRDefault="008E4A1C" w:rsidP="00540186">
      <w:pPr>
        <w:pStyle w:val="TableFigNotesnumbered"/>
        <w:numPr>
          <w:ilvl w:val="0"/>
          <w:numId w:val="50"/>
        </w:numPr>
        <w:rPr>
          <w:rStyle w:val="table-note"/>
        </w:rPr>
      </w:pPr>
      <w:r w:rsidRPr="009474EF">
        <w:rPr>
          <w:rStyle w:val="table-note"/>
        </w:rPr>
        <w:t>Expenditure excludes depreciation.</w:t>
      </w:r>
    </w:p>
    <w:p w:rsidR="008E4A1C" w:rsidRPr="009474EF" w:rsidRDefault="008E4A1C" w:rsidP="00540186">
      <w:pPr>
        <w:pStyle w:val="TableFigNotesnumbered"/>
        <w:numPr>
          <w:ilvl w:val="0"/>
          <w:numId w:val="50"/>
        </w:numPr>
        <w:rPr>
          <w:rStyle w:val="table-note"/>
        </w:rPr>
      </w:pPr>
      <w:r w:rsidRPr="009474EF">
        <w:rPr>
          <w:rStyle w:val="table-note"/>
        </w:rPr>
        <w:t xml:space="preserve">Expenditure excludes grants to non-government organisations and indirect expenditure at the state/territory, region and organisation levels not apportioned to service units. </w:t>
      </w:r>
    </w:p>
    <w:p w:rsidR="008E4A1C" w:rsidRPr="009474EF" w:rsidRDefault="008E4A1C" w:rsidP="00540186">
      <w:pPr>
        <w:pStyle w:val="TableFigNotesnumbered"/>
        <w:numPr>
          <w:ilvl w:val="0"/>
          <w:numId w:val="50"/>
        </w:numPr>
        <w:rPr>
          <w:rStyle w:val="table-note"/>
        </w:rPr>
      </w:pPr>
      <w:r w:rsidRPr="009474EF">
        <w:rPr>
          <w:rStyle w:val="table-note"/>
        </w:rPr>
        <w:t>Constant prices are referenced to 2011–12 and are adjusted for inflation.</w:t>
      </w:r>
    </w:p>
    <w:p w:rsidR="008E4A1C" w:rsidRPr="009474EF" w:rsidRDefault="008E4A1C" w:rsidP="00540186">
      <w:pPr>
        <w:pStyle w:val="TableFigNotesnumbered"/>
        <w:numPr>
          <w:ilvl w:val="0"/>
          <w:numId w:val="50"/>
        </w:numPr>
        <w:rPr>
          <w:rStyle w:val="table-note"/>
        </w:rPr>
      </w:pPr>
      <w:r w:rsidRPr="009474EF">
        <w:rPr>
          <w:rStyle w:val="table-note"/>
        </w:rPr>
        <w:t>Totals may not add due to rounding to the nearest $'000.</w:t>
      </w:r>
    </w:p>
    <w:p w:rsidR="008E4A1C" w:rsidRPr="009474EF" w:rsidRDefault="008E4A1C" w:rsidP="00540186">
      <w:pPr>
        <w:pStyle w:val="TableFigNotesnumbered"/>
        <w:numPr>
          <w:ilvl w:val="0"/>
          <w:numId w:val="50"/>
        </w:numPr>
        <w:rPr>
          <w:rStyle w:val="table-note"/>
        </w:rPr>
      </w:pPr>
      <w:r w:rsidRPr="009474EF">
        <w:rPr>
          <w:rStyle w:val="table-note"/>
        </w:rPr>
        <w:t>Includes public hospital services managed and operated by private and non-government entities.</w:t>
      </w:r>
    </w:p>
    <w:p w:rsidR="008E4A1C" w:rsidRPr="009474EF" w:rsidRDefault="008E4A1C" w:rsidP="00540186">
      <w:pPr>
        <w:pStyle w:val="TableFigNotesnumbered"/>
        <w:numPr>
          <w:ilvl w:val="0"/>
          <w:numId w:val="50"/>
        </w:numPr>
        <w:rPr>
          <w:rStyle w:val="table-note"/>
        </w:rPr>
      </w:pPr>
      <w:r w:rsidRPr="009474EF">
        <w:rPr>
          <w:rStyle w:val="table-note"/>
        </w:rPr>
        <w:t>Public psychiatric hospitals and specialised psychiatric units or wards in public acute hospitals include expenditure on admitted patient services only. Public hospitals outpatient departments are included in community mental health care services.</w:t>
      </w:r>
      <w:r w:rsidRPr="009474EF">
        <w:rPr>
          <w:rStyle w:val="table-note"/>
        </w:rPr>
        <w:tab/>
      </w:r>
      <w:r w:rsidRPr="009474EF">
        <w:rPr>
          <w:rStyle w:val="table-note"/>
        </w:rPr>
        <w:tab/>
      </w:r>
    </w:p>
    <w:p w:rsidR="008E4A1C" w:rsidRPr="009474EF" w:rsidRDefault="008E4A1C" w:rsidP="00540186">
      <w:pPr>
        <w:pStyle w:val="TableFigNotesnumbered"/>
        <w:numPr>
          <w:ilvl w:val="0"/>
          <w:numId w:val="50"/>
        </w:numPr>
        <w:rPr>
          <w:rStyle w:val="table-note"/>
        </w:rPr>
      </w:pPr>
      <w:r w:rsidRPr="009474EF">
        <w:rPr>
          <w:rStyle w:val="table-note"/>
        </w:rPr>
        <w:t>Residential mental health services include the total operating costs for partially or wholly government funded non-government-operated residential mental health services.</w:t>
      </w:r>
    </w:p>
    <w:p w:rsidR="008E4A1C" w:rsidRPr="009474EF" w:rsidRDefault="008E4A1C" w:rsidP="008E4A1C">
      <w:pPr>
        <w:pStyle w:val="TableFigNotesnumbered"/>
        <w:ind w:left="0" w:firstLine="0"/>
        <w:rPr>
          <w:rStyle w:val="table-note"/>
        </w:rPr>
      </w:pPr>
      <w:r w:rsidRPr="009474EF">
        <w:rPr>
          <w:rStyle w:val="table-note"/>
        </w:rPr>
        <w:t>Source: National Mental Health Establishments Database.</w:t>
      </w:r>
    </w:p>
    <w:p w:rsidR="008E4A1C" w:rsidRDefault="008E4A1C" w:rsidP="008E4A1C">
      <w:pPr>
        <w:pStyle w:val="TableCaption"/>
        <w:spacing w:line="240" w:lineRule="auto"/>
        <w:rPr>
          <w:rFonts w:asciiTheme="minorHAnsi" w:hAnsiTheme="minorHAnsi" w:cstheme="minorHAnsi"/>
        </w:rPr>
      </w:pPr>
    </w:p>
    <w:p w:rsidR="008E4A1C" w:rsidRPr="008A3F74" w:rsidRDefault="008A3F74" w:rsidP="008E4A1C">
      <w:pPr>
        <w:pStyle w:val="TableCaption"/>
        <w:spacing w:line="240" w:lineRule="auto"/>
        <w:rPr>
          <w:rStyle w:val="table-note"/>
        </w:rPr>
      </w:pPr>
      <w:r w:rsidRPr="008A3F74">
        <w:rPr>
          <w:rStyle w:val="table-note"/>
        </w:rPr>
        <w:t xml:space="preserve">Table 73: </w:t>
      </w:r>
      <w:r w:rsidR="008E4A1C" w:rsidRPr="008A3F74">
        <w:rPr>
          <w:rStyle w:val="table-note"/>
        </w:rPr>
        <w:t xml:space="preserve">ACT: Recurrent </w:t>
      </w:r>
      <w:proofErr w:type="gramStart"/>
      <w:r w:rsidR="008E4A1C" w:rsidRPr="008A3F74">
        <w:rPr>
          <w:rStyle w:val="table-note"/>
        </w:rPr>
        <w:t>expenditure</w:t>
      </w:r>
      <w:r w:rsidR="008E4A1C" w:rsidRPr="008A3F74">
        <w:rPr>
          <w:rStyle w:val="table-note"/>
          <w:vertAlign w:val="superscript"/>
        </w:rPr>
        <w:t>(</w:t>
      </w:r>
      <w:proofErr w:type="gramEnd"/>
      <w:r w:rsidR="008E4A1C" w:rsidRPr="008A3F74">
        <w:rPr>
          <w:rStyle w:val="table-note"/>
          <w:vertAlign w:val="superscript"/>
        </w:rPr>
        <w:t>a)(b)</w:t>
      </w:r>
      <w:r w:rsidR="008E4A1C" w:rsidRPr="008A3F74">
        <w:rPr>
          <w:rStyle w:val="table-note"/>
        </w:rPr>
        <w:t xml:space="preserve"> ($) per capita</w:t>
      </w:r>
      <w:r w:rsidR="008E4A1C" w:rsidRPr="008A3F74">
        <w:rPr>
          <w:rStyle w:val="table-note"/>
          <w:vertAlign w:val="superscript"/>
        </w:rPr>
        <w:t>(c)</w:t>
      </w:r>
      <w:r w:rsidR="008E4A1C" w:rsidRPr="008A3F74">
        <w:rPr>
          <w:rStyle w:val="table-note"/>
        </w:rPr>
        <w:t xml:space="preserve"> on state and territory specialised mental health services, by service type, 2007–08 (constant prices)</w:t>
      </w:r>
      <w:r w:rsidR="008E4A1C" w:rsidRPr="008A3F74">
        <w:rPr>
          <w:rStyle w:val="table-note"/>
          <w:vertAlign w:val="superscript"/>
        </w:rPr>
        <w:t>(d)</w:t>
      </w:r>
    </w:p>
    <w:tbl>
      <w:tblPr>
        <w:tblStyle w:val="TableGrid"/>
        <w:tblW w:w="0" w:type="auto"/>
        <w:tblLook w:val="04A0" w:firstRow="1" w:lastRow="0" w:firstColumn="1" w:lastColumn="0" w:noHBand="0" w:noVBand="1"/>
        <w:tblCaption w:val="ACT: Recurrent expenditure(a)(b) ($) per capita(c) on state and territory specialised mental health services, by service type, 2007–08 (constant prices)(d)"/>
        <w:tblDescription w:val="Table showing that, in 2007-2008, in the ACT community mental health services had the highest recurrent expenditure per capita at $90.04, followed by public hospital services $51.69 and residential mental health services $24.63."/>
      </w:tblPr>
      <w:tblGrid>
        <w:gridCol w:w="2388"/>
        <w:gridCol w:w="1044"/>
        <w:gridCol w:w="1376"/>
        <w:gridCol w:w="1248"/>
        <w:gridCol w:w="1045"/>
        <w:gridCol w:w="1091"/>
        <w:gridCol w:w="1094"/>
      </w:tblGrid>
      <w:tr w:rsidR="008E4A1C" w:rsidRPr="001B1E83" w:rsidTr="000C3DEA">
        <w:trPr>
          <w:tblHeader/>
        </w:trPr>
        <w:tc>
          <w:tcPr>
            <w:tcW w:w="2388" w:type="dxa"/>
          </w:tcPr>
          <w:p w:rsidR="008E4A1C" w:rsidRPr="00E719A3" w:rsidRDefault="008E4A1C" w:rsidP="00987128">
            <w:pPr>
              <w:pStyle w:val="TableFigText"/>
              <w:rPr>
                <w:rFonts w:asciiTheme="minorHAnsi" w:hAnsiTheme="minorHAnsi" w:cstheme="minorHAnsi"/>
                <w:szCs w:val="22"/>
              </w:rPr>
            </w:pPr>
          </w:p>
        </w:tc>
        <w:tc>
          <w:tcPr>
            <w:tcW w:w="1044" w:type="dxa"/>
          </w:tcPr>
          <w:p w:rsidR="008E4A1C" w:rsidRPr="00E719A3" w:rsidRDefault="008E4A1C" w:rsidP="00987128">
            <w:pPr>
              <w:pStyle w:val="TableFigText"/>
              <w:jc w:val="right"/>
              <w:rPr>
                <w:rFonts w:asciiTheme="minorHAnsi" w:hAnsiTheme="minorHAnsi" w:cstheme="minorHAnsi"/>
                <w:b/>
                <w:szCs w:val="22"/>
              </w:rPr>
            </w:pPr>
            <w:r w:rsidRPr="00E719A3">
              <w:rPr>
                <w:rFonts w:asciiTheme="minorHAnsi" w:hAnsiTheme="minorHAnsi" w:cstheme="minorHAnsi"/>
                <w:b/>
                <w:szCs w:val="22"/>
              </w:rPr>
              <w:t>Major cities</w:t>
            </w:r>
          </w:p>
        </w:tc>
        <w:tc>
          <w:tcPr>
            <w:tcW w:w="1376" w:type="dxa"/>
          </w:tcPr>
          <w:p w:rsidR="008E4A1C" w:rsidRPr="00E719A3" w:rsidRDefault="008E4A1C" w:rsidP="00987128">
            <w:pPr>
              <w:pStyle w:val="TableFigText"/>
              <w:jc w:val="right"/>
              <w:rPr>
                <w:rFonts w:asciiTheme="minorHAnsi" w:hAnsiTheme="minorHAnsi" w:cstheme="minorHAnsi"/>
                <w:b/>
                <w:szCs w:val="22"/>
              </w:rPr>
            </w:pPr>
            <w:r w:rsidRPr="00E719A3">
              <w:rPr>
                <w:rFonts w:asciiTheme="minorHAnsi" w:hAnsiTheme="minorHAnsi" w:cstheme="minorHAnsi"/>
                <w:b/>
                <w:szCs w:val="22"/>
              </w:rPr>
              <w:t>Inner regional</w:t>
            </w:r>
          </w:p>
        </w:tc>
        <w:tc>
          <w:tcPr>
            <w:tcW w:w="1248" w:type="dxa"/>
          </w:tcPr>
          <w:p w:rsidR="008E4A1C" w:rsidRPr="00E719A3" w:rsidRDefault="008E4A1C" w:rsidP="00987128">
            <w:pPr>
              <w:pStyle w:val="TableFigText"/>
              <w:jc w:val="right"/>
              <w:rPr>
                <w:rFonts w:asciiTheme="minorHAnsi" w:hAnsiTheme="minorHAnsi" w:cstheme="minorHAnsi"/>
                <w:b/>
                <w:szCs w:val="22"/>
              </w:rPr>
            </w:pPr>
            <w:r w:rsidRPr="00E719A3">
              <w:rPr>
                <w:rFonts w:asciiTheme="minorHAnsi" w:hAnsiTheme="minorHAnsi" w:cstheme="minorHAnsi"/>
                <w:b/>
                <w:szCs w:val="22"/>
              </w:rPr>
              <w:t>Outer regional</w:t>
            </w:r>
          </w:p>
        </w:tc>
        <w:tc>
          <w:tcPr>
            <w:tcW w:w="1045" w:type="dxa"/>
          </w:tcPr>
          <w:p w:rsidR="008E4A1C" w:rsidRPr="00E719A3" w:rsidRDefault="008E4A1C" w:rsidP="00987128">
            <w:pPr>
              <w:pStyle w:val="TableFigText"/>
              <w:jc w:val="right"/>
              <w:rPr>
                <w:rFonts w:asciiTheme="minorHAnsi" w:hAnsiTheme="minorHAnsi" w:cstheme="minorHAnsi"/>
                <w:b/>
                <w:szCs w:val="22"/>
              </w:rPr>
            </w:pPr>
            <w:r w:rsidRPr="00E719A3">
              <w:rPr>
                <w:rFonts w:asciiTheme="minorHAnsi" w:hAnsiTheme="minorHAnsi" w:cstheme="minorHAnsi"/>
                <w:b/>
                <w:szCs w:val="22"/>
              </w:rPr>
              <w:t>Remote</w:t>
            </w:r>
          </w:p>
        </w:tc>
        <w:tc>
          <w:tcPr>
            <w:tcW w:w="1091" w:type="dxa"/>
          </w:tcPr>
          <w:p w:rsidR="008E4A1C" w:rsidRPr="00E719A3" w:rsidRDefault="008E4A1C" w:rsidP="00987128">
            <w:pPr>
              <w:pStyle w:val="TableFigText"/>
              <w:jc w:val="right"/>
              <w:rPr>
                <w:rFonts w:asciiTheme="minorHAnsi" w:hAnsiTheme="minorHAnsi" w:cstheme="minorHAnsi"/>
                <w:b/>
                <w:szCs w:val="22"/>
              </w:rPr>
            </w:pPr>
            <w:r w:rsidRPr="00E719A3">
              <w:rPr>
                <w:rFonts w:asciiTheme="minorHAnsi" w:hAnsiTheme="minorHAnsi" w:cstheme="minorHAnsi"/>
                <w:b/>
                <w:szCs w:val="22"/>
              </w:rPr>
              <w:t>Very remote</w:t>
            </w:r>
          </w:p>
        </w:tc>
        <w:tc>
          <w:tcPr>
            <w:tcW w:w="1094" w:type="dxa"/>
          </w:tcPr>
          <w:p w:rsidR="008E4A1C" w:rsidRPr="00E719A3" w:rsidRDefault="008E4A1C" w:rsidP="00987128">
            <w:pPr>
              <w:pStyle w:val="TableFigText"/>
              <w:jc w:val="right"/>
              <w:rPr>
                <w:rFonts w:asciiTheme="minorHAnsi" w:hAnsiTheme="minorHAnsi" w:cstheme="minorHAnsi"/>
                <w:b/>
                <w:szCs w:val="22"/>
              </w:rPr>
            </w:pPr>
            <w:r w:rsidRPr="00E719A3">
              <w:rPr>
                <w:rFonts w:asciiTheme="minorHAnsi" w:hAnsiTheme="minorHAnsi" w:cstheme="minorHAnsi"/>
                <w:b/>
                <w:szCs w:val="22"/>
              </w:rPr>
              <w:t>Total</w:t>
            </w:r>
          </w:p>
        </w:tc>
      </w:tr>
      <w:tr w:rsidR="008E4A1C" w:rsidRPr="001B1E83" w:rsidTr="00987128">
        <w:tc>
          <w:tcPr>
            <w:tcW w:w="2388" w:type="dxa"/>
          </w:tcPr>
          <w:p w:rsidR="008E4A1C" w:rsidRPr="00E719A3" w:rsidRDefault="008E4A1C" w:rsidP="00987128">
            <w:pPr>
              <w:pStyle w:val="TableFigText"/>
              <w:rPr>
                <w:rFonts w:asciiTheme="minorHAnsi" w:hAnsiTheme="minorHAnsi" w:cstheme="minorHAnsi"/>
                <w:szCs w:val="22"/>
              </w:rPr>
            </w:pPr>
            <w:r w:rsidRPr="00E719A3">
              <w:rPr>
                <w:rFonts w:asciiTheme="minorHAnsi" w:hAnsiTheme="minorHAnsi" w:cstheme="minorHAnsi"/>
                <w:szCs w:val="22"/>
              </w:rPr>
              <w:t>Public hospital services</w:t>
            </w:r>
            <w:r w:rsidRPr="00E719A3">
              <w:rPr>
                <w:rFonts w:asciiTheme="minorHAnsi" w:hAnsiTheme="minorHAnsi" w:cstheme="minorHAnsi"/>
                <w:szCs w:val="22"/>
                <w:vertAlign w:val="superscript"/>
              </w:rPr>
              <w:t>(e)(f)</w:t>
            </w:r>
          </w:p>
        </w:tc>
        <w:tc>
          <w:tcPr>
            <w:tcW w:w="1044" w:type="dxa"/>
          </w:tcPr>
          <w:p w:rsidR="008E4A1C" w:rsidRPr="007302FB" w:rsidRDefault="008E4A1C" w:rsidP="00987128">
            <w:pPr>
              <w:pStyle w:val="TableFigText"/>
              <w:jc w:val="right"/>
              <w:rPr>
                <w:rFonts w:asciiTheme="minorHAnsi" w:hAnsiTheme="minorHAnsi" w:cstheme="minorHAnsi"/>
                <w:szCs w:val="22"/>
              </w:rPr>
            </w:pPr>
            <w:proofErr w:type="spellStart"/>
            <w:r w:rsidRPr="006C22D0">
              <w:rPr>
                <w:rFonts w:asciiTheme="minorHAnsi" w:hAnsiTheme="minorHAnsi" w:cstheme="minorHAnsi"/>
                <w:szCs w:val="22"/>
              </w:rPr>
              <w:t>n.p</w:t>
            </w:r>
            <w:proofErr w:type="spellEnd"/>
            <w:r w:rsidRPr="006C22D0">
              <w:rPr>
                <w:rFonts w:asciiTheme="minorHAnsi" w:hAnsiTheme="minorHAnsi" w:cstheme="minorHAnsi"/>
                <w:szCs w:val="22"/>
              </w:rPr>
              <w:t>.</w:t>
            </w:r>
          </w:p>
        </w:tc>
        <w:tc>
          <w:tcPr>
            <w:tcW w:w="1376" w:type="dxa"/>
          </w:tcPr>
          <w:p w:rsidR="008E4A1C" w:rsidRPr="007302FB" w:rsidRDefault="008E4A1C" w:rsidP="00987128">
            <w:pPr>
              <w:pStyle w:val="TableFigText"/>
              <w:jc w:val="right"/>
              <w:rPr>
                <w:rFonts w:asciiTheme="minorHAnsi" w:hAnsiTheme="minorHAnsi" w:cstheme="minorHAnsi"/>
                <w:szCs w:val="22"/>
              </w:rPr>
            </w:pPr>
            <w:proofErr w:type="spellStart"/>
            <w:r w:rsidRPr="006C22D0">
              <w:rPr>
                <w:rFonts w:asciiTheme="minorHAnsi" w:hAnsiTheme="minorHAnsi" w:cstheme="minorHAnsi"/>
                <w:szCs w:val="22"/>
              </w:rPr>
              <w:t>n.p</w:t>
            </w:r>
            <w:proofErr w:type="spellEnd"/>
            <w:r w:rsidRPr="006C22D0">
              <w:rPr>
                <w:rFonts w:asciiTheme="minorHAnsi" w:hAnsiTheme="minorHAnsi" w:cstheme="minorHAnsi"/>
                <w:szCs w:val="22"/>
              </w:rPr>
              <w:t>.</w:t>
            </w:r>
          </w:p>
        </w:tc>
        <w:tc>
          <w:tcPr>
            <w:tcW w:w="1248" w:type="dxa"/>
          </w:tcPr>
          <w:p w:rsidR="008E4A1C" w:rsidRPr="007302FB" w:rsidRDefault="008E4A1C" w:rsidP="00987128">
            <w:pPr>
              <w:pStyle w:val="TableFigText"/>
              <w:jc w:val="right"/>
              <w:rPr>
                <w:rFonts w:asciiTheme="minorHAnsi" w:hAnsiTheme="minorHAnsi" w:cstheme="minorHAnsi"/>
                <w:szCs w:val="22"/>
              </w:rPr>
            </w:pPr>
            <w:proofErr w:type="spellStart"/>
            <w:r w:rsidRPr="006C22D0">
              <w:rPr>
                <w:rFonts w:asciiTheme="minorHAnsi" w:hAnsiTheme="minorHAnsi" w:cstheme="minorHAnsi"/>
                <w:szCs w:val="22"/>
              </w:rPr>
              <w:t>n.p</w:t>
            </w:r>
            <w:proofErr w:type="spellEnd"/>
            <w:r w:rsidRPr="006C22D0">
              <w:rPr>
                <w:rFonts w:asciiTheme="minorHAnsi" w:hAnsiTheme="minorHAnsi" w:cstheme="minorHAnsi"/>
                <w:szCs w:val="22"/>
              </w:rPr>
              <w:t>.</w:t>
            </w:r>
          </w:p>
        </w:tc>
        <w:tc>
          <w:tcPr>
            <w:tcW w:w="1045" w:type="dxa"/>
          </w:tcPr>
          <w:p w:rsidR="008E4A1C" w:rsidRPr="007302FB" w:rsidRDefault="008E4A1C" w:rsidP="00987128">
            <w:pPr>
              <w:pStyle w:val="TableFigText"/>
              <w:jc w:val="right"/>
              <w:rPr>
                <w:rFonts w:asciiTheme="minorHAnsi" w:hAnsiTheme="minorHAnsi" w:cstheme="minorHAnsi"/>
                <w:szCs w:val="22"/>
              </w:rPr>
            </w:pPr>
            <w:proofErr w:type="spellStart"/>
            <w:r w:rsidRPr="006C22D0">
              <w:rPr>
                <w:rFonts w:asciiTheme="minorHAnsi" w:hAnsiTheme="minorHAnsi" w:cstheme="minorHAnsi"/>
                <w:szCs w:val="22"/>
              </w:rPr>
              <w:t>n.p</w:t>
            </w:r>
            <w:proofErr w:type="spellEnd"/>
            <w:r w:rsidRPr="006C22D0">
              <w:rPr>
                <w:rFonts w:asciiTheme="minorHAnsi" w:hAnsiTheme="minorHAnsi" w:cstheme="minorHAnsi"/>
                <w:szCs w:val="22"/>
              </w:rPr>
              <w:t>.</w:t>
            </w:r>
          </w:p>
        </w:tc>
        <w:tc>
          <w:tcPr>
            <w:tcW w:w="1091" w:type="dxa"/>
          </w:tcPr>
          <w:p w:rsidR="008E4A1C" w:rsidRPr="007302FB" w:rsidRDefault="008E4A1C" w:rsidP="00987128">
            <w:pPr>
              <w:pStyle w:val="TableFigText"/>
              <w:jc w:val="right"/>
              <w:rPr>
                <w:rFonts w:asciiTheme="minorHAnsi" w:hAnsiTheme="minorHAnsi" w:cstheme="minorHAnsi"/>
                <w:szCs w:val="22"/>
              </w:rPr>
            </w:pPr>
            <w:proofErr w:type="spellStart"/>
            <w:r w:rsidRPr="006C22D0">
              <w:rPr>
                <w:rFonts w:asciiTheme="minorHAnsi" w:hAnsiTheme="minorHAnsi" w:cstheme="minorHAnsi"/>
                <w:szCs w:val="22"/>
              </w:rPr>
              <w:t>n.p</w:t>
            </w:r>
            <w:proofErr w:type="spellEnd"/>
            <w:r w:rsidRPr="006C22D0">
              <w:rPr>
                <w:rFonts w:asciiTheme="minorHAnsi" w:hAnsiTheme="minorHAnsi" w:cstheme="minorHAnsi"/>
                <w:szCs w:val="22"/>
              </w:rPr>
              <w:t>.</w:t>
            </w:r>
          </w:p>
        </w:tc>
        <w:tc>
          <w:tcPr>
            <w:tcW w:w="1094" w:type="dxa"/>
          </w:tcPr>
          <w:p w:rsidR="008E4A1C" w:rsidRPr="00A8582C" w:rsidRDefault="008E4A1C" w:rsidP="00987128">
            <w:pPr>
              <w:pStyle w:val="TableFigText"/>
              <w:jc w:val="right"/>
              <w:rPr>
                <w:rFonts w:asciiTheme="minorHAnsi" w:hAnsiTheme="minorHAnsi" w:cstheme="minorHAnsi"/>
                <w:szCs w:val="22"/>
              </w:rPr>
            </w:pPr>
            <w:r w:rsidRPr="00A8582C">
              <w:rPr>
                <w:rFonts w:asciiTheme="minorHAnsi" w:hAnsiTheme="minorHAnsi" w:cstheme="minorHAnsi"/>
                <w:szCs w:val="22"/>
              </w:rPr>
              <w:t>51.69</w:t>
            </w:r>
          </w:p>
        </w:tc>
      </w:tr>
      <w:tr w:rsidR="008E4A1C" w:rsidRPr="001B1E83" w:rsidTr="00987128">
        <w:tc>
          <w:tcPr>
            <w:tcW w:w="2388" w:type="dxa"/>
          </w:tcPr>
          <w:p w:rsidR="008E4A1C" w:rsidRPr="00E719A3" w:rsidRDefault="008E4A1C" w:rsidP="00987128">
            <w:pPr>
              <w:pStyle w:val="TableFigText"/>
              <w:rPr>
                <w:rFonts w:asciiTheme="minorHAnsi" w:hAnsiTheme="minorHAnsi" w:cstheme="minorHAnsi"/>
                <w:szCs w:val="22"/>
              </w:rPr>
            </w:pPr>
            <w:r w:rsidRPr="00E719A3">
              <w:rPr>
                <w:rFonts w:asciiTheme="minorHAnsi" w:hAnsiTheme="minorHAnsi" w:cstheme="minorHAnsi"/>
                <w:szCs w:val="22"/>
              </w:rPr>
              <w:t>Community mental health services</w:t>
            </w:r>
          </w:p>
        </w:tc>
        <w:tc>
          <w:tcPr>
            <w:tcW w:w="1044" w:type="dxa"/>
          </w:tcPr>
          <w:p w:rsidR="008E4A1C" w:rsidRPr="007302FB" w:rsidRDefault="008E4A1C" w:rsidP="00987128">
            <w:pPr>
              <w:pStyle w:val="TableFigText"/>
              <w:jc w:val="right"/>
              <w:rPr>
                <w:rFonts w:asciiTheme="minorHAnsi" w:hAnsiTheme="minorHAnsi" w:cstheme="minorHAnsi"/>
                <w:szCs w:val="22"/>
              </w:rPr>
            </w:pPr>
            <w:proofErr w:type="spellStart"/>
            <w:r w:rsidRPr="006C22D0">
              <w:rPr>
                <w:rFonts w:asciiTheme="minorHAnsi" w:hAnsiTheme="minorHAnsi" w:cstheme="minorHAnsi"/>
                <w:szCs w:val="22"/>
              </w:rPr>
              <w:t>n.p</w:t>
            </w:r>
            <w:proofErr w:type="spellEnd"/>
            <w:r w:rsidRPr="006C22D0">
              <w:rPr>
                <w:rFonts w:asciiTheme="minorHAnsi" w:hAnsiTheme="minorHAnsi" w:cstheme="minorHAnsi"/>
                <w:szCs w:val="22"/>
              </w:rPr>
              <w:t>.</w:t>
            </w:r>
          </w:p>
        </w:tc>
        <w:tc>
          <w:tcPr>
            <w:tcW w:w="1376" w:type="dxa"/>
          </w:tcPr>
          <w:p w:rsidR="008E4A1C" w:rsidRPr="007302FB" w:rsidRDefault="008E4A1C" w:rsidP="00987128">
            <w:pPr>
              <w:pStyle w:val="TableFigText"/>
              <w:jc w:val="right"/>
              <w:rPr>
                <w:rFonts w:asciiTheme="minorHAnsi" w:hAnsiTheme="minorHAnsi" w:cstheme="minorHAnsi"/>
                <w:szCs w:val="22"/>
              </w:rPr>
            </w:pPr>
            <w:proofErr w:type="spellStart"/>
            <w:r w:rsidRPr="006C22D0">
              <w:rPr>
                <w:rFonts w:asciiTheme="minorHAnsi" w:hAnsiTheme="minorHAnsi" w:cstheme="minorHAnsi"/>
                <w:szCs w:val="22"/>
              </w:rPr>
              <w:t>n.p</w:t>
            </w:r>
            <w:proofErr w:type="spellEnd"/>
            <w:r w:rsidRPr="006C22D0">
              <w:rPr>
                <w:rFonts w:asciiTheme="minorHAnsi" w:hAnsiTheme="minorHAnsi" w:cstheme="minorHAnsi"/>
                <w:szCs w:val="22"/>
              </w:rPr>
              <w:t>.</w:t>
            </w:r>
          </w:p>
        </w:tc>
        <w:tc>
          <w:tcPr>
            <w:tcW w:w="1248" w:type="dxa"/>
          </w:tcPr>
          <w:p w:rsidR="008E4A1C" w:rsidRPr="007302FB" w:rsidRDefault="008E4A1C" w:rsidP="00987128">
            <w:pPr>
              <w:pStyle w:val="TableFigText"/>
              <w:jc w:val="right"/>
              <w:rPr>
                <w:rFonts w:asciiTheme="minorHAnsi" w:hAnsiTheme="minorHAnsi" w:cstheme="minorHAnsi"/>
                <w:szCs w:val="22"/>
              </w:rPr>
            </w:pPr>
            <w:proofErr w:type="spellStart"/>
            <w:r w:rsidRPr="006C22D0">
              <w:rPr>
                <w:rFonts w:asciiTheme="minorHAnsi" w:hAnsiTheme="minorHAnsi" w:cstheme="minorHAnsi"/>
                <w:szCs w:val="22"/>
              </w:rPr>
              <w:t>n.p</w:t>
            </w:r>
            <w:proofErr w:type="spellEnd"/>
            <w:r w:rsidRPr="006C22D0">
              <w:rPr>
                <w:rFonts w:asciiTheme="minorHAnsi" w:hAnsiTheme="minorHAnsi" w:cstheme="minorHAnsi"/>
                <w:szCs w:val="22"/>
              </w:rPr>
              <w:t>.</w:t>
            </w:r>
          </w:p>
        </w:tc>
        <w:tc>
          <w:tcPr>
            <w:tcW w:w="1045" w:type="dxa"/>
          </w:tcPr>
          <w:p w:rsidR="008E4A1C" w:rsidRPr="007302FB" w:rsidRDefault="008E4A1C" w:rsidP="00987128">
            <w:pPr>
              <w:pStyle w:val="TableFigText"/>
              <w:jc w:val="right"/>
              <w:rPr>
                <w:rFonts w:asciiTheme="minorHAnsi" w:hAnsiTheme="minorHAnsi" w:cstheme="minorHAnsi"/>
                <w:szCs w:val="22"/>
              </w:rPr>
            </w:pPr>
            <w:proofErr w:type="spellStart"/>
            <w:r w:rsidRPr="006C22D0">
              <w:rPr>
                <w:rFonts w:asciiTheme="minorHAnsi" w:hAnsiTheme="minorHAnsi" w:cstheme="minorHAnsi"/>
                <w:szCs w:val="22"/>
              </w:rPr>
              <w:t>n.p</w:t>
            </w:r>
            <w:proofErr w:type="spellEnd"/>
            <w:r w:rsidRPr="006C22D0">
              <w:rPr>
                <w:rFonts w:asciiTheme="minorHAnsi" w:hAnsiTheme="minorHAnsi" w:cstheme="minorHAnsi"/>
                <w:szCs w:val="22"/>
              </w:rPr>
              <w:t>.</w:t>
            </w:r>
          </w:p>
        </w:tc>
        <w:tc>
          <w:tcPr>
            <w:tcW w:w="1091" w:type="dxa"/>
          </w:tcPr>
          <w:p w:rsidR="008E4A1C" w:rsidRPr="007302FB" w:rsidRDefault="008E4A1C" w:rsidP="00987128">
            <w:pPr>
              <w:pStyle w:val="TableFigText"/>
              <w:jc w:val="right"/>
              <w:rPr>
                <w:rFonts w:asciiTheme="minorHAnsi" w:hAnsiTheme="minorHAnsi" w:cstheme="minorHAnsi"/>
                <w:szCs w:val="22"/>
              </w:rPr>
            </w:pPr>
            <w:proofErr w:type="spellStart"/>
            <w:r w:rsidRPr="006C22D0">
              <w:rPr>
                <w:rFonts w:asciiTheme="minorHAnsi" w:hAnsiTheme="minorHAnsi" w:cstheme="minorHAnsi"/>
                <w:szCs w:val="22"/>
              </w:rPr>
              <w:t>n.p</w:t>
            </w:r>
            <w:proofErr w:type="spellEnd"/>
            <w:r w:rsidRPr="006C22D0">
              <w:rPr>
                <w:rFonts w:asciiTheme="minorHAnsi" w:hAnsiTheme="minorHAnsi" w:cstheme="minorHAnsi"/>
                <w:szCs w:val="22"/>
              </w:rPr>
              <w:t>.</w:t>
            </w:r>
          </w:p>
        </w:tc>
        <w:tc>
          <w:tcPr>
            <w:tcW w:w="1094" w:type="dxa"/>
          </w:tcPr>
          <w:p w:rsidR="008E4A1C" w:rsidRPr="00A8582C" w:rsidRDefault="008E4A1C" w:rsidP="00987128">
            <w:pPr>
              <w:pStyle w:val="TableFigText"/>
              <w:jc w:val="right"/>
              <w:rPr>
                <w:rFonts w:asciiTheme="minorHAnsi" w:hAnsiTheme="minorHAnsi" w:cstheme="minorHAnsi"/>
                <w:szCs w:val="22"/>
              </w:rPr>
            </w:pPr>
            <w:r w:rsidRPr="00A8582C">
              <w:rPr>
                <w:rFonts w:asciiTheme="minorHAnsi" w:hAnsiTheme="minorHAnsi" w:cstheme="minorHAnsi"/>
                <w:szCs w:val="22"/>
              </w:rPr>
              <w:t>90.04</w:t>
            </w:r>
          </w:p>
        </w:tc>
      </w:tr>
      <w:tr w:rsidR="008E4A1C" w:rsidRPr="001B1E83" w:rsidTr="00987128">
        <w:tc>
          <w:tcPr>
            <w:tcW w:w="2388" w:type="dxa"/>
          </w:tcPr>
          <w:p w:rsidR="008E4A1C" w:rsidRPr="00E719A3" w:rsidRDefault="008E4A1C" w:rsidP="00987128">
            <w:pPr>
              <w:pStyle w:val="TableFigText"/>
              <w:rPr>
                <w:rFonts w:asciiTheme="minorHAnsi" w:hAnsiTheme="minorHAnsi" w:cstheme="minorHAnsi"/>
                <w:szCs w:val="22"/>
              </w:rPr>
            </w:pPr>
            <w:r w:rsidRPr="00E719A3">
              <w:rPr>
                <w:rFonts w:asciiTheme="minorHAnsi" w:hAnsiTheme="minorHAnsi" w:cstheme="minorHAnsi"/>
                <w:szCs w:val="22"/>
              </w:rPr>
              <w:t>Residential mental health services</w:t>
            </w:r>
            <w:r w:rsidRPr="00E719A3">
              <w:rPr>
                <w:rFonts w:asciiTheme="minorHAnsi" w:hAnsiTheme="minorHAnsi" w:cstheme="minorHAnsi"/>
                <w:szCs w:val="22"/>
                <w:vertAlign w:val="superscript"/>
              </w:rPr>
              <w:t>(g)</w:t>
            </w:r>
          </w:p>
        </w:tc>
        <w:tc>
          <w:tcPr>
            <w:tcW w:w="1044" w:type="dxa"/>
          </w:tcPr>
          <w:p w:rsidR="008E4A1C" w:rsidRPr="007302FB" w:rsidRDefault="008E4A1C" w:rsidP="00987128">
            <w:pPr>
              <w:pStyle w:val="TableFigText"/>
              <w:jc w:val="right"/>
              <w:rPr>
                <w:rFonts w:asciiTheme="minorHAnsi" w:hAnsiTheme="minorHAnsi" w:cstheme="minorHAnsi"/>
                <w:szCs w:val="22"/>
              </w:rPr>
            </w:pPr>
            <w:proofErr w:type="spellStart"/>
            <w:r w:rsidRPr="006C22D0">
              <w:rPr>
                <w:rFonts w:asciiTheme="minorHAnsi" w:hAnsiTheme="minorHAnsi" w:cstheme="minorHAnsi"/>
                <w:szCs w:val="22"/>
              </w:rPr>
              <w:t>n.p</w:t>
            </w:r>
            <w:proofErr w:type="spellEnd"/>
            <w:r w:rsidRPr="006C22D0">
              <w:rPr>
                <w:rFonts w:asciiTheme="minorHAnsi" w:hAnsiTheme="minorHAnsi" w:cstheme="minorHAnsi"/>
                <w:szCs w:val="22"/>
              </w:rPr>
              <w:t>.</w:t>
            </w:r>
          </w:p>
        </w:tc>
        <w:tc>
          <w:tcPr>
            <w:tcW w:w="1376" w:type="dxa"/>
          </w:tcPr>
          <w:p w:rsidR="008E4A1C" w:rsidRPr="007302FB" w:rsidRDefault="008E4A1C" w:rsidP="00987128">
            <w:pPr>
              <w:pStyle w:val="TableFigText"/>
              <w:jc w:val="right"/>
              <w:rPr>
                <w:rFonts w:asciiTheme="minorHAnsi" w:hAnsiTheme="minorHAnsi" w:cstheme="minorHAnsi"/>
                <w:szCs w:val="22"/>
              </w:rPr>
            </w:pPr>
            <w:proofErr w:type="spellStart"/>
            <w:r w:rsidRPr="006C22D0">
              <w:rPr>
                <w:rFonts w:asciiTheme="minorHAnsi" w:hAnsiTheme="minorHAnsi" w:cstheme="minorHAnsi"/>
                <w:szCs w:val="22"/>
              </w:rPr>
              <w:t>n.p</w:t>
            </w:r>
            <w:proofErr w:type="spellEnd"/>
            <w:r w:rsidRPr="006C22D0">
              <w:rPr>
                <w:rFonts w:asciiTheme="minorHAnsi" w:hAnsiTheme="minorHAnsi" w:cstheme="minorHAnsi"/>
                <w:szCs w:val="22"/>
              </w:rPr>
              <w:t>.</w:t>
            </w:r>
          </w:p>
        </w:tc>
        <w:tc>
          <w:tcPr>
            <w:tcW w:w="1248" w:type="dxa"/>
          </w:tcPr>
          <w:p w:rsidR="008E4A1C" w:rsidRPr="007302FB" w:rsidRDefault="008E4A1C" w:rsidP="00987128">
            <w:pPr>
              <w:pStyle w:val="TableFigText"/>
              <w:jc w:val="right"/>
              <w:rPr>
                <w:rFonts w:asciiTheme="minorHAnsi" w:hAnsiTheme="minorHAnsi" w:cstheme="minorHAnsi"/>
                <w:szCs w:val="22"/>
              </w:rPr>
            </w:pPr>
            <w:proofErr w:type="spellStart"/>
            <w:r w:rsidRPr="006C22D0">
              <w:rPr>
                <w:rFonts w:asciiTheme="minorHAnsi" w:hAnsiTheme="minorHAnsi" w:cstheme="minorHAnsi"/>
                <w:szCs w:val="22"/>
              </w:rPr>
              <w:t>n.p</w:t>
            </w:r>
            <w:proofErr w:type="spellEnd"/>
            <w:r w:rsidRPr="006C22D0">
              <w:rPr>
                <w:rFonts w:asciiTheme="minorHAnsi" w:hAnsiTheme="minorHAnsi" w:cstheme="minorHAnsi"/>
                <w:szCs w:val="22"/>
              </w:rPr>
              <w:t>.</w:t>
            </w:r>
          </w:p>
        </w:tc>
        <w:tc>
          <w:tcPr>
            <w:tcW w:w="1045" w:type="dxa"/>
          </w:tcPr>
          <w:p w:rsidR="008E4A1C" w:rsidRPr="007302FB" w:rsidRDefault="008E4A1C" w:rsidP="00987128">
            <w:pPr>
              <w:pStyle w:val="TableFigText"/>
              <w:jc w:val="right"/>
              <w:rPr>
                <w:rFonts w:asciiTheme="minorHAnsi" w:hAnsiTheme="minorHAnsi" w:cstheme="minorHAnsi"/>
                <w:szCs w:val="22"/>
              </w:rPr>
            </w:pPr>
            <w:proofErr w:type="spellStart"/>
            <w:r w:rsidRPr="006C22D0">
              <w:rPr>
                <w:rFonts w:asciiTheme="minorHAnsi" w:hAnsiTheme="minorHAnsi" w:cstheme="minorHAnsi"/>
                <w:szCs w:val="22"/>
              </w:rPr>
              <w:t>n.p</w:t>
            </w:r>
            <w:proofErr w:type="spellEnd"/>
            <w:r w:rsidRPr="006C22D0">
              <w:rPr>
                <w:rFonts w:asciiTheme="minorHAnsi" w:hAnsiTheme="minorHAnsi" w:cstheme="minorHAnsi"/>
                <w:szCs w:val="22"/>
              </w:rPr>
              <w:t>.</w:t>
            </w:r>
          </w:p>
        </w:tc>
        <w:tc>
          <w:tcPr>
            <w:tcW w:w="1091" w:type="dxa"/>
          </w:tcPr>
          <w:p w:rsidR="008E4A1C" w:rsidRPr="007302FB" w:rsidRDefault="008E4A1C" w:rsidP="00987128">
            <w:pPr>
              <w:pStyle w:val="TableFigText"/>
              <w:jc w:val="right"/>
              <w:rPr>
                <w:rFonts w:asciiTheme="minorHAnsi" w:hAnsiTheme="minorHAnsi" w:cstheme="minorHAnsi"/>
                <w:szCs w:val="22"/>
              </w:rPr>
            </w:pPr>
            <w:proofErr w:type="spellStart"/>
            <w:r w:rsidRPr="006C22D0">
              <w:rPr>
                <w:rFonts w:asciiTheme="minorHAnsi" w:hAnsiTheme="minorHAnsi" w:cstheme="minorHAnsi"/>
                <w:szCs w:val="22"/>
              </w:rPr>
              <w:t>n.p</w:t>
            </w:r>
            <w:proofErr w:type="spellEnd"/>
            <w:r w:rsidRPr="006C22D0">
              <w:rPr>
                <w:rFonts w:asciiTheme="minorHAnsi" w:hAnsiTheme="minorHAnsi" w:cstheme="minorHAnsi"/>
                <w:szCs w:val="22"/>
              </w:rPr>
              <w:t>.</w:t>
            </w:r>
          </w:p>
        </w:tc>
        <w:tc>
          <w:tcPr>
            <w:tcW w:w="1094" w:type="dxa"/>
          </w:tcPr>
          <w:p w:rsidR="008E4A1C" w:rsidRPr="00A8582C" w:rsidRDefault="008E4A1C" w:rsidP="00987128">
            <w:pPr>
              <w:pStyle w:val="TableFigText"/>
              <w:jc w:val="right"/>
              <w:rPr>
                <w:rFonts w:asciiTheme="minorHAnsi" w:hAnsiTheme="minorHAnsi" w:cstheme="minorHAnsi"/>
                <w:szCs w:val="22"/>
              </w:rPr>
            </w:pPr>
            <w:r w:rsidRPr="00A8582C">
              <w:rPr>
                <w:rFonts w:asciiTheme="minorHAnsi" w:hAnsiTheme="minorHAnsi" w:cstheme="minorHAnsi"/>
                <w:szCs w:val="22"/>
              </w:rPr>
              <w:t>24.63</w:t>
            </w:r>
          </w:p>
        </w:tc>
      </w:tr>
      <w:tr w:rsidR="008E4A1C" w:rsidRPr="001B1E83" w:rsidTr="00987128">
        <w:tc>
          <w:tcPr>
            <w:tcW w:w="2388" w:type="dxa"/>
          </w:tcPr>
          <w:p w:rsidR="008E4A1C" w:rsidRPr="00A83097" w:rsidRDefault="008E4A1C" w:rsidP="00987128">
            <w:pPr>
              <w:pStyle w:val="TableFigText"/>
              <w:rPr>
                <w:rFonts w:asciiTheme="minorHAnsi" w:hAnsiTheme="minorHAnsi" w:cstheme="minorHAnsi"/>
                <w:b/>
                <w:szCs w:val="22"/>
              </w:rPr>
            </w:pPr>
            <w:r w:rsidRPr="00A83097">
              <w:rPr>
                <w:rFonts w:asciiTheme="minorHAnsi" w:hAnsiTheme="minorHAnsi" w:cstheme="minorHAnsi"/>
                <w:b/>
                <w:szCs w:val="22"/>
              </w:rPr>
              <w:t>All mental health service types</w:t>
            </w:r>
            <w:r w:rsidRPr="00A83097">
              <w:rPr>
                <w:rFonts w:asciiTheme="minorHAnsi" w:hAnsiTheme="minorHAnsi" w:cstheme="minorHAnsi"/>
                <w:b/>
                <w:szCs w:val="22"/>
                <w:vertAlign w:val="superscript"/>
              </w:rPr>
              <w:t>(h)</w:t>
            </w:r>
          </w:p>
        </w:tc>
        <w:tc>
          <w:tcPr>
            <w:tcW w:w="1044" w:type="dxa"/>
          </w:tcPr>
          <w:p w:rsidR="008E4A1C" w:rsidRPr="00A83097" w:rsidRDefault="008E4A1C" w:rsidP="00987128">
            <w:pPr>
              <w:pStyle w:val="TableFigText"/>
              <w:jc w:val="right"/>
              <w:rPr>
                <w:rFonts w:asciiTheme="minorHAnsi" w:hAnsiTheme="minorHAnsi" w:cstheme="minorHAnsi"/>
                <w:b/>
                <w:szCs w:val="22"/>
              </w:rPr>
            </w:pPr>
            <w:proofErr w:type="spellStart"/>
            <w:r w:rsidRPr="00A83097">
              <w:rPr>
                <w:rFonts w:asciiTheme="minorHAnsi" w:hAnsiTheme="minorHAnsi" w:cstheme="minorHAnsi"/>
                <w:b/>
                <w:szCs w:val="22"/>
              </w:rPr>
              <w:t>n.p</w:t>
            </w:r>
            <w:proofErr w:type="spellEnd"/>
            <w:r w:rsidRPr="00A83097">
              <w:rPr>
                <w:rFonts w:asciiTheme="minorHAnsi" w:hAnsiTheme="minorHAnsi" w:cstheme="minorHAnsi"/>
                <w:b/>
                <w:szCs w:val="22"/>
              </w:rPr>
              <w:t>.</w:t>
            </w:r>
          </w:p>
        </w:tc>
        <w:tc>
          <w:tcPr>
            <w:tcW w:w="1376" w:type="dxa"/>
          </w:tcPr>
          <w:p w:rsidR="008E4A1C" w:rsidRPr="00A83097" w:rsidRDefault="008E4A1C" w:rsidP="00987128">
            <w:pPr>
              <w:pStyle w:val="TableFigText"/>
              <w:jc w:val="right"/>
              <w:rPr>
                <w:rFonts w:asciiTheme="minorHAnsi" w:hAnsiTheme="minorHAnsi" w:cstheme="minorHAnsi"/>
                <w:b/>
                <w:szCs w:val="22"/>
              </w:rPr>
            </w:pPr>
            <w:proofErr w:type="spellStart"/>
            <w:r w:rsidRPr="00A83097">
              <w:rPr>
                <w:rFonts w:asciiTheme="minorHAnsi" w:hAnsiTheme="minorHAnsi" w:cstheme="minorHAnsi"/>
                <w:b/>
                <w:szCs w:val="22"/>
              </w:rPr>
              <w:t>n.p</w:t>
            </w:r>
            <w:proofErr w:type="spellEnd"/>
            <w:r w:rsidRPr="00A83097">
              <w:rPr>
                <w:rFonts w:asciiTheme="minorHAnsi" w:hAnsiTheme="minorHAnsi" w:cstheme="minorHAnsi"/>
                <w:b/>
                <w:szCs w:val="22"/>
              </w:rPr>
              <w:t>.</w:t>
            </w:r>
          </w:p>
        </w:tc>
        <w:tc>
          <w:tcPr>
            <w:tcW w:w="1248" w:type="dxa"/>
          </w:tcPr>
          <w:p w:rsidR="008E4A1C" w:rsidRPr="00A83097" w:rsidRDefault="008E4A1C" w:rsidP="00987128">
            <w:pPr>
              <w:pStyle w:val="TableFigText"/>
              <w:jc w:val="right"/>
              <w:rPr>
                <w:rFonts w:asciiTheme="minorHAnsi" w:hAnsiTheme="minorHAnsi" w:cstheme="minorHAnsi"/>
                <w:b/>
                <w:szCs w:val="22"/>
              </w:rPr>
            </w:pPr>
            <w:proofErr w:type="spellStart"/>
            <w:r w:rsidRPr="00A83097">
              <w:rPr>
                <w:rFonts w:asciiTheme="minorHAnsi" w:hAnsiTheme="minorHAnsi" w:cstheme="minorHAnsi"/>
                <w:b/>
                <w:szCs w:val="22"/>
              </w:rPr>
              <w:t>n.p</w:t>
            </w:r>
            <w:proofErr w:type="spellEnd"/>
            <w:r w:rsidRPr="00A83097">
              <w:rPr>
                <w:rFonts w:asciiTheme="minorHAnsi" w:hAnsiTheme="minorHAnsi" w:cstheme="minorHAnsi"/>
                <w:b/>
                <w:szCs w:val="22"/>
              </w:rPr>
              <w:t>.</w:t>
            </w:r>
          </w:p>
        </w:tc>
        <w:tc>
          <w:tcPr>
            <w:tcW w:w="1045" w:type="dxa"/>
          </w:tcPr>
          <w:p w:rsidR="008E4A1C" w:rsidRPr="00A83097" w:rsidRDefault="008E4A1C" w:rsidP="00987128">
            <w:pPr>
              <w:pStyle w:val="TableFigText"/>
              <w:jc w:val="right"/>
              <w:rPr>
                <w:rFonts w:asciiTheme="minorHAnsi" w:hAnsiTheme="minorHAnsi" w:cstheme="minorHAnsi"/>
                <w:b/>
                <w:szCs w:val="22"/>
              </w:rPr>
            </w:pPr>
            <w:proofErr w:type="spellStart"/>
            <w:r w:rsidRPr="00A83097">
              <w:rPr>
                <w:rFonts w:asciiTheme="minorHAnsi" w:hAnsiTheme="minorHAnsi" w:cstheme="minorHAnsi"/>
                <w:b/>
                <w:szCs w:val="22"/>
              </w:rPr>
              <w:t>n.p</w:t>
            </w:r>
            <w:proofErr w:type="spellEnd"/>
            <w:r w:rsidRPr="00A83097">
              <w:rPr>
                <w:rFonts w:asciiTheme="minorHAnsi" w:hAnsiTheme="minorHAnsi" w:cstheme="minorHAnsi"/>
                <w:b/>
                <w:szCs w:val="22"/>
              </w:rPr>
              <w:t>.</w:t>
            </w:r>
          </w:p>
        </w:tc>
        <w:tc>
          <w:tcPr>
            <w:tcW w:w="1091" w:type="dxa"/>
          </w:tcPr>
          <w:p w:rsidR="008E4A1C" w:rsidRPr="00A83097" w:rsidRDefault="008E4A1C" w:rsidP="00987128">
            <w:pPr>
              <w:pStyle w:val="TableFigText"/>
              <w:jc w:val="right"/>
              <w:rPr>
                <w:rFonts w:asciiTheme="minorHAnsi" w:hAnsiTheme="minorHAnsi" w:cstheme="minorHAnsi"/>
                <w:b/>
                <w:szCs w:val="22"/>
              </w:rPr>
            </w:pPr>
            <w:proofErr w:type="spellStart"/>
            <w:r w:rsidRPr="00A83097">
              <w:rPr>
                <w:rFonts w:asciiTheme="minorHAnsi" w:hAnsiTheme="minorHAnsi" w:cstheme="minorHAnsi"/>
                <w:b/>
                <w:szCs w:val="22"/>
              </w:rPr>
              <w:t>n.p</w:t>
            </w:r>
            <w:proofErr w:type="spellEnd"/>
            <w:r w:rsidRPr="00A83097">
              <w:rPr>
                <w:rFonts w:asciiTheme="minorHAnsi" w:hAnsiTheme="minorHAnsi" w:cstheme="minorHAnsi"/>
                <w:b/>
                <w:szCs w:val="22"/>
              </w:rPr>
              <w:t>.</w:t>
            </w:r>
          </w:p>
        </w:tc>
        <w:tc>
          <w:tcPr>
            <w:tcW w:w="1094" w:type="dxa"/>
          </w:tcPr>
          <w:p w:rsidR="008E4A1C" w:rsidRPr="00A83097" w:rsidRDefault="004E1061" w:rsidP="00987128">
            <w:pPr>
              <w:pStyle w:val="TableFigText"/>
              <w:jc w:val="right"/>
              <w:rPr>
                <w:rFonts w:asciiTheme="minorHAnsi" w:hAnsiTheme="minorHAnsi" w:cstheme="minorHAnsi"/>
                <w:b/>
                <w:szCs w:val="22"/>
              </w:rPr>
            </w:pPr>
            <w:proofErr w:type="spellStart"/>
            <w:r w:rsidRPr="00A83097">
              <w:rPr>
                <w:rFonts w:asciiTheme="minorHAnsi" w:hAnsiTheme="minorHAnsi" w:cstheme="minorHAnsi"/>
                <w:b/>
                <w:szCs w:val="22"/>
              </w:rPr>
              <w:t>n.p</w:t>
            </w:r>
            <w:proofErr w:type="spellEnd"/>
            <w:r w:rsidRPr="00A83097">
              <w:rPr>
                <w:rFonts w:asciiTheme="minorHAnsi" w:hAnsiTheme="minorHAnsi" w:cstheme="minorHAnsi"/>
                <w:b/>
                <w:szCs w:val="22"/>
              </w:rPr>
              <w:t>.</w:t>
            </w:r>
          </w:p>
        </w:tc>
      </w:tr>
    </w:tbl>
    <w:p w:rsidR="008E4A1C" w:rsidRPr="00CC76C9" w:rsidRDefault="008E4A1C" w:rsidP="008E4A1C">
      <w:pPr>
        <w:pStyle w:val="TableFigNotesnumbered"/>
        <w:rPr>
          <w:rStyle w:val="table-note"/>
        </w:rPr>
      </w:pPr>
      <w:proofErr w:type="spellStart"/>
      <w:proofErr w:type="gramStart"/>
      <w:r w:rsidRPr="00CC76C9">
        <w:rPr>
          <w:rStyle w:val="table-note"/>
        </w:rPr>
        <w:t>n.p</w:t>
      </w:r>
      <w:proofErr w:type="spellEnd"/>
      <w:r w:rsidRPr="00CC76C9">
        <w:rPr>
          <w:rStyle w:val="table-note"/>
        </w:rPr>
        <w:t>.</w:t>
      </w:r>
      <w:proofErr w:type="gramEnd"/>
      <w:r w:rsidRPr="00CC76C9">
        <w:rPr>
          <w:rStyle w:val="table-note"/>
        </w:rPr>
        <w:t xml:space="preserve"> Not published.</w:t>
      </w:r>
    </w:p>
    <w:p w:rsidR="008E4A1C" w:rsidRPr="00CC76C9" w:rsidRDefault="008E4A1C" w:rsidP="00540186">
      <w:pPr>
        <w:pStyle w:val="TableFigNotesnumbered"/>
        <w:numPr>
          <w:ilvl w:val="0"/>
          <w:numId w:val="51"/>
        </w:numPr>
        <w:rPr>
          <w:rStyle w:val="table-note"/>
        </w:rPr>
      </w:pPr>
      <w:r w:rsidRPr="00CC76C9">
        <w:rPr>
          <w:rStyle w:val="table-note"/>
        </w:rPr>
        <w:t>Expenditure excludes depreciation.</w:t>
      </w:r>
    </w:p>
    <w:p w:rsidR="008E4A1C" w:rsidRPr="00CC76C9" w:rsidRDefault="008E4A1C" w:rsidP="00540186">
      <w:pPr>
        <w:pStyle w:val="TableFigNotesnumbered"/>
        <w:numPr>
          <w:ilvl w:val="0"/>
          <w:numId w:val="51"/>
        </w:numPr>
        <w:rPr>
          <w:rStyle w:val="table-note"/>
        </w:rPr>
      </w:pPr>
      <w:r w:rsidRPr="00CC76C9">
        <w:rPr>
          <w:rStyle w:val="table-note"/>
        </w:rPr>
        <w:lastRenderedPageBreak/>
        <w:t xml:space="preserve">Expenditure excludes grants to non-government organisations and indirect expenditure at the state/territory, region and organisation levels not apportioned to service units. </w:t>
      </w:r>
    </w:p>
    <w:p w:rsidR="008E4A1C" w:rsidRPr="00CC76C9" w:rsidRDefault="008E4A1C" w:rsidP="00540186">
      <w:pPr>
        <w:pStyle w:val="TableFigNotesnumbered"/>
        <w:numPr>
          <w:ilvl w:val="0"/>
          <w:numId w:val="51"/>
        </w:numPr>
        <w:rPr>
          <w:rStyle w:val="table-note"/>
        </w:rPr>
      </w:pPr>
      <w:r w:rsidRPr="00CC76C9">
        <w:rPr>
          <w:rStyle w:val="table-note"/>
        </w:rPr>
        <w:t xml:space="preserve">Crude rate is based on the state and territory estimated resident population by remoteness area as at </w:t>
      </w:r>
      <w:r w:rsidR="004E1061" w:rsidRPr="00CC76C9">
        <w:rPr>
          <w:rStyle w:val="table-note"/>
        </w:rPr>
        <w:t xml:space="preserve">31 December </w:t>
      </w:r>
      <w:r w:rsidRPr="00CC76C9">
        <w:rPr>
          <w:rStyle w:val="table-note"/>
        </w:rPr>
        <w:t>2007.</w:t>
      </w:r>
    </w:p>
    <w:p w:rsidR="008E4A1C" w:rsidRPr="00CC76C9" w:rsidRDefault="008E4A1C" w:rsidP="00540186">
      <w:pPr>
        <w:pStyle w:val="TableFigNotesnumbered"/>
        <w:numPr>
          <w:ilvl w:val="0"/>
          <w:numId w:val="51"/>
        </w:numPr>
        <w:rPr>
          <w:rStyle w:val="table-note"/>
        </w:rPr>
      </w:pPr>
      <w:r w:rsidRPr="00CC76C9">
        <w:rPr>
          <w:rStyle w:val="table-note"/>
        </w:rPr>
        <w:t>Constant prices are referenced to 2011–12 and are adjusted for inflation.</w:t>
      </w:r>
    </w:p>
    <w:p w:rsidR="008E4A1C" w:rsidRPr="00CC76C9" w:rsidRDefault="008E4A1C" w:rsidP="00540186">
      <w:pPr>
        <w:pStyle w:val="TableFigNotesnumbered"/>
        <w:numPr>
          <w:ilvl w:val="0"/>
          <w:numId w:val="51"/>
        </w:numPr>
        <w:rPr>
          <w:rStyle w:val="table-note"/>
        </w:rPr>
      </w:pPr>
      <w:r w:rsidRPr="00CC76C9">
        <w:rPr>
          <w:rStyle w:val="table-note"/>
        </w:rPr>
        <w:t>Includes public hospital services managed and operated by private and non-government entities.</w:t>
      </w:r>
    </w:p>
    <w:p w:rsidR="008E4A1C" w:rsidRPr="00CC76C9" w:rsidRDefault="008E4A1C" w:rsidP="00540186">
      <w:pPr>
        <w:pStyle w:val="TableFigNotesnumbered"/>
        <w:numPr>
          <w:ilvl w:val="0"/>
          <w:numId w:val="51"/>
        </w:numPr>
        <w:rPr>
          <w:rStyle w:val="table-note"/>
        </w:rPr>
      </w:pPr>
      <w:r w:rsidRPr="00CC76C9">
        <w:rPr>
          <w:rStyle w:val="table-note"/>
        </w:rPr>
        <w:t>Public psychiatric hospitals and specialised psychiatric units or wards in public acute hospitals include expenditure on admitted patient services only. Public hospitals outpatient departments are included in community mental health care services.</w:t>
      </w:r>
      <w:r w:rsidRPr="00CC76C9">
        <w:rPr>
          <w:rStyle w:val="table-note"/>
        </w:rPr>
        <w:tab/>
      </w:r>
      <w:r w:rsidRPr="00CC76C9">
        <w:rPr>
          <w:rStyle w:val="table-note"/>
        </w:rPr>
        <w:tab/>
      </w:r>
    </w:p>
    <w:p w:rsidR="008E4A1C" w:rsidRPr="00CC76C9" w:rsidRDefault="008E4A1C" w:rsidP="00540186">
      <w:pPr>
        <w:pStyle w:val="TableFigNotesnumbered"/>
        <w:numPr>
          <w:ilvl w:val="0"/>
          <w:numId w:val="51"/>
        </w:numPr>
        <w:rPr>
          <w:rStyle w:val="table-note"/>
        </w:rPr>
      </w:pPr>
      <w:r w:rsidRPr="00CC76C9">
        <w:rPr>
          <w:rStyle w:val="table-note"/>
        </w:rPr>
        <w:t>Residential mental health services include the total operating costs for partially or wholly government funded non-government-operated residential mental health services.</w:t>
      </w:r>
    </w:p>
    <w:p w:rsidR="008E4A1C" w:rsidRPr="00CC76C9" w:rsidRDefault="008E4A1C" w:rsidP="00540186">
      <w:pPr>
        <w:pStyle w:val="TableFigNotesnumbered"/>
        <w:numPr>
          <w:ilvl w:val="0"/>
          <w:numId w:val="51"/>
        </w:numPr>
        <w:rPr>
          <w:rStyle w:val="table-note"/>
        </w:rPr>
      </w:pPr>
      <w:r w:rsidRPr="00CC76C9">
        <w:rPr>
          <w:rStyle w:val="table-note"/>
        </w:rPr>
        <w:t>Totals may not add due to rounding.</w:t>
      </w:r>
    </w:p>
    <w:p w:rsidR="008E4A1C" w:rsidRPr="00CC76C9" w:rsidRDefault="008E4A1C" w:rsidP="008E4A1C">
      <w:pPr>
        <w:pStyle w:val="TableFigNotesnumbered"/>
        <w:ind w:left="0" w:firstLine="0"/>
        <w:rPr>
          <w:rStyle w:val="table-note"/>
        </w:rPr>
      </w:pPr>
      <w:r w:rsidRPr="00CC76C9">
        <w:rPr>
          <w:rStyle w:val="table-note"/>
        </w:rPr>
        <w:t>Source: National Mental Health Establishments Database.</w:t>
      </w:r>
    </w:p>
    <w:p w:rsidR="008E4A1C" w:rsidRPr="001B1E83" w:rsidRDefault="008E4A1C" w:rsidP="008E4A1C">
      <w:pPr>
        <w:pStyle w:val="TableFigNotesnumbered"/>
        <w:ind w:left="0" w:firstLine="0"/>
        <w:rPr>
          <w:rFonts w:asciiTheme="minorHAnsi" w:hAnsiTheme="minorHAnsi"/>
        </w:rPr>
      </w:pPr>
    </w:p>
    <w:p w:rsidR="008E4A1C" w:rsidRPr="008A3F74" w:rsidRDefault="008A3F74" w:rsidP="008E4A1C">
      <w:pPr>
        <w:pStyle w:val="TableCaption"/>
        <w:rPr>
          <w:rStyle w:val="table-note"/>
        </w:rPr>
      </w:pPr>
      <w:r w:rsidRPr="008A3F74">
        <w:rPr>
          <w:rStyle w:val="table-note"/>
        </w:rPr>
        <w:t xml:space="preserve">Table 74: </w:t>
      </w:r>
      <w:r w:rsidR="008E4A1C" w:rsidRPr="008A3F74">
        <w:rPr>
          <w:rStyle w:val="table-note"/>
        </w:rPr>
        <w:t xml:space="preserve">ACT: Recurrent </w:t>
      </w:r>
      <w:proofErr w:type="gramStart"/>
      <w:r w:rsidR="008E4A1C" w:rsidRPr="008A3F74">
        <w:rPr>
          <w:rStyle w:val="table-note"/>
        </w:rPr>
        <w:t>expenditure</w:t>
      </w:r>
      <w:r w:rsidR="008E4A1C" w:rsidRPr="008A3F74">
        <w:rPr>
          <w:rStyle w:val="table-note"/>
          <w:vertAlign w:val="superscript"/>
        </w:rPr>
        <w:t>(</w:t>
      </w:r>
      <w:proofErr w:type="gramEnd"/>
      <w:r w:rsidR="008E4A1C" w:rsidRPr="008A3F74">
        <w:rPr>
          <w:rStyle w:val="table-note"/>
          <w:vertAlign w:val="superscript"/>
        </w:rPr>
        <w:t>a)(b)</w:t>
      </w:r>
      <w:r w:rsidR="008E4A1C" w:rsidRPr="008A3F74">
        <w:rPr>
          <w:rStyle w:val="table-note"/>
        </w:rPr>
        <w:t xml:space="preserve"> ($’000) on state and territory specialised mental health services, by service type, 2011–12 (current prices)</w:t>
      </w:r>
    </w:p>
    <w:tbl>
      <w:tblPr>
        <w:tblStyle w:val="TableGrid"/>
        <w:tblW w:w="0" w:type="auto"/>
        <w:tblLook w:val="04A0" w:firstRow="1" w:lastRow="0" w:firstColumn="1" w:lastColumn="0" w:noHBand="0" w:noVBand="1"/>
        <w:tblCaption w:val="ACT: Recurrent expenditure(a)(b) ($’000) on state and territory specialised mental health services, by service type, 2011–12 (current prices)"/>
        <w:tblDescription w:val="Table showing that, in 2011-2012, in the ACT community mental health services had the highest recurrent expenditure at $35,444,000, followed by public hospital services $19,437,000 and residential mental health services $11,014,000."/>
      </w:tblPr>
      <w:tblGrid>
        <w:gridCol w:w="2383"/>
        <w:gridCol w:w="1047"/>
        <w:gridCol w:w="1380"/>
        <w:gridCol w:w="1252"/>
        <w:gridCol w:w="1047"/>
        <w:gridCol w:w="1094"/>
        <w:gridCol w:w="1083"/>
      </w:tblGrid>
      <w:tr w:rsidR="00631EB9" w:rsidRPr="001B1E83" w:rsidTr="000C3DEA">
        <w:trPr>
          <w:tblHeader/>
        </w:trPr>
        <w:tc>
          <w:tcPr>
            <w:tcW w:w="2383" w:type="dxa"/>
          </w:tcPr>
          <w:p w:rsidR="008E4A1C" w:rsidRPr="001B1E83" w:rsidRDefault="008E4A1C" w:rsidP="00987128">
            <w:pPr>
              <w:pStyle w:val="TableFigText"/>
              <w:rPr>
                <w:rFonts w:asciiTheme="minorHAnsi" w:hAnsiTheme="minorHAnsi" w:cstheme="minorHAnsi"/>
                <w:szCs w:val="22"/>
              </w:rPr>
            </w:pPr>
          </w:p>
        </w:tc>
        <w:tc>
          <w:tcPr>
            <w:tcW w:w="1047" w:type="dxa"/>
          </w:tcPr>
          <w:p w:rsidR="008E4A1C" w:rsidRPr="001B1E83" w:rsidRDefault="008E4A1C" w:rsidP="00987128">
            <w:pPr>
              <w:pStyle w:val="TableFigText"/>
              <w:jc w:val="right"/>
              <w:rPr>
                <w:rFonts w:asciiTheme="minorHAnsi" w:hAnsiTheme="minorHAnsi" w:cstheme="minorHAnsi"/>
                <w:b/>
                <w:szCs w:val="22"/>
              </w:rPr>
            </w:pPr>
            <w:r w:rsidRPr="001B1E83">
              <w:rPr>
                <w:rFonts w:asciiTheme="minorHAnsi" w:hAnsiTheme="minorHAnsi" w:cstheme="minorHAnsi"/>
                <w:b/>
                <w:szCs w:val="22"/>
              </w:rPr>
              <w:t>Major cities</w:t>
            </w:r>
          </w:p>
        </w:tc>
        <w:tc>
          <w:tcPr>
            <w:tcW w:w="1380" w:type="dxa"/>
          </w:tcPr>
          <w:p w:rsidR="008E4A1C" w:rsidRPr="001B1E83" w:rsidRDefault="008E4A1C" w:rsidP="00987128">
            <w:pPr>
              <w:pStyle w:val="TableFigText"/>
              <w:jc w:val="right"/>
              <w:rPr>
                <w:rFonts w:asciiTheme="minorHAnsi" w:hAnsiTheme="minorHAnsi" w:cstheme="minorHAnsi"/>
                <w:b/>
                <w:szCs w:val="22"/>
              </w:rPr>
            </w:pPr>
            <w:r w:rsidRPr="001B1E83">
              <w:rPr>
                <w:rFonts w:asciiTheme="minorHAnsi" w:hAnsiTheme="minorHAnsi" w:cstheme="minorHAnsi"/>
                <w:b/>
                <w:szCs w:val="22"/>
              </w:rPr>
              <w:t>Inner regional</w:t>
            </w:r>
          </w:p>
        </w:tc>
        <w:tc>
          <w:tcPr>
            <w:tcW w:w="1252" w:type="dxa"/>
          </w:tcPr>
          <w:p w:rsidR="008E4A1C" w:rsidRPr="001B1E83" w:rsidRDefault="008E4A1C" w:rsidP="00987128">
            <w:pPr>
              <w:pStyle w:val="TableFigText"/>
              <w:jc w:val="right"/>
              <w:rPr>
                <w:rFonts w:asciiTheme="minorHAnsi" w:hAnsiTheme="minorHAnsi" w:cstheme="minorHAnsi"/>
                <w:b/>
                <w:szCs w:val="22"/>
              </w:rPr>
            </w:pPr>
            <w:r w:rsidRPr="001B1E83">
              <w:rPr>
                <w:rFonts w:asciiTheme="minorHAnsi" w:hAnsiTheme="minorHAnsi" w:cstheme="minorHAnsi"/>
                <w:b/>
                <w:szCs w:val="22"/>
              </w:rPr>
              <w:t>Outer regional</w:t>
            </w:r>
          </w:p>
        </w:tc>
        <w:tc>
          <w:tcPr>
            <w:tcW w:w="1047" w:type="dxa"/>
          </w:tcPr>
          <w:p w:rsidR="008E4A1C" w:rsidRPr="001B1E83" w:rsidRDefault="008E4A1C" w:rsidP="00987128">
            <w:pPr>
              <w:pStyle w:val="TableFigText"/>
              <w:jc w:val="right"/>
              <w:rPr>
                <w:rFonts w:asciiTheme="minorHAnsi" w:hAnsiTheme="minorHAnsi" w:cstheme="minorHAnsi"/>
                <w:b/>
                <w:szCs w:val="22"/>
              </w:rPr>
            </w:pPr>
            <w:r w:rsidRPr="001B1E83">
              <w:rPr>
                <w:rFonts w:asciiTheme="minorHAnsi" w:hAnsiTheme="minorHAnsi" w:cstheme="minorHAnsi"/>
                <w:b/>
                <w:szCs w:val="22"/>
              </w:rPr>
              <w:t>Remote</w:t>
            </w:r>
          </w:p>
        </w:tc>
        <w:tc>
          <w:tcPr>
            <w:tcW w:w="1094" w:type="dxa"/>
          </w:tcPr>
          <w:p w:rsidR="008E4A1C" w:rsidRPr="001B1E83" w:rsidRDefault="008E4A1C" w:rsidP="00987128">
            <w:pPr>
              <w:pStyle w:val="TableFigText"/>
              <w:jc w:val="right"/>
              <w:rPr>
                <w:rFonts w:asciiTheme="minorHAnsi" w:hAnsiTheme="minorHAnsi" w:cstheme="minorHAnsi"/>
                <w:b/>
                <w:szCs w:val="22"/>
              </w:rPr>
            </w:pPr>
            <w:r w:rsidRPr="001B1E83">
              <w:rPr>
                <w:rFonts w:asciiTheme="minorHAnsi" w:hAnsiTheme="minorHAnsi" w:cstheme="minorHAnsi"/>
                <w:b/>
                <w:szCs w:val="22"/>
              </w:rPr>
              <w:t>Very remote</w:t>
            </w:r>
          </w:p>
        </w:tc>
        <w:tc>
          <w:tcPr>
            <w:tcW w:w="1083" w:type="dxa"/>
          </w:tcPr>
          <w:p w:rsidR="008E4A1C" w:rsidRPr="001B1E83" w:rsidRDefault="008E4A1C" w:rsidP="00987128">
            <w:pPr>
              <w:pStyle w:val="TableFigText"/>
              <w:jc w:val="right"/>
              <w:rPr>
                <w:rFonts w:asciiTheme="minorHAnsi" w:hAnsiTheme="minorHAnsi" w:cstheme="minorHAnsi"/>
                <w:b/>
                <w:szCs w:val="22"/>
              </w:rPr>
            </w:pPr>
            <w:r w:rsidRPr="001B1E83">
              <w:rPr>
                <w:rFonts w:asciiTheme="minorHAnsi" w:hAnsiTheme="minorHAnsi" w:cstheme="minorHAnsi"/>
                <w:b/>
                <w:szCs w:val="22"/>
              </w:rPr>
              <w:t>Total</w:t>
            </w:r>
            <w:r w:rsidRPr="001B1E83">
              <w:rPr>
                <w:rFonts w:asciiTheme="minorHAnsi" w:hAnsiTheme="minorHAnsi" w:cstheme="minorHAnsi"/>
                <w:b/>
                <w:szCs w:val="22"/>
                <w:vertAlign w:val="superscript"/>
              </w:rPr>
              <w:t>(c)</w:t>
            </w:r>
          </w:p>
        </w:tc>
      </w:tr>
      <w:tr w:rsidR="00631EB9" w:rsidRPr="001B1E83" w:rsidTr="00987128">
        <w:tc>
          <w:tcPr>
            <w:tcW w:w="2383" w:type="dxa"/>
          </w:tcPr>
          <w:p w:rsidR="008E4A1C" w:rsidRPr="001B1E83" w:rsidRDefault="008E4A1C" w:rsidP="00987128">
            <w:pPr>
              <w:pStyle w:val="TableFigText"/>
              <w:rPr>
                <w:rFonts w:asciiTheme="minorHAnsi" w:hAnsiTheme="minorHAnsi" w:cstheme="minorHAnsi"/>
                <w:szCs w:val="22"/>
              </w:rPr>
            </w:pPr>
            <w:r w:rsidRPr="001B1E83">
              <w:rPr>
                <w:rFonts w:asciiTheme="minorHAnsi" w:hAnsiTheme="minorHAnsi" w:cstheme="minorHAnsi"/>
                <w:szCs w:val="22"/>
              </w:rPr>
              <w:t>Public hospital services</w:t>
            </w:r>
            <w:r w:rsidRPr="001B1E83">
              <w:rPr>
                <w:rFonts w:asciiTheme="minorHAnsi" w:hAnsiTheme="minorHAnsi" w:cstheme="minorHAnsi"/>
                <w:szCs w:val="22"/>
                <w:vertAlign w:val="superscript"/>
              </w:rPr>
              <w:t>(d)(e)</w:t>
            </w:r>
          </w:p>
        </w:tc>
        <w:tc>
          <w:tcPr>
            <w:tcW w:w="1047" w:type="dxa"/>
          </w:tcPr>
          <w:p w:rsidR="008E4A1C" w:rsidRPr="000D16C7" w:rsidRDefault="008E4A1C" w:rsidP="00987128">
            <w:pPr>
              <w:pStyle w:val="TableFigText"/>
              <w:jc w:val="right"/>
              <w:rPr>
                <w:rFonts w:asciiTheme="minorHAnsi" w:hAnsiTheme="minorHAnsi" w:cstheme="minorHAnsi"/>
                <w:szCs w:val="22"/>
              </w:rPr>
            </w:pPr>
            <w:proofErr w:type="spellStart"/>
            <w:r w:rsidRPr="00E43071">
              <w:rPr>
                <w:rFonts w:asciiTheme="minorHAnsi" w:hAnsiTheme="minorHAnsi" w:cstheme="minorHAnsi"/>
                <w:szCs w:val="22"/>
              </w:rPr>
              <w:t>n.p</w:t>
            </w:r>
            <w:proofErr w:type="spellEnd"/>
            <w:r w:rsidRPr="00E43071">
              <w:rPr>
                <w:rFonts w:asciiTheme="minorHAnsi" w:hAnsiTheme="minorHAnsi" w:cstheme="minorHAnsi"/>
                <w:szCs w:val="22"/>
              </w:rPr>
              <w:t>.</w:t>
            </w:r>
          </w:p>
        </w:tc>
        <w:tc>
          <w:tcPr>
            <w:tcW w:w="1380" w:type="dxa"/>
          </w:tcPr>
          <w:p w:rsidR="008E4A1C" w:rsidRPr="000D16C7" w:rsidRDefault="008E4A1C" w:rsidP="00987128">
            <w:pPr>
              <w:pStyle w:val="TableFigText"/>
              <w:jc w:val="right"/>
              <w:rPr>
                <w:rFonts w:asciiTheme="minorHAnsi" w:hAnsiTheme="minorHAnsi" w:cstheme="minorHAnsi"/>
                <w:szCs w:val="22"/>
              </w:rPr>
            </w:pPr>
            <w:proofErr w:type="spellStart"/>
            <w:r w:rsidRPr="00E43071">
              <w:rPr>
                <w:rFonts w:asciiTheme="minorHAnsi" w:hAnsiTheme="minorHAnsi" w:cstheme="minorHAnsi"/>
                <w:szCs w:val="22"/>
              </w:rPr>
              <w:t>n.p</w:t>
            </w:r>
            <w:proofErr w:type="spellEnd"/>
            <w:r w:rsidRPr="00E43071">
              <w:rPr>
                <w:rFonts w:asciiTheme="minorHAnsi" w:hAnsiTheme="minorHAnsi" w:cstheme="minorHAnsi"/>
                <w:szCs w:val="22"/>
              </w:rPr>
              <w:t>.</w:t>
            </w:r>
          </w:p>
        </w:tc>
        <w:tc>
          <w:tcPr>
            <w:tcW w:w="1252" w:type="dxa"/>
          </w:tcPr>
          <w:p w:rsidR="008E4A1C" w:rsidRPr="000D16C7" w:rsidRDefault="008E4A1C" w:rsidP="00987128">
            <w:pPr>
              <w:pStyle w:val="TableFigText"/>
              <w:jc w:val="right"/>
              <w:rPr>
                <w:rFonts w:asciiTheme="minorHAnsi" w:hAnsiTheme="minorHAnsi" w:cstheme="minorHAnsi"/>
                <w:szCs w:val="22"/>
              </w:rPr>
            </w:pPr>
            <w:proofErr w:type="spellStart"/>
            <w:r w:rsidRPr="00E43071">
              <w:rPr>
                <w:rFonts w:asciiTheme="minorHAnsi" w:hAnsiTheme="minorHAnsi" w:cstheme="minorHAnsi"/>
                <w:szCs w:val="22"/>
              </w:rPr>
              <w:t>n.p</w:t>
            </w:r>
            <w:proofErr w:type="spellEnd"/>
            <w:r w:rsidRPr="00E43071">
              <w:rPr>
                <w:rFonts w:asciiTheme="minorHAnsi" w:hAnsiTheme="minorHAnsi" w:cstheme="minorHAnsi"/>
                <w:szCs w:val="22"/>
              </w:rPr>
              <w:t>.</w:t>
            </w:r>
          </w:p>
        </w:tc>
        <w:tc>
          <w:tcPr>
            <w:tcW w:w="1047" w:type="dxa"/>
          </w:tcPr>
          <w:p w:rsidR="008E4A1C" w:rsidRPr="000D16C7" w:rsidRDefault="008E4A1C" w:rsidP="00987128">
            <w:pPr>
              <w:pStyle w:val="TableFigText"/>
              <w:jc w:val="right"/>
              <w:rPr>
                <w:rFonts w:asciiTheme="minorHAnsi" w:hAnsiTheme="minorHAnsi" w:cstheme="minorHAnsi"/>
                <w:szCs w:val="22"/>
              </w:rPr>
            </w:pPr>
            <w:proofErr w:type="spellStart"/>
            <w:r w:rsidRPr="00E43071">
              <w:rPr>
                <w:rFonts w:asciiTheme="minorHAnsi" w:hAnsiTheme="minorHAnsi" w:cstheme="minorHAnsi"/>
                <w:szCs w:val="22"/>
              </w:rPr>
              <w:t>n.p</w:t>
            </w:r>
            <w:proofErr w:type="spellEnd"/>
            <w:r w:rsidRPr="00E43071">
              <w:rPr>
                <w:rFonts w:asciiTheme="minorHAnsi" w:hAnsiTheme="minorHAnsi" w:cstheme="minorHAnsi"/>
                <w:szCs w:val="22"/>
              </w:rPr>
              <w:t>.</w:t>
            </w:r>
          </w:p>
        </w:tc>
        <w:tc>
          <w:tcPr>
            <w:tcW w:w="1094" w:type="dxa"/>
          </w:tcPr>
          <w:p w:rsidR="008E4A1C" w:rsidRPr="000D16C7" w:rsidRDefault="008E4A1C" w:rsidP="00987128">
            <w:pPr>
              <w:pStyle w:val="TableFigText"/>
              <w:jc w:val="right"/>
              <w:rPr>
                <w:rFonts w:asciiTheme="minorHAnsi" w:hAnsiTheme="minorHAnsi" w:cstheme="minorHAnsi"/>
                <w:szCs w:val="22"/>
              </w:rPr>
            </w:pPr>
            <w:proofErr w:type="spellStart"/>
            <w:r w:rsidRPr="00E43071">
              <w:rPr>
                <w:rFonts w:asciiTheme="minorHAnsi" w:hAnsiTheme="minorHAnsi" w:cstheme="minorHAnsi"/>
                <w:szCs w:val="22"/>
              </w:rPr>
              <w:t>n.p</w:t>
            </w:r>
            <w:proofErr w:type="spellEnd"/>
            <w:r w:rsidRPr="00E43071">
              <w:rPr>
                <w:rFonts w:asciiTheme="minorHAnsi" w:hAnsiTheme="minorHAnsi" w:cstheme="minorHAnsi"/>
                <w:szCs w:val="22"/>
              </w:rPr>
              <w:t>.</w:t>
            </w:r>
          </w:p>
        </w:tc>
        <w:tc>
          <w:tcPr>
            <w:tcW w:w="1083" w:type="dxa"/>
          </w:tcPr>
          <w:p w:rsidR="008E4A1C" w:rsidRPr="001B1E83" w:rsidRDefault="008E4A1C" w:rsidP="00987128">
            <w:pPr>
              <w:pStyle w:val="TableFigText"/>
              <w:jc w:val="right"/>
              <w:rPr>
                <w:rFonts w:asciiTheme="minorHAnsi" w:hAnsiTheme="minorHAnsi" w:cstheme="minorHAnsi"/>
                <w:szCs w:val="22"/>
              </w:rPr>
            </w:pPr>
            <w:r w:rsidRPr="006506F6">
              <w:rPr>
                <w:rFonts w:asciiTheme="minorHAnsi" w:hAnsiTheme="minorHAnsi" w:cstheme="minorHAnsi"/>
                <w:szCs w:val="22"/>
              </w:rPr>
              <w:t>19,437</w:t>
            </w:r>
          </w:p>
        </w:tc>
      </w:tr>
      <w:tr w:rsidR="00631EB9" w:rsidRPr="001B1E83" w:rsidTr="00987128">
        <w:tc>
          <w:tcPr>
            <w:tcW w:w="2383" w:type="dxa"/>
          </w:tcPr>
          <w:p w:rsidR="008E4A1C" w:rsidRPr="001B1E83" w:rsidRDefault="008E4A1C" w:rsidP="00987128">
            <w:pPr>
              <w:pStyle w:val="TableFigText"/>
              <w:rPr>
                <w:rFonts w:asciiTheme="minorHAnsi" w:hAnsiTheme="minorHAnsi" w:cstheme="minorHAnsi"/>
                <w:szCs w:val="22"/>
              </w:rPr>
            </w:pPr>
            <w:r w:rsidRPr="001B1E83">
              <w:rPr>
                <w:rFonts w:asciiTheme="minorHAnsi" w:hAnsiTheme="minorHAnsi" w:cstheme="minorHAnsi"/>
                <w:szCs w:val="22"/>
              </w:rPr>
              <w:t>Community mental health services</w:t>
            </w:r>
          </w:p>
        </w:tc>
        <w:tc>
          <w:tcPr>
            <w:tcW w:w="1047" w:type="dxa"/>
          </w:tcPr>
          <w:p w:rsidR="008E4A1C" w:rsidRPr="000D16C7" w:rsidRDefault="008E4A1C" w:rsidP="00987128">
            <w:pPr>
              <w:pStyle w:val="TableFigText"/>
              <w:jc w:val="right"/>
              <w:rPr>
                <w:rFonts w:asciiTheme="minorHAnsi" w:hAnsiTheme="minorHAnsi" w:cstheme="minorHAnsi"/>
                <w:szCs w:val="22"/>
              </w:rPr>
            </w:pPr>
            <w:proofErr w:type="spellStart"/>
            <w:r w:rsidRPr="00E43071">
              <w:rPr>
                <w:rFonts w:asciiTheme="minorHAnsi" w:hAnsiTheme="minorHAnsi" w:cstheme="minorHAnsi"/>
                <w:szCs w:val="22"/>
              </w:rPr>
              <w:t>n.p</w:t>
            </w:r>
            <w:proofErr w:type="spellEnd"/>
            <w:r w:rsidRPr="00E43071">
              <w:rPr>
                <w:rFonts w:asciiTheme="minorHAnsi" w:hAnsiTheme="minorHAnsi" w:cstheme="minorHAnsi"/>
                <w:szCs w:val="22"/>
              </w:rPr>
              <w:t>.</w:t>
            </w:r>
          </w:p>
        </w:tc>
        <w:tc>
          <w:tcPr>
            <w:tcW w:w="1380" w:type="dxa"/>
          </w:tcPr>
          <w:p w:rsidR="008E4A1C" w:rsidRPr="000D16C7" w:rsidRDefault="008E4A1C" w:rsidP="00987128">
            <w:pPr>
              <w:pStyle w:val="TableFigText"/>
              <w:jc w:val="right"/>
              <w:rPr>
                <w:rFonts w:asciiTheme="minorHAnsi" w:hAnsiTheme="minorHAnsi" w:cstheme="minorHAnsi"/>
                <w:szCs w:val="22"/>
              </w:rPr>
            </w:pPr>
            <w:proofErr w:type="spellStart"/>
            <w:r w:rsidRPr="00E43071">
              <w:rPr>
                <w:rFonts w:asciiTheme="minorHAnsi" w:hAnsiTheme="minorHAnsi" w:cstheme="minorHAnsi"/>
                <w:szCs w:val="22"/>
              </w:rPr>
              <w:t>n.p</w:t>
            </w:r>
            <w:proofErr w:type="spellEnd"/>
            <w:r w:rsidRPr="00E43071">
              <w:rPr>
                <w:rFonts w:asciiTheme="minorHAnsi" w:hAnsiTheme="minorHAnsi" w:cstheme="minorHAnsi"/>
                <w:szCs w:val="22"/>
              </w:rPr>
              <w:t>.</w:t>
            </w:r>
          </w:p>
        </w:tc>
        <w:tc>
          <w:tcPr>
            <w:tcW w:w="1252" w:type="dxa"/>
          </w:tcPr>
          <w:p w:rsidR="008E4A1C" w:rsidRPr="000D16C7" w:rsidRDefault="008E4A1C" w:rsidP="00987128">
            <w:pPr>
              <w:pStyle w:val="TableFigText"/>
              <w:jc w:val="right"/>
              <w:rPr>
                <w:rFonts w:asciiTheme="minorHAnsi" w:hAnsiTheme="minorHAnsi" w:cstheme="minorHAnsi"/>
                <w:szCs w:val="22"/>
              </w:rPr>
            </w:pPr>
            <w:proofErr w:type="spellStart"/>
            <w:r w:rsidRPr="00E43071">
              <w:rPr>
                <w:rFonts w:asciiTheme="minorHAnsi" w:hAnsiTheme="minorHAnsi" w:cstheme="minorHAnsi"/>
                <w:szCs w:val="22"/>
              </w:rPr>
              <w:t>n.p</w:t>
            </w:r>
            <w:proofErr w:type="spellEnd"/>
            <w:r w:rsidRPr="00E43071">
              <w:rPr>
                <w:rFonts w:asciiTheme="minorHAnsi" w:hAnsiTheme="minorHAnsi" w:cstheme="minorHAnsi"/>
                <w:szCs w:val="22"/>
              </w:rPr>
              <w:t>.</w:t>
            </w:r>
          </w:p>
        </w:tc>
        <w:tc>
          <w:tcPr>
            <w:tcW w:w="1047" w:type="dxa"/>
          </w:tcPr>
          <w:p w:rsidR="008E4A1C" w:rsidRPr="000D16C7" w:rsidRDefault="008E4A1C" w:rsidP="00987128">
            <w:pPr>
              <w:pStyle w:val="TableFigText"/>
              <w:jc w:val="right"/>
              <w:rPr>
                <w:rFonts w:asciiTheme="minorHAnsi" w:hAnsiTheme="minorHAnsi" w:cstheme="minorHAnsi"/>
                <w:szCs w:val="22"/>
              </w:rPr>
            </w:pPr>
            <w:proofErr w:type="spellStart"/>
            <w:r w:rsidRPr="00E43071">
              <w:rPr>
                <w:rFonts w:asciiTheme="minorHAnsi" w:hAnsiTheme="minorHAnsi" w:cstheme="minorHAnsi"/>
                <w:szCs w:val="22"/>
              </w:rPr>
              <w:t>n.p</w:t>
            </w:r>
            <w:proofErr w:type="spellEnd"/>
            <w:r w:rsidRPr="00E43071">
              <w:rPr>
                <w:rFonts w:asciiTheme="minorHAnsi" w:hAnsiTheme="minorHAnsi" w:cstheme="minorHAnsi"/>
                <w:szCs w:val="22"/>
              </w:rPr>
              <w:t>.</w:t>
            </w:r>
          </w:p>
        </w:tc>
        <w:tc>
          <w:tcPr>
            <w:tcW w:w="1094" w:type="dxa"/>
          </w:tcPr>
          <w:p w:rsidR="008E4A1C" w:rsidRPr="000D16C7" w:rsidRDefault="008E4A1C" w:rsidP="00987128">
            <w:pPr>
              <w:pStyle w:val="TableFigText"/>
              <w:jc w:val="right"/>
              <w:rPr>
                <w:rFonts w:asciiTheme="minorHAnsi" w:hAnsiTheme="minorHAnsi" w:cstheme="minorHAnsi"/>
                <w:szCs w:val="22"/>
              </w:rPr>
            </w:pPr>
            <w:proofErr w:type="spellStart"/>
            <w:r w:rsidRPr="00E43071">
              <w:rPr>
                <w:rFonts w:asciiTheme="minorHAnsi" w:hAnsiTheme="minorHAnsi" w:cstheme="minorHAnsi"/>
                <w:szCs w:val="22"/>
              </w:rPr>
              <w:t>n.p</w:t>
            </w:r>
            <w:proofErr w:type="spellEnd"/>
            <w:r w:rsidRPr="00E43071">
              <w:rPr>
                <w:rFonts w:asciiTheme="minorHAnsi" w:hAnsiTheme="minorHAnsi" w:cstheme="minorHAnsi"/>
                <w:szCs w:val="22"/>
              </w:rPr>
              <w:t>.</w:t>
            </w:r>
          </w:p>
        </w:tc>
        <w:tc>
          <w:tcPr>
            <w:tcW w:w="1083" w:type="dxa"/>
          </w:tcPr>
          <w:p w:rsidR="008E4A1C" w:rsidRPr="006506F6" w:rsidRDefault="008E4A1C" w:rsidP="00987128">
            <w:pPr>
              <w:pStyle w:val="TableFigText"/>
              <w:jc w:val="right"/>
              <w:rPr>
                <w:rFonts w:asciiTheme="minorHAnsi" w:hAnsiTheme="minorHAnsi" w:cstheme="minorHAnsi"/>
                <w:szCs w:val="22"/>
              </w:rPr>
            </w:pPr>
            <w:r w:rsidRPr="006506F6">
              <w:rPr>
                <w:rFonts w:asciiTheme="minorHAnsi" w:hAnsiTheme="minorHAnsi" w:cstheme="minorHAnsi"/>
                <w:szCs w:val="22"/>
              </w:rPr>
              <w:t>35,444</w:t>
            </w:r>
          </w:p>
          <w:p w:rsidR="008E4A1C" w:rsidRPr="001B1E83" w:rsidRDefault="008E4A1C" w:rsidP="00987128">
            <w:pPr>
              <w:pStyle w:val="TableFigText"/>
              <w:jc w:val="right"/>
              <w:rPr>
                <w:rFonts w:asciiTheme="minorHAnsi" w:hAnsiTheme="minorHAnsi" w:cstheme="minorHAnsi"/>
                <w:szCs w:val="22"/>
              </w:rPr>
            </w:pPr>
          </w:p>
        </w:tc>
      </w:tr>
      <w:tr w:rsidR="00631EB9" w:rsidRPr="001B1E83" w:rsidTr="00987128">
        <w:tc>
          <w:tcPr>
            <w:tcW w:w="2383" w:type="dxa"/>
          </w:tcPr>
          <w:p w:rsidR="008E4A1C" w:rsidRPr="001B1E83" w:rsidRDefault="008E4A1C" w:rsidP="00987128">
            <w:pPr>
              <w:pStyle w:val="TableFigText"/>
              <w:rPr>
                <w:rFonts w:asciiTheme="minorHAnsi" w:hAnsiTheme="minorHAnsi" w:cstheme="minorHAnsi"/>
                <w:szCs w:val="22"/>
              </w:rPr>
            </w:pPr>
            <w:r w:rsidRPr="001B1E83">
              <w:rPr>
                <w:rFonts w:asciiTheme="minorHAnsi" w:hAnsiTheme="minorHAnsi" w:cstheme="minorHAnsi"/>
                <w:szCs w:val="22"/>
              </w:rPr>
              <w:t>Residential mental health services</w:t>
            </w:r>
            <w:r w:rsidRPr="001B1E83">
              <w:rPr>
                <w:rFonts w:asciiTheme="minorHAnsi" w:hAnsiTheme="minorHAnsi" w:cstheme="minorHAnsi"/>
                <w:szCs w:val="22"/>
                <w:vertAlign w:val="superscript"/>
              </w:rPr>
              <w:t>(f)</w:t>
            </w:r>
          </w:p>
        </w:tc>
        <w:tc>
          <w:tcPr>
            <w:tcW w:w="1047" w:type="dxa"/>
          </w:tcPr>
          <w:p w:rsidR="008E4A1C" w:rsidRPr="000D16C7" w:rsidRDefault="008E4A1C" w:rsidP="00987128">
            <w:pPr>
              <w:pStyle w:val="TableFigText"/>
              <w:jc w:val="right"/>
              <w:rPr>
                <w:rFonts w:asciiTheme="minorHAnsi" w:hAnsiTheme="minorHAnsi" w:cstheme="minorHAnsi"/>
                <w:szCs w:val="22"/>
              </w:rPr>
            </w:pPr>
            <w:proofErr w:type="spellStart"/>
            <w:r w:rsidRPr="00E43071">
              <w:rPr>
                <w:rFonts w:asciiTheme="minorHAnsi" w:hAnsiTheme="minorHAnsi" w:cstheme="minorHAnsi"/>
                <w:szCs w:val="22"/>
              </w:rPr>
              <w:t>n.p</w:t>
            </w:r>
            <w:proofErr w:type="spellEnd"/>
            <w:r w:rsidRPr="00E43071">
              <w:rPr>
                <w:rFonts w:asciiTheme="minorHAnsi" w:hAnsiTheme="minorHAnsi" w:cstheme="minorHAnsi"/>
                <w:szCs w:val="22"/>
              </w:rPr>
              <w:t>.</w:t>
            </w:r>
          </w:p>
        </w:tc>
        <w:tc>
          <w:tcPr>
            <w:tcW w:w="1380" w:type="dxa"/>
          </w:tcPr>
          <w:p w:rsidR="008E4A1C" w:rsidRPr="000D16C7" w:rsidRDefault="008E4A1C" w:rsidP="00987128">
            <w:pPr>
              <w:pStyle w:val="TableFigText"/>
              <w:jc w:val="right"/>
              <w:rPr>
                <w:rFonts w:asciiTheme="minorHAnsi" w:hAnsiTheme="minorHAnsi" w:cstheme="minorHAnsi"/>
                <w:szCs w:val="22"/>
              </w:rPr>
            </w:pPr>
            <w:proofErr w:type="spellStart"/>
            <w:r w:rsidRPr="00E43071">
              <w:rPr>
                <w:rFonts w:asciiTheme="minorHAnsi" w:hAnsiTheme="minorHAnsi" w:cstheme="minorHAnsi"/>
                <w:szCs w:val="22"/>
              </w:rPr>
              <w:t>n.p</w:t>
            </w:r>
            <w:proofErr w:type="spellEnd"/>
            <w:r w:rsidRPr="00E43071">
              <w:rPr>
                <w:rFonts w:asciiTheme="minorHAnsi" w:hAnsiTheme="minorHAnsi" w:cstheme="minorHAnsi"/>
                <w:szCs w:val="22"/>
              </w:rPr>
              <w:t>.</w:t>
            </w:r>
          </w:p>
        </w:tc>
        <w:tc>
          <w:tcPr>
            <w:tcW w:w="1252" w:type="dxa"/>
          </w:tcPr>
          <w:p w:rsidR="008E4A1C" w:rsidRPr="000D16C7" w:rsidRDefault="008E4A1C" w:rsidP="00987128">
            <w:pPr>
              <w:pStyle w:val="TableFigText"/>
              <w:jc w:val="right"/>
              <w:rPr>
                <w:rFonts w:asciiTheme="minorHAnsi" w:hAnsiTheme="minorHAnsi" w:cstheme="minorHAnsi"/>
                <w:szCs w:val="22"/>
              </w:rPr>
            </w:pPr>
            <w:proofErr w:type="spellStart"/>
            <w:r w:rsidRPr="00E43071">
              <w:rPr>
                <w:rFonts w:asciiTheme="minorHAnsi" w:hAnsiTheme="minorHAnsi" w:cstheme="minorHAnsi"/>
                <w:szCs w:val="22"/>
              </w:rPr>
              <w:t>n.p</w:t>
            </w:r>
            <w:proofErr w:type="spellEnd"/>
            <w:r w:rsidRPr="00E43071">
              <w:rPr>
                <w:rFonts w:asciiTheme="minorHAnsi" w:hAnsiTheme="minorHAnsi" w:cstheme="minorHAnsi"/>
                <w:szCs w:val="22"/>
              </w:rPr>
              <w:t>.</w:t>
            </w:r>
          </w:p>
        </w:tc>
        <w:tc>
          <w:tcPr>
            <w:tcW w:w="1047" w:type="dxa"/>
          </w:tcPr>
          <w:p w:rsidR="008E4A1C" w:rsidRPr="000D16C7" w:rsidRDefault="008E4A1C" w:rsidP="00987128">
            <w:pPr>
              <w:pStyle w:val="TableFigText"/>
              <w:jc w:val="right"/>
              <w:rPr>
                <w:rFonts w:asciiTheme="minorHAnsi" w:hAnsiTheme="minorHAnsi" w:cstheme="minorHAnsi"/>
                <w:szCs w:val="22"/>
              </w:rPr>
            </w:pPr>
            <w:proofErr w:type="spellStart"/>
            <w:r w:rsidRPr="00E43071">
              <w:rPr>
                <w:rFonts w:asciiTheme="minorHAnsi" w:hAnsiTheme="minorHAnsi" w:cstheme="minorHAnsi"/>
                <w:szCs w:val="22"/>
              </w:rPr>
              <w:t>n.p</w:t>
            </w:r>
            <w:proofErr w:type="spellEnd"/>
            <w:r w:rsidRPr="00E43071">
              <w:rPr>
                <w:rFonts w:asciiTheme="minorHAnsi" w:hAnsiTheme="minorHAnsi" w:cstheme="minorHAnsi"/>
                <w:szCs w:val="22"/>
              </w:rPr>
              <w:t>.</w:t>
            </w:r>
          </w:p>
        </w:tc>
        <w:tc>
          <w:tcPr>
            <w:tcW w:w="1094" w:type="dxa"/>
          </w:tcPr>
          <w:p w:rsidR="008E4A1C" w:rsidRPr="000D16C7" w:rsidRDefault="008E4A1C" w:rsidP="00987128">
            <w:pPr>
              <w:pStyle w:val="TableFigText"/>
              <w:jc w:val="right"/>
              <w:rPr>
                <w:rFonts w:asciiTheme="minorHAnsi" w:hAnsiTheme="minorHAnsi" w:cstheme="minorHAnsi"/>
                <w:szCs w:val="22"/>
              </w:rPr>
            </w:pPr>
            <w:proofErr w:type="spellStart"/>
            <w:r w:rsidRPr="00E43071">
              <w:rPr>
                <w:rFonts w:asciiTheme="minorHAnsi" w:hAnsiTheme="minorHAnsi" w:cstheme="minorHAnsi"/>
                <w:szCs w:val="22"/>
              </w:rPr>
              <w:t>n.p</w:t>
            </w:r>
            <w:proofErr w:type="spellEnd"/>
            <w:r w:rsidRPr="00E43071">
              <w:rPr>
                <w:rFonts w:asciiTheme="minorHAnsi" w:hAnsiTheme="minorHAnsi" w:cstheme="minorHAnsi"/>
                <w:szCs w:val="22"/>
              </w:rPr>
              <w:t>.</w:t>
            </w:r>
          </w:p>
        </w:tc>
        <w:tc>
          <w:tcPr>
            <w:tcW w:w="1083" w:type="dxa"/>
          </w:tcPr>
          <w:p w:rsidR="008E4A1C" w:rsidRPr="001B1E83" w:rsidRDefault="008E4A1C" w:rsidP="00987128">
            <w:pPr>
              <w:pStyle w:val="TableFigText"/>
              <w:jc w:val="right"/>
              <w:rPr>
                <w:rFonts w:asciiTheme="minorHAnsi" w:hAnsiTheme="minorHAnsi" w:cstheme="minorHAnsi"/>
                <w:szCs w:val="22"/>
              </w:rPr>
            </w:pPr>
            <w:r w:rsidRPr="006506F6">
              <w:rPr>
                <w:rFonts w:asciiTheme="minorHAnsi" w:hAnsiTheme="minorHAnsi" w:cstheme="minorHAnsi"/>
                <w:szCs w:val="22"/>
              </w:rPr>
              <w:t>11,014</w:t>
            </w:r>
          </w:p>
        </w:tc>
      </w:tr>
      <w:tr w:rsidR="00631EB9" w:rsidRPr="001B1E83" w:rsidTr="00987128">
        <w:tc>
          <w:tcPr>
            <w:tcW w:w="2383" w:type="dxa"/>
          </w:tcPr>
          <w:p w:rsidR="008E4A1C" w:rsidRPr="00A83097" w:rsidRDefault="008E4A1C" w:rsidP="00987128">
            <w:pPr>
              <w:pStyle w:val="TableFigText"/>
              <w:rPr>
                <w:rFonts w:asciiTheme="minorHAnsi" w:hAnsiTheme="minorHAnsi" w:cstheme="minorHAnsi"/>
                <w:b/>
                <w:szCs w:val="22"/>
              </w:rPr>
            </w:pPr>
            <w:r w:rsidRPr="00A83097">
              <w:rPr>
                <w:rFonts w:asciiTheme="minorHAnsi" w:hAnsiTheme="minorHAnsi" w:cstheme="minorHAnsi"/>
                <w:b/>
                <w:szCs w:val="22"/>
              </w:rPr>
              <w:t>All mental health service types</w:t>
            </w:r>
            <w:r w:rsidRPr="00A83097">
              <w:rPr>
                <w:rFonts w:asciiTheme="minorHAnsi" w:hAnsiTheme="minorHAnsi" w:cstheme="minorHAnsi"/>
                <w:b/>
                <w:szCs w:val="22"/>
                <w:vertAlign w:val="superscript"/>
              </w:rPr>
              <w:t>(c)</w:t>
            </w:r>
          </w:p>
        </w:tc>
        <w:tc>
          <w:tcPr>
            <w:tcW w:w="1047" w:type="dxa"/>
          </w:tcPr>
          <w:p w:rsidR="008E4A1C" w:rsidRPr="00A83097" w:rsidRDefault="008E4A1C" w:rsidP="00987128">
            <w:pPr>
              <w:pStyle w:val="TableFigText"/>
              <w:jc w:val="right"/>
              <w:rPr>
                <w:rFonts w:asciiTheme="minorHAnsi" w:hAnsiTheme="minorHAnsi" w:cstheme="minorHAnsi"/>
                <w:b/>
                <w:szCs w:val="22"/>
              </w:rPr>
            </w:pPr>
            <w:proofErr w:type="spellStart"/>
            <w:r w:rsidRPr="00A83097">
              <w:rPr>
                <w:rFonts w:asciiTheme="minorHAnsi" w:hAnsiTheme="minorHAnsi" w:cstheme="minorHAnsi"/>
                <w:b/>
                <w:szCs w:val="22"/>
              </w:rPr>
              <w:t>n.p</w:t>
            </w:r>
            <w:proofErr w:type="spellEnd"/>
            <w:r w:rsidRPr="00A83097">
              <w:rPr>
                <w:rFonts w:asciiTheme="minorHAnsi" w:hAnsiTheme="minorHAnsi" w:cstheme="minorHAnsi"/>
                <w:b/>
                <w:szCs w:val="22"/>
              </w:rPr>
              <w:t>.</w:t>
            </w:r>
          </w:p>
        </w:tc>
        <w:tc>
          <w:tcPr>
            <w:tcW w:w="1380" w:type="dxa"/>
          </w:tcPr>
          <w:p w:rsidR="008E4A1C" w:rsidRPr="00A83097" w:rsidRDefault="008E4A1C" w:rsidP="00987128">
            <w:pPr>
              <w:pStyle w:val="TableFigText"/>
              <w:jc w:val="right"/>
              <w:rPr>
                <w:rFonts w:asciiTheme="minorHAnsi" w:hAnsiTheme="minorHAnsi" w:cstheme="minorHAnsi"/>
                <w:b/>
                <w:szCs w:val="22"/>
              </w:rPr>
            </w:pPr>
            <w:proofErr w:type="spellStart"/>
            <w:r w:rsidRPr="00A83097">
              <w:rPr>
                <w:rFonts w:asciiTheme="minorHAnsi" w:hAnsiTheme="minorHAnsi" w:cstheme="minorHAnsi"/>
                <w:b/>
                <w:szCs w:val="22"/>
              </w:rPr>
              <w:t>n.p</w:t>
            </w:r>
            <w:proofErr w:type="spellEnd"/>
            <w:r w:rsidRPr="00A83097">
              <w:rPr>
                <w:rFonts w:asciiTheme="minorHAnsi" w:hAnsiTheme="minorHAnsi" w:cstheme="minorHAnsi"/>
                <w:b/>
                <w:szCs w:val="22"/>
              </w:rPr>
              <w:t>.</w:t>
            </w:r>
          </w:p>
        </w:tc>
        <w:tc>
          <w:tcPr>
            <w:tcW w:w="1252" w:type="dxa"/>
          </w:tcPr>
          <w:p w:rsidR="008E4A1C" w:rsidRPr="00A83097" w:rsidRDefault="008E4A1C" w:rsidP="00987128">
            <w:pPr>
              <w:pStyle w:val="TableFigText"/>
              <w:jc w:val="right"/>
              <w:rPr>
                <w:rFonts w:asciiTheme="minorHAnsi" w:hAnsiTheme="minorHAnsi" w:cstheme="minorHAnsi"/>
                <w:b/>
                <w:szCs w:val="22"/>
              </w:rPr>
            </w:pPr>
            <w:proofErr w:type="spellStart"/>
            <w:r w:rsidRPr="00A83097">
              <w:rPr>
                <w:rFonts w:asciiTheme="minorHAnsi" w:hAnsiTheme="minorHAnsi" w:cstheme="minorHAnsi"/>
                <w:b/>
                <w:szCs w:val="22"/>
              </w:rPr>
              <w:t>n.p</w:t>
            </w:r>
            <w:proofErr w:type="spellEnd"/>
            <w:r w:rsidRPr="00A83097">
              <w:rPr>
                <w:rFonts w:asciiTheme="minorHAnsi" w:hAnsiTheme="minorHAnsi" w:cstheme="minorHAnsi"/>
                <w:b/>
                <w:szCs w:val="22"/>
              </w:rPr>
              <w:t>.</w:t>
            </w:r>
          </w:p>
        </w:tc>
        <w:tc>
          <w:tcPr>
            <w:tcW w:w="1047" w:type="dxa"/>
          </w:tcPr>
          <w:p w:rsidR="008E4A1C" w:rsidRPr="00A83097" w:rsidRDefault="008E4A1C" w:rsidP="00987128">
            <w:pPr>
              <w:pStyle w:val="TableFigText"/>
              <w:jc w:val="right"/>
              <w:rPr>
                <w:rFonts w:asciiTheme="minorHAnsi" w:hAnsiTheme="minorHAnsi" w:cstheme="minorHAnsi"/>
                <w:b/>
                <w:szCs w:val="22"/>
              </w:rPr>
            </w:pPr>
            <w:proofErr w:type="spellStart"/>
            <w:r w:rsidRPr="00A83097">
              <w:rPr>
                <w:rFonts w:asciiTheme="minorHAnsi" w:hAnsiTheme="minorHAnsi" w:cstheme="minorHAnsi"/>
                <w:b/>
                <w:szCs w:val="22"/>
              </w:rPr>
              <w:t>n.p</w:t>
            </w:r>
            <w:proofErr w:type="spellEnd"/>
            <w:r w:rsidRPr="00A83097">
              <w:rPr>
                <w:rFonts w:asciiTheme="minorHAnsi" w:hAnsiTheme="minorHAnsi" w:cstheme="minorHAnsi"/>
                <w:b/>
                <w:szCs w:val="22"/>
              </w:rPr>
              <w:t>.</w:t>
            </w:r>
          </w:p>
        </w:tc>
        <w:tc>
          <w:tcPr>
            <w:tcW w:w="1094" w:type="dxa"/>
          </w:tcPr>
          <w:p w:rsidR="008E4A1C" w:rsidRPr="00A83097" w:rsidRDefault="008E4A1C" w:rsidP="00987128">
            <w:pPr>
              <w:pStyle w:val="TableFigText"/>
              <w:jc w:val="right"/>
              <w:rPr>
                <w:rFonts w:asciiTheme="minorHAnsi" w:hAnsiTheme="minorHAnsi" w:cstheme="minorHAnsi"/>
                <w:b/>
                <w:szCs w:val="22"/>
              </w:rPr>
            </w:pPr>
            <w:proofErr w:type="spellStart"/>
            <w:r w:rsidRPr="00A83097">
              <w:rPr>
                <w:rFonts w:asciiTheme="minorHAnsi" w:hAnsiTheme="minorHAnsi" w:cstheme="minorHAnsi"/>
                <w:b/>
                <w:szCs w:val="22"/>
              </w:rPr>
              <w:t>n.p</w:t>
            </w:r>
            <w:proofErr w:type="spellEnd"/>
            <w:r w:rsidRPr="00A83097">
              <w:rPr>
                <w:rFonts w:asciiTheme="minorHAnsi" w:hAnsiTheme="minorHAnsi" w:cstheme="minorHAnsi"/>
                <w:b/>
                <w:szCs w:val="22"/>
              </w:rPr>
              <w:t>.</w:t>
            </w:r>
          </w:p>
        </w:tc>
        <w:tc>
          <w:tcPr>
            <w:tcW w:w="1083" w:type="dxa"/>
          </w:tcPr>
          <w:p w:rsidR="008E4A1C" w:rsidRPr="00A83097" w:rsidRDefault="00631EB9" w:rsidP="00631EB9">
            <w:pPr>
              <w:pStyle w:val="TableFigText"/>
              <w:jc w:val="right"/>
              <w:rPr>
                <w:rFonts w:asciiTheme="minorHAnsi" w:hAnsiTheme="minorHAnsi" w:cstheme="minorHAnsi"/>
                <w:b/>
                <w:szCs w:val="22"/>
              </w:rPr>
            </w:pPr>
            <w:r w:rsidRPr="00A83097">
              <w:rPr>
                <w:rFonts w:asciiTheme="minorHAnsi" w:hAnsiTheme="minorHAnsi" w:cstheme="minorHAnsi"/>
                <w:b/>
                <w:szCs w:val="22"/>
              </w:rPr>
              <w:t>65,895</w:t>
            </w:r>
          </w:p>
        </w:tc>
      </w:tr>
    </w:tbl>
    <w:p w:rsidR="008E4A1C" w:rsidRPr="00CC76C9" w:rsidRDefault="008E4A1C" w:rsidP="008E4A1C">
      <w:pPr>
        <w:pStyle w:val="TableFigNotesnumbered"/>
        <w:rPr>
          <w:rStyle w:val="table-note"/>
        </w:rPr>
      </w:pPr>
      <w:proofErr w:type="spellStart"/>
      <w:proofErr w:type="gramStart"/>
      <w:r w:rsidRPr="00CC76C9">
        <w:rPr>
          <w:rStyle w:val="table-note"/>
        </w:rPr>
        <w:t>n.p</w:t>
      </w:r>
      <w:proofErr w:type="spellEnd"/>
      <w:r w:rsidRPr="00CC76C9">
        <w:rPr>
          <w:rStyle w:val="table-note"/>
        </w:rPr>
        <w:t>.</w:t>
      </w:r>
      <w:proofErr w:type="gramEnd"/>
      <w:r w:rsidRPr="00CC76C9">
        <w:rPr>
          <w:rStyle w:val="table-note"/>
        </w:rPr>
        <w:t xml:space="preserve"> Not published.</w:t>
      </w:r>
    </w:p>
    <w:p w:rsidR="008E4A1C" w:rsidRPr="00CC76C9" w:rsidRDefault="008E4A1C" w:rsidP="00540186">
      <w:pPr>
        <w:pStyle w:val="TableFigNotesnumbered"/>
        <w:numPr>
          <w:ilvl w:val="0"/>
          <w:numId w:val="52"/>
        </w:numPr>
        <w:rPr>
          <w:rStyle w:val="table-note"/>
        </w:rPr>
      </w:pPr>
      <w:r w:rsidRPr="00CC76C9">
        <w:rPr>
          <w:rStyle w:val="table-note"/>
        </w:rPr>
        <w:t>Expenditure excludes depreciation.</w:t>
      </w:r>
    </w:p>
    <w:p w:rsidR="008E4A1C" w:rsidRPr="00CC76C9" w:rsidRDefault="008E4A1C" w:rsidP="00540186">
      <w:pPr>
        <w:pStyle w:val="TableFigNotesnumbered"/>
        <w:numPr>
          <w:ilvl w:val="0"/>
          <w:numId w:val="52"/>
        </w:numPr>
        <w:rPr>
          <w:rStyle w:val="table-note"/>
        </w:rPr>
      </w:pPr>
      <w:r w:rsidRPr="00CC76C9">
        <w:rPr>
          <w:rStyle w:val="table-note"/>
        </w:rPr>
        <w:t xml:space="preserve">Expenditure excludes grants to non-government organisations and indirect expenditure at the state/territory, region and organisation levels not apportioned to service units. </w:t>
      </w:r>
    </w:p>
    <w:p w:rsidR="008E4A1C" w:rsidRPr="00CC76C9" w:rsidRDefault="008E4A1C" w:rsidP="00540186">
      <w:pPr>
        <w:pStyle w:val="TableFigNotesnumbered"/>
        <w:numPr>
          <w:ilvl w:val="0"/>
          <w:numId w:val="52"/>
        </w:numPr>
        <w:rPr>
          <w:rStyle w:val="table-note"/>
        </w:rPr>
      </w:pPr>
      <w:r w:rsidRPr="00CC76C9">
        <w:rPr>
          <w:rStyle w:val="table-note"/>
        </w:rPr>
        <w:t>Totals may not add due to rounding to the nearest $'000.</w:t>
      </w:r>
    </w:p>
    <w:p w:rsidR="008E4A1C" w:rsidRPr="00CC76C9" w:rsidRDefault="008E4A1C" w:rsidP="00540186">
      <w:pPr>
        <w:pStyle w:val="TableFigNotesnumbered"/>
        <w:numPr>
          <w:ilvl w:val="0"/>
          <w:numId w:val="52"/>
        </w:numPr>
        <w:rPr>
          <w:rStyle w:val="table-note"/>
        </w:rPr>
      </w:pPr>
      <w:r w:rsidRPr="00CC76C9">
        <w:rPr>
          <w:rStyle w:val="table-note"/>
        </w:rPr>
        <w:t>Includes public hospital services managed and operated by private and non-government entities.</w:t>
      </w:r>
    </w:p>
    <w:p w:rsidR="008E4A1C" w:rsidRPr="00CC76C9" w:rsidRDefault="008E4A1C" w:rsidP="00540186">
      <w:pPr>
        <w:pStyle w:val="TableFigNotesnumbered"/>
        <w:numPr>
          <w:ilvl w:val="0"/>
          <w:numId w:val="52"/>
        </w:numPr>
        <w:rPr>
          <w:rStyle w:val="table-note"/>
        </w:rPr>
      </w:pPr>
      <w:r w:rsidRPr="00CC76C9">
        <w:rPr>
          <w:rStyle w:val="table-note"/>
        </w:rPr>
        <w:t>Public psychiatric hospitals and specialised psychiatric units or wards in public acute hospitals include expenditure on admitted patient services only. Public hospitals outpatient departments are included in community mental health care services.</w:t>
      </w:r>
      <w:r w:rsidRPr="00CC76C9">
        <w:rPr>
          <w:rStyle w:val="table-note"/>
        </w:rPr>
        <w:tab/>
      </w:r>
      <w:r w:rsidRPr="00CC76C9">
        <w:rPr>
          <w:rStyle w:val="table-note"/>
        </w:rPr>
        <w:tab/>
      </w:r>
    </w:p>
    <w:p w:rsidR="008E4A1C" w:rsidRPr="001B1E83" w:rsidRDefault="008E4A1C" w:rsidP="00540186">
      <w:pPr>
        <w:pStyle w:val="TableFigNotesnumbered"/>
        <w:numPr>
          <w:ilvl w:val="0"/>
          <w:numId w:val="52"/>
        </w:numPr>
        <w:rPr>
          <w:rFonts w:asciiTheme="minorHAnsi" w:hAnsiTheme="minorHAnsi"/>
        </w:rPr>
      </w:pPr>
      <w:r w:rsidRPr="00CC76C9">
        <w:rPr>
          <w:rStyle w:val="table-note"/>
        </w:rPr>
        <w:t>Residential mental health services include the total operating costs for partially or wholly government funded non-government-operated residential mental health services.</w:t>
      </w:r>
      <w:r w:rsidRPr="001B1E83">
        <w:rPr>
          <w:rFonts w:asciiTheme="minorHAnsi" w:hAnsiTheme="minorHAnsi"/>
        </w:rPr>
        <w:tab/>
      </w:r>
      <w:r w:rsidRPr="001B1E83">
        <w:rPr>
          <w:rFonts w:asciiTheme="minorHAnsi" w:hAnsiTheme="minorHAnsi"/>
        </w:rPr>
        <w:tab/>
      </w:r>
    </w:p>
    <w:p w:rsidR="008E4A1C" w:rsidRPr="00CC76C9" w:rsidRDefault="008E4A1C" w:rsidP="008E4A1C">
      <w:pPr>
        <w:pStyle w:val="TableFigNotesnumbered"/>
        <w:ind w:left="0" w:firstLine="0"/>
        <w:rPr>
          <w:rStyle w:val="table-note"/>
        </w:rPr>
      </w:pPr>
      <w:r w:rsidRPr="00CC76C9">
        <w:rPr>
          <w:rStyle w:val="table-note"/>
        </w:rPr>
        <w:t>Source: National Mental Health Establishments Database.</w:t>
      </w:r>
    </w:p>
    <w:p w:rsidR="008E4A1C" w:rsidRPr="008A3F74" w:rsidRDefault="008A3F74" w:rsidP="008E4A1C">
      <w:pPr>
        <w:pStyle w:val="TableCaption"/>
        <w:rPr>
          <w:rStyle w:val="table-note"/>
        </w:rPr>
      </w:pPr>
      <w:r w:rsidRPr="008A3F74">
        <w:rPr>
          <w:rStyle w:val="table-note"/>
        </w:rPr>
        <w:t xml:space="preserve">Table 75: </w:t>
      </w:r>
      <w:r w:rsidR="008E4A1C" w:rsidRPr="008A3F74">
        <w:rPr>
          <w:rStyle w:val="table-note"/>
        </w:rPr>
        <w:t xml:space="preserve">ACT: Recurrent </w:t>
      </w:r>
      <w:proofErr w:type="gramStart"/>
      <w:r w:rsidR="008E4A1C" w:rsidRPr="008A3F74">
        <w:rPr>
          <w:rStyle w:val="table-note"/>
        </w:rPr>
        <w:t>expenditure</w:t>
      </w:r>
      <w:r w:rsidR="008E4A1C" w:rsidRPr="008A3F74">
        <w:rPr>
          <w:rStyle w:val="table-note"/>
          <w:vertAlign w:val="superscript"/>
        </w:rPr>
        <w:t>(</w:t>
      </w:r>
      <w:proofErr w:type="gramEnd"/>
      <w:r w:rsidR="008E4A1C" w:rsidRPr="008A3F74">
        <w:rPr>
          <w:rStyle w:val="table-note"/>
          <w:vertAlign w:val="superscript"/>
        </w:rPr>
        <w:t>a)(b)</w:t>
      </w:r>
      <w:r w:rsidR="008E4A1C" w:rsidRPr="008A3F74">
        <w:rPr>
          <w:rStyle w:val="table-note"/>
        </w:rPr>
        <w:t xml:space="preserve"> ($) per capita</w:t>
      </w:r>
      <w:r w:rsidR="008E4A1C" w:rsidRPr="008A3F74">
        <w:rPr>
          <w:rStyle w:val="table-note"/>
          <w:vertAlign w:val="superscript"/>
        </w:rPr>
        <w:t>(c)</w:t>
      </w:r>
      <w:r w:rsidR="008E4A1C" w:rsidRPr="008A3F74">
        <w:rPr>
          <w:rStyle w:val="table-note"/>
        </w:rPr>
        <w:t xml:space="preserve"> on state and territory specialised mental health services, by service type, 2011–12 (current prices)</w:t>
      </w:r>
    </w:p>
    <w:tbl>
      <w:tblPr>
        <w:tblStyle w:val="TableGrid"/>
        <w:tblW w:w="0" w:type="auto"/>
        <w:tblLook w:val="04A0" w:firstRow="1" w:lastRow="0" w:firstColumn="1" w:lastColumn="0" w:noHBand="0" w:noVBand="1"/>
        <w:tblCaption w:val="ACT: Recurrent expenditure(a)(b) ($) per capita(c) on state and territory specialised mental health services, by service type, 2011–12 (current prices)"/>
        <w:tblDescription w:val="Table showing that, in 2011-2012, in the ACT community mental health services had the highest recurrent expenditure at $95.54, followed by public hospital services at $52.39, and residential mental health services at $29.69."/>
      </w:tblPr>
      <w:tblGrid>
        <w:gridCol w:w="2381"/>
        <w:gridCol w:w="1047"/>
        <w:gridCol w:w="1380"/>
        <w:gridCol w:w="1251"/>
        <w:gridCol w:w="1047"/>
        <w:gridCol w:w="1094"/>
        <w:gridCol w:w="1086"/>
      </w:tblGrid>
      <w:tr w:rsidR="008E4A1C" w:rsidRPr="005F6DCC" w:rsidTr="000C3DEA">
        <w:trPr>
          <w:tblHeader/>
        </w:trPr>
        <w:tc>
          <w:tcPr>
            <w:tcW w:w="2381" w:type="dxa"/>
          </w:tcPr>
          <w:p w:rsidR="008E4A1C" w:rsidRPr="005F6DCC" w:rsidRDefault="008E4A1C" w:rsidP="00987128">
            <w:pPr>
              <w:pStyle w:val="TableFigText"/>
              <w:rPr>
                <w:rFonts w:asciiTheme="minorHAnsi" w:hAnsiTheme="minorHAnsi" w:cstheme="minorHAnsi"/>
                <w:szCs w:val="22"/>
              </w:rPr>
            </w:pPr>
          </w:p>
        </w:tc>
        <w:tc>
          <w:tcPr>
            <w:tcW w:w="1047" w:type="dxa"/>
          </w:tcPr>
          <w:p w:rsidR="008E4A1C" w:rsidRPr="005F6DCC" w:rsidRDefault="008E4A1C" w:rsidP="00987128">
            <w:pPr>
              <w:pStyle w:val="TableFigText"/>
              <w:jc w:val="right"/>
              <w:rPr>
                <w:rFonts w:asciiTheme="minorHAnsi" w:hAnsiTheme="minorHAnsi" w:cstheme="minorHAnsi"/>
                <w:b/>
                <w:szCs w:val="22"/>
              </w:rPr>
            </w:pPr>
            <w:r w:rsidRPr="005F6DCC">
              <w:rPr>
                <w:rFonts w:asciiTheme="minorHAnsi" w:hAnsiTheme="minorHAnsi" w:cstheme="minorHAnsi"/>
                <w:b/>
                <w:szCs w:val="22"/>
              </w:rPr>
              <w:t>Major cities</w:t>
            </w:r>
          </w:p>
        </w:tc>
        <w:tc>
          <w:tcPr>
            <w:tcW w:w="1380" w:type="dxa"/>
          </w:tcPr>
          <w:p w:rsidR="008E4A1C" w:rsidRPr="005F6DCC" w:rsidRDefault="008E4A1C" w:rsidP="00987128">
            <w:pPr>
              <w:pStyle w:val="TableFigText"/>
              <w:jc w:val="right"/>
              <w:rPr>
                <w:rFonts w:asciiTheme="minorHAnsi" w:hAnsiTheme="minorHAnsi" w:cstheme="minorHAnsi"/>
                <w:b/>
                <w:szCs w:val="22"/>
              </w:rPr>
            </w:pPr>
            <w:r w:rsidRPr="005F6DCC">
              <w:rPr>
                <w:rFonts w:asciiTheme="minorHAnsi" w:hAnsiTheme="minorHAnsi" w:cstheme="minorHAnsi"/>
                <w:b/>
                <w:szCs w:val="22"/>
              </w:rPr>
              <w:t>Inner regional</w:t>
            </w:r>
          </w:p>
        </w:tc>
        <w:tc>
          <w:tcPr>
            <w:tcW w:w="1251" w:type="dxa"/>
          </w:tcPr>
          <w:p w:rsidR="008E4A1C" w:rsidRPr="005F6DCC" w:rsidRDefault="008E4A1C" w:rsidP="00987128">
            <w:pPr>
              <w:pStyle w:val="TableFigText"/>
              <w:jc w:val="right"/>
              <w:rPr>
                <w:rFonts w:asciiTheme="minorHAnsi" w:hAnsiTheme="minorHAnsi" w:cstheme="minorHAnsi"/>
                <w:b/>
                <w:szCs w:val="22"/>
              </w:rPr>
            </w:pPr>
            <w:r w:rsidRPr="005F6DCC">
              <w:rPr>
                <w:rFonts w:asciiTheme="minorHAnsi" w:hAnsiTheme="minorHAnsi" w:cstheme="minorHAnsi"/>
                <w:b/>
                <w:szCs w:val="22"/>
              </w:rPr>
              <w:t>Outer regional</w:t>
            </w:r>
          </w:p>
        </w:tc>
        <w:tc>
          <w:tcPr>
            <w:tcW w:w="1047" w:type="dxa"/>
          </w:tcPr>
          <w:p w:rsidR="008E4A1C" w:rsidRPr="005F6DCC" w:rsidRDefault="008E4A1C" w:rsidP="00987128">
            <w:pPr>
              <w:pStyle w:val="TableFigText"/>
              <w:jc w:val="right"/>
              <w:rPr>
                <w:rFonts w:asciiTheme="minorHAnsi" w:hAnsiTheme="minorHAnsi" w:cstheme="minorHAnsi"/>
                <w:b/>
                <w:szCs w:val="22"/>
              </w:rPr>
            </w:pPr>
            <w:r w:rsidRPr="005F6DCC">
              <w:rPr>
                <w:rFonts w:asciiTheme="minorHAnsi" w:hAnsiTheme="minorHAnsi" w:cstheme="minorHAnsi"/>
                <w:b/>
                <w:szCs w:val="22"/>
              </w:rPr>
              <w:t>Remote</w:t>
            </w:r>
          </w:p>
        </w:tc>
        <w:tc>
          <w:tcPr>
            <w:tcW w:w="1094" w:type="dxa"/>
          </w:tcPr>
          <w:p w:rsidR="008E4A1C" w:rsidRPr="005F6DCC" w:rsidRDefault="008E4A1C" w:rsidP="00987128">
            <w:pPr>
              <w:pStyle w:val="TableFigText"/>
              <w:jc w:val="right"/>
              <w:rPr>
                <w:rFonts w:asciiTheme="minorHAnsi" w:hAnsiTheme="minorHAnsi" w:cstheme="minorHAnsi"/>
                <w:b/>
                <w:szCs w:val="22"/>
              </w:rPr>
            </w:pPr>
            <w:r w:rsidRPr="005F6DCC">
              <w:rPr>
                <w:rFonts w:asciiTheme="minorHAnsi" w:hAnsiTheme="minorHAnsi" w:cstheme="minorHAnsi"/>
                <w:b/>
                <w:szCs w:val="22"/>
              </w:rPr>
              <w:t>Very remote</w:t>
            </w:r>
          </w:p>
        </w:tc>
        <w:tc>
          <w:tcPr>
            <w:tcW w:w="1086" w:type="dxa"/>
          </w:tcPr>
          <w:p w:rsidR="008E4A1C" w:rsidRPr="005F6DCC" w:rsidRDefault="008E4A1C" w:rsidP="00987128">
            <w:pPr>
              <w:pStyle w:val="TableFigText"/>
              <w:jc w:val="right"/>
              <w:rPr>
                <w:rFonts w:asciiTheme="minorHAnsi" w:hAnsiTheme="minorHAnsi" w:cstheme="minorHAnsi"/>
                <w:b/>
                <w:szCs w:val="22"/>
              </w:rPr>
            </w:pPr>
            <w:r w:rsidRPr="005F6DCC">
              <w:rPr>
                <w:rFonts w:asciiTheme="minorHAnsi" w:hAnsiTheme="minorHAnsi" w:cstheme="minorHAnsi"/>
                <w:b/>
                <w:szCs w:val="22"/>
              </w:rPr>
              <w:t>Total</w:t>
            </w:r>
          </w:p>
        </w:tc>
      </w:tr>
      <w:tr w:rsidR="008E4A1C" w:rsidRPr="005F6DCC" w:rsidTr="00987128">
        <w:tc>
          <w:tcPr>
            <w:tcW w:w="2381" w:type="dxa"/>
          </w:tcPr>
          <w:p w:rsidR="008E4A1C" w:rsidRPr="005F6DCC" w:rsidRDefault="008E4A1C" w:rsidP="00987128">
            <w:pPr>
              <w:pStyle w:val="TableFigText"/>
              <w:rPr>
                <w:rFonts w:asciiTheme="minorHAnsi" w:hAnsiTheme="minorHAnsi" w:cstheme="minorHAnsi"/>
                <w:szCs w:val="22"/>
              </w:rPr>
            </w:pPr>
            <w:r w:rsidRPr="005F6DCC">
              <w:rPr>
                <w:rFonts w:asciiTheme="minorHAnsi" w:hAnsiTheme="minorHAnsi" w:cstheme="minorHAnsi"/>
                <w:szCs w:val="22"/>
              </w:rPr>
              <w:t>Public hospital services</w:t>
            </w:r>
            <w:r w:rsidRPr="005F6DCC">
              <w:rPr>
                <w:rFonts w:asciiTheme="minorHAnsi" w:hAnsiTheme="minorHAnsi" w:cstheme="minorHAnsi"/>
                <w:szCs w:val="22"/>
                <w:vertAlign w:val="superscript"/>
              </w:rPr>
              <w:t>(d)(e)</w:t>
            </w:r>
          </w:p>
        </w:tc>
        <w:tc>
          <w:tcPr>
            <w:tcW w:w="1047" w:type="dxa"/>
          </w:tcPr>
          <w:p w:rsidR="008E4A1C" w:rsidRPr="000D16C7" w:rsidRDefault="008E4A1C" w:rsidP="00987128">
            <w:pPr>
              <w:pStyle w:val="TableFigText"/>
              <w:jc w:val="right"/>
              <w:rPr>
                <w:rFonts w:asciiTheme="minorHAnsi" w:hAnsiTheme="minorHAnsi" w:cstheme="minorHAnsi"/>
                <w:szCs w:val="22"/>
              </w:rPr>
            </w:pPr>
            <w:proofErr w:type="spellStart"/>
            <w:r w:rsidRPr="009B1797">
              <w:rPr>
                <w:rFonts w:asciiTheme="minorHAnsi" w:hAnsiTheme="minorHAnsi" w:cstheme="minorHAnsi"/>
                <w:szCs w:val="22"/>
              </w:rPr>
              <w:t>n.p</w:t>
            </w:r>
            <w:proofErr w:type="spellEnd"/>
            <w:r w:rsidRPr="009B1797">
              <w:rPr>
                <w:rFonts w:asciiTheme="minorHAnsi" w:hAnsiTheme="minorHAnsi" w:cstheme="minorHAnsi"/>
                <w:szCs w:val="22"/>
              </w:rPr>
              <w:t>.</w:t>
            </w:r>
          </w:p>
        </w:tc>
        <w:tc>
          <w:tcPr>
            <w:tcW w:w="1380" w:type="dxa"/>
          </w:tcPr>
          <w:p w:rsidR="008E4A1C" w:rsidRPr="000D16C7" w:rsidRDefault="008E4A1C" w:rsidP="00987128">
            <w:pPr>
              <w:pStyle w:val="TableFigText"/>
              <w:jc w:val="right"/>
              <w:rPr>
                <w:rFonts w:asciiTheme="minorHAnsi" w:hAnsiTheme="minorHAnsi" w:cstheme="minorHAnsi"/>
                <w:szCs w:val="22"/>
              </w:rPr>
            </w:pPr>
            <w:proofErr w:type="spellStart"/>
            <w:r w:rsidRPr="009B1797">
              <w:rPr>
                <w:rFonts w:asciiTheme="minorHAnsi" w:hAnsiTheme="minorHAnsi" w:cstheme="minorHAnsi"/>
                <w:szCs w:val="22"/>
              </w:rPr>
              <w:t>n.p</w:t>
            </w:r>
            <w:proofErr w:type="spellEnd"/>
            <w:r w:rsidRPr="009B1797">
              <w:rPr>
                <w:rFonts w:asciiTheme="minorHAnsi" w:hAnsiTheme="minorHAnsi" w:cstheme="minorHAnsi"/>
                <w:szCs w:val="22"/>
              </w:rPr>
              <w:t>.</w:t>
            </w:r>
          </w:p>
        </w:tc>
        <w:tc>
          <w:tcPr>
            <w:tcW w:w="1251" w:type="dxa"/>
          </w:tcPr>
          <w:p w:rsidR="008E4A1C" w:rsidRPr="000D16C7" w:rsidRDefault="008E4A1C" w:rsidP="00987128">
            <w:pPr>
              <w:pStyle w:val="TableFigText"/>
              <w:jc w:val="right"/>
              <w:rPr>
                <w:rFonts w:asciiTheme="minorHAnsi" w:hAnsiTheme="minorHAnsi" w:cstheme="minorHAnsi"/>
                <w:szCs w:val="22"/>
              </w:rPr>
            </w:pPr>
            <w:proofErr w:type="spellStart"/>
            <w:r w:rsidRPr="009B1797">
              <w:rPr>
                <w:rFonts w:asciiTheme="minorHAnsi" w:hAnsiTheme="minorHAnsi" w:cstheme="minorHAnsi"/>
                <w:szCs w:val="22"/>
              </w:rPr>
              <w:t>n.p</w:t>
            </w:r>
            <w:proofErr w:type="spellEnd"/>
            <w:r w:rsidRPr="009B1797">
              <w:rPr>
                <w:rFonts w:asciiTheme="minorHAnsi" w:hAnsiTheme="minorHAnsi" w:cstheme="minorHAnsi"/>
                <w:szCs w:val="22"/>
              </w:rPr>
              <w:t>.</w:t>
            </w:r>
          </w:p>
        </w:tc>
        <w:tc>
          <w:tcPr>
            <w:tcW w:w="1047" w:type="dxa"/>
          </w:tcPr>
          <w:p w:rsidR="008E4A1C" w:rsidRPr="000D16C7" w:rsidRDefault="008E4A1C" w:rsidP="00987128">
            <w:pPr>
              <w:pStyle w:val="TableFigText"/>
              <w:jc w:val="right"/>
              <w:rPr>
                <w:rFonts w:asciiTheme="minorHAnsi" w:hAnsiTheme="minorHAnsi" w:cstheme="minorHAnsi"/>
                <w:szCs w:val="22"/>
              </w:rPr>
            </w:pPr>
            <w:proofErr w:type="spellStart"/>
            <w:r w:rsidRPr="009B1797">
              <w:rPr>
                <w:rFonts w:asciiTheme="minorHAnsi" w:hAnsiTheme="minorHAnsi" w:cstheme="minorHAnsi"/>
                <w:szCs w:val="22"/>
              </w:rPr>
              <w:t>n.p</w:t>
            </w:r>
            <w:proofErr w:type="spellEnd"/>
            <w:r w:rsidRPr="009B1797">
              <w:rPr>
                <w:rFonts w:asciiTheme="minorHAnsi" w:hAnsiTheme="minorHAnsi" w:cstheme="minorHAnsi"/>
                <w:szCs w:val="22"/>
              </w:rPr>
              <w:t>.</w:t>
            </w:r>
          </w:p>
        </w:tc>
        <w:tc>
          <w:tcPr>
            <w:tcW w:w="1094" w:type="dxa"/>
          </w:tcPr>
          <w:p w:rsidR="008E4A1C" w:rsidRPr="000D16C7" w:rsidRDefault="008E4A1C" w:rsidP="00987128">
            <w:pPr>
              <w:pStyle w:val="TableFigText"/>
              <w:jc w:val="right"/>
              <w:rPr>
                <w:rFonts w:asciiTheme="minorHAnsi" w:hAnsiTheme="minorHAnsi" w:cstheme="minorHAnsi"/>
                <w:szCs w:val="22"/>
              </w:rPr>
            </w:pPr>
            <w:proofErr w:type="spellStart"/>
            <w:r w:rsidRPr="009B1797">
              <w:rPr>
                <w:rFonts w:asciiTheme="minorHAnsi" w:hAnsiTheme="minorHAnsi" w:cstheme="minorHAnsi"/>
                <w:szCs w:val="22"/>
              </w:rPr>
              <w:t>n.p</w:t>
            </w:r>
            <w:proofErr w:type="spellEnd"/>
            <w:r w:rsidRPr="009B1797">
              <w:rPr>
                <w:rFonts w:asciiTheme="minorHAnsi" w:hAnsiTheme="minorHAnsi" w:cstheme="minorHAnsi"/>
                <w:szCs w:val="22"/>
              </w:rPr>
              <w:t>.</w:t>
            </w:r>
          </w:p>
        </w:tc>
        <w:tc>
          <w:tcPr>
            <w:tcW w:w="1086" w:type="dxa"/>
          </w:tcPr>
          <w:p w:rsidR="008E4A1C" w:rsidRPr="00A8582C" w:rsidRDefault="008E4A1C" w:rsidP="00987128">
            <w:pPr>
              <w:pStyle w:val="TableFigText"/>
              <w:jc w:val="right"/>
              <w:rPr>
                <w:rFonts w:asciiTheme="minorHAnsi" w:hAnsiTheme="minorHAnsi" w:cstheme="minorHAnsi"/>
                <w:szCs w:val="22"/>
              </w:rPr>
            </w:pPr>
            <w:r w:rsidRPr="00A8582C">
              <w:rPr>
                <w:rFonts w:asciiTheme="minorHAnsi" w:hAnsiTheme="minorHAnsi" w:cstheme="minorHAnsi"/>
                <w:szCs w:val="22"/>
              </w:rPr>
              <w:t>52.39</w:t>
            </w:r>
          </w:p>
        </w:tc>
      </w:tr>
      <w:tr w:rsidR="008E4A1C" w:rsidRPr="005F6DCC" w:rsidTr="00987128">
        <w:tc>
          <w:tcPr>
            <w:tcW w:w="2381" w:type="dxa"/>
          </w:tcPr>
          <w:p w:rsidR="008E4A1C" w:rsidRPr="005F6DCC" w:rsidRDefault="008E4A1C" w:rsidP="00987128">
            <w:pPr>
              <w:pStyle w:val="TableFigText"/>
              <w:rPr>
                <w:rFonts w:asciiTheme="minorHAnsi" w:hAnsiTheme="minorHAnsi" w:cstheme="minorHAnsi"/>
                <w:szCs w:val="22"/>
              </w:rPr>
            </w:pPr>
            <w:r w:rsidRPr="005F6DCC">
              <w:rPr>
                <w:rFonts w:asciiTheme="minorHAnsi" w:hAnsiTheme="minorHAnsi" w:cstheme="minorHAnsi"/>
                <w:szCs w:val="22"/>
              </w:rPr>
              <w:t>Community mental health services</w:t>
            </w:r>
          </w:p>
        </w:tc>
        <w:tc>
          <w:tcPr>
            <w:tcW w:w="1047" w:type="dxa"/>
          </w:tcPr>
          <w:p w:rsidR="008E4A1C" w:rsidRPr="000D16C7" w:rsidRDefault="008E4A1C" w:rsidP="00987128">
            <w:pPr>
              <w:pStyle w:val="TableFigText"/>
              <w:jc w:val="right"/>
              <w:rPr>
                <w:rFonts w:asciiTheme="minorHAnsi" w:hAnsiTheme="minorHAnsi" w:cstheme="minorHAnsi"/>
                <w:szCs w:val="22"/>
              </w:rPr>
            </w:pPr>
            <w:proofErr w:type="spellStart"/>
            <w:r w:rsidRPr="009B1797">
              <w:rPr>
                <w:rFonts w:asciiTheme="minorHAnsi" w:hAnsiTheme="minorHAnsi" w:cstheme="minorHAnsi"/>
                <w:szCs w:val="22"/>
              </w:rPr>
              <w:t>n.p</w:t>
            </w:r>
            <w:proofErr w:type="spellEnd"/>
            <w:r w:rsidRPr="009B1797">
              <w:rPr>
                <w:rFonts w:asciiTheme="minorHAnsi" w:hAnsiTheme="minorHAnsi" w:cstheme="minorHAnsi"/>
                <w:szCs w:val="22"/>
              </w:rPr>
              <w:t>.</w:t>
            </w:r>
          </w:p>
        </w:tc>
        <w:tc>
          <w:tcPr>
            <w:tcW w:w="1380" w:type="dxa"/>
          </w:tcPr>
          <w:p w:rsidR="008E4A1C" w:rsidRPr="000D16C7" w:rsidRDefault="008E4A1C" w:rsidP="00987128">
            <w:pPr>
              <w:pStyle w:val="TableFigText"/>
              <w:jc w:val="right"/>
              <w:rPr>
                <w:rFonts w:asciiTheme="minorHAnsi" w:hAnsiTheme="minorHAnsi" w:cstheme="minorHAnsi"/>
                <w:szCs w:val="22"/>
              </w:rPr>
            </w:pPr>
            <w:proofErr w:type="spellStart"/>
            <w:r w:rsidRPr="009B1797">
              <w:rPr>
                <w:rFonts w:asciiTheme="minorHAnsi" w:hAnsiTheme="minorHAnsi" w:cstheme="minorHAnsi"/>
                <w:szCs w:val="22"/>
              </w:rPr>
              <w:t>n.p</w:t>
            </w:r>
            <w:proofErr w:type="spellEnd"/>
            <w:r w:rsidRPr="009B1797">
              <w:rPr>
                <w:rFonts w:asciiTheme="minorHAnsi" w:hAnsiTheme="minorHAnsi" w:cstheme="minorHAnsi"/>
                <w:szCs w:val="22"/>
              </w:rPr>
              <w:t>.</w:t>
            </w:r>
          </w:p>
        </w:tc>
        <w:tc>
          <w:tcPr>
            <w:tcW w:w="1251" w:type="dxa"/>
          </w:tcPr>
          <w:p w:rsidR="008E4A1C" w:rsidRPr="000D16C7" w:rsidRDefault="008E4A1C" w:rsidP="00987128">
            <w:pPr>
              <w:pStyle w:val="TableFigText"/>
              <w:jc w:val="right"/>
              <w:rPr>
                <w:rFonts w:asciiTheme="minorHAnsi" w:hAnsiTheme="minorHAnsi" w:cstheme="minorHAnsi"/>
                <w:szCs w:val="22"/>
              </w:rPr>
            </w:pPr>
            <w:proofErr w:type="spellStart"/>
            <w:r w:rsidRPr="009B1797">
              <w:rPr>
                <w:rFonts w:asciiTheme="minorHAnsi" w:hAnsiTheme="minorHAnsi" w:cstheme="minorHAnsi"/>
                <w:szCs w:val="22"/>
              </w:rPr>
              <w:t>n.p</w:t>
            </w:r>
            <w:proofErr w:type="spellEnd"/>
            <w:r w:rsidRPr="009B1797">
              <w:rPr>
                <w:rFonts w:asciiTheme="minorHAnsi" w:hAnsiTheme="minorHAnsi" w:cstheme="minorHAnsi"/>
                <w:szCs w:val="22"/>
              </w:rPr>
              <w:t>.</w:t>
            </w:r>
          </w:p>
        </w:tc>
        <w:tc>
          <w:tcPr>
            <w:tcW w:w="1047" w:type="dxa"/>
          </w:tcPr>
          <w:p w:rsidR="008E4A1C" w:rsidRPr="000D16C7" w:rsidRDefault="008E4A1C" w:rsidP="00987128">
            <w:pPr>
              <w:pStyle w:val="TableFigText"/>
              <w:jc w:val="right"/>
              <w:rPr>
                <w:rFonts w:asciiTheme="minorHAnsi" w:hAnsiTheme="minorHAnsi" w:cstheme="minorHAnsi"/>
                <w:szCs w:val="22"/>
              </w:rPr>
            </w:pPr>
            <w:proofErr w:type="spellStart"/>
            <w:r w:rsidRPr="009B1797">
              <w:rPr>
                <w:rFonts w:asciiTheme="minorHAnsi" w:hAnsiTheme="minorHAnsi" w:cstheme="minorHAnsi"/>
                <w:szCs w:val="22"/>
              </w:rPr>
              <w:t>n.p</w:t>
            </w:r>
            <w:proofErr w:type="spellEnd"/>
            <w:r w:rsidRPr="009B1797">
              <w:rPr>
                <w:rFonts w:asciiTheme="minorHAnsi" w:hAnsiTheme="minorHAnsi" w:cstheme="minorHAnsi"/>
                <w:szCs w:val="22"/>
              </w:rPr>
              <w:t>.</w:t>
            </w:r>
          </w:p>
        </w:tc>
        <w:tc>
          <w:tcPr>
            <w:tcW w:w="1094" w:type="dxa"/>
          </w:tcPr>
          <w:p w:rsidR="008E4A1C" w:rsidRPr="000D16C7" w:rsidRDefault="008E4A1C" w:rsidP="00987128">
            <w:pPr>
              <w:pStyle w:val="TableFigText"/>
              <w:jc w:val="right"/>
              <w:rPr>
                <w:rFonts w:asciiTheme="minorHAnsi" w:hAnsiTheme="minorHAnsi" w:cstheme="minorHAnsi"/>
                <w:szCs w:val="22"/>
              </w:rPr>
            </w:pPr>
            <w:proofErr w:type="spellStart"/>
            <w:r w:rsidRPr="009B1797">
              <w:rPr>
                <w:rFonts w:asciiTheme="minorHAnsi" w:hAnsiTheme="minorHAnsi" w:cstheme="minorHAnsi"/>
                <w:szCs w:val="22"/>
              </w:rPr>
              <w:t>n.p</w:t>
            </w:r>
            <w:proofErr w:type="spellEnd"/>
            <w:r w:rsidRPr="009B1797">
              <w:rPr>
                <w:rFonts w:asciiTheme="minorHAnsi" w:hAnsiTheme="minorHAnsi" w:cstheme="minorHAnsi"/>
                <w:szCs w:val="22"/>
              </w:rPr>
              <w:t>.</w:t>
            </w:r>
          </w:p>
        </w:tc>
        <w:tc>
          <w:tcPr>
            <w:tcW w:w="1086" w:type="dxa"/>
          </w:tcPr>
          <w:p w:rsidR="008E4A1C" w:rsidRPr="00A8582C" w:rsidRDefault="008E4A1C" w:rsidP="00987128">
            <w:pPr>
              <w:pStyle w:val="TableFigText"/>
              <w:jc w:val="right"/>
              <w:rPr>
                <w:rFonts w:asciiTheme="minorHAnsi" w:hAnsiTheme="minorHAnsi" w:cstheme="minorHAnsi"/>
                <w:szCs w:val="22"/>
              </w:rPr>
            </w:pPr>
            <w:r w:rsidRPr="00A8582C">
              <w:rPr>
                <w:rFonts w:asciiTheme="minorHAnsi" w:hAnsiTheme="minorHAnsi" w:cstheme="minorHAnsi"/>
                <w:szCs w:val="22"/>
              </w:rPr>
              <w:t>95.54</w:t>
            </w:r>
          </w:p>
        </w:tc>
      </w:tr>
      <w:tr w:rsidR="008E4A1C" w:rsidRPr="005F6DCC" w:rsidTr="00987128">
        <w:tc>
          <w:tcPr>
            <w:tcW w:w="2381" w:type="dxa"/>
          </w:tcPr>
          <w:p w:rsidR="008E4A1C" w:rsidRPr="005F6DCC" w:rsidRDefault="008E4A1C" w:rsidP="00987128">
            <w:pPr>
              <w:pStyle w:val="TableFigText"/>
              <w:rPr>
                <w:rFonts w:asciiTheme="minorHAnsi" w:hAnsiTheme="minorHAnsi" w:cstheme="minorHAnsi"/>
                <w:szCs w:val="22"/>
              </w:rPr>
            </w:pPr>
            <w:r w:rsidRPr="005F6DCC">
              <w:rPr>
                <w:rFonts w:asciiTheme="minorHAnsi" w:hAnsiTheme="minorHAnsi" w:cstheme="minorHAnsi"/>
                <w:szCs w:val="22"/>
              </w:rPr>
              <w:t>Residential mental health services</w:t>
            </w:r>
            <w:r w:rsidRPr="005F6DCC">
              <w:rPr>
                <w:rFonts w:asciiTheme="minorHAnsi" w:hAnsiTheme="minorHAnsi" w:cstheme="minorHAnsi"/>
                <w:szCs w:val="22"/>
                <w:vertAlign w:val="superscript"/>
              </w:rPr>
              <w:t>(f)</w:t>
            </w:r>
          </w:p>
        </w:tc>
        <w:tc>
          <w:tcPr>
            <w:tcW w:w="1047" w:type="dxa"/>
          </w:tcPr>
          <w:p w:rsidR="008E4A1C" w:rsidRPr="000D16C7" w:rsidRDefault="008E4A1C" w:rsidP="00987128">
            <w:pPr>
              <w:pStyle w:val="TableFigText"/>
              <w:jc w:val="right"/>
              <w:rPr>
                <w:rFonts w:asciiTheme="minorHAnsi" w:hAnsiTheme="minorHAnsi" w:cstheme="minorHAnsi"/>
                <w:szCs w:val="22"/>
              </w:rPr>
            </w:pPr>
            <w:proofErr w:type="spellStart"/>
            <w:r w:rsidRPr="009B1797">
              <w:rPr>
                <w:rFonts w:asciiTheme="minorHAnsi" w:hAnsiTheme="minorHAnsi" w:cstheme="minorHAnsi"/>
                <w:szCs w:val="22"/>
              </w:rPr>
              <w:t>n.p</w:t>
            </w:r>
            <w:proofErr w:type="spellEnd"/>
            <w:r w:rsidRPr="009B1797">
              <w:rPr>
                <w:rFonts w:asciiTheme="minorHAnsi" w:hAnsiTheme="minorHAnsi" w:cstheme="minorHAnsi"/>
                <w:szCs w:val="22"/>
              </w:rPr>
              <w:t>.</w:t>
            </w:r>
          </w:p>
        </w:tc>
        <w:tc>
          <w:tcPr>
            <w:tcW w:w="1380" w:type="dxa"/>
          </w:tcPr>
          <w:p w:rsidR="008E4A1C" w:rsidRPr="000D16C7" w:rsidRDefault="008E4A1C" w:rsidP="00987128">
            <w:pPr>
              <w:pStyle w:val="TableFigText"/>
              <w:jc w:val="right"/>
              <w:rPr>
                <w:rFonts w:asciiTheme="minorHAnsi" w:hAnsiTheme="minorHAnsi" w:cstheme="minorHAnsi"/>
                <w:szCs w:val="22"/>
              </w:rPr>
            </w:pPr>
            <w:proofErr w:type="spellStart"/>
            <w:r w:rsidRPr="009B1797">
              <w:rPr>
                <w:rFonts w:asciiTheme="minorHAnsi" w:hAnsiTheme="minorHAnsi" w:cstheme="minorHAnsi"/>
                <w:szCs w:val="22"/>
              </w:rPr>
              <w:t>n.p</w:t>
            </w:r>
            <w:proofErr w:type="spellEnd"/>
            <w:r w:rsidRPr="009B1797">
              <w:rPr>
                <w:rFonts w:asciiTheme="minorHAnsi" w:hAnsiTheme="minorHAnsi" w:cstheme="minorHAnsi"/>
                <w:szCs w:val="22"/>
              </w:rPr>
              <w:t>.</w:t>
            </w:r>
          </w:p>
        </w:tc>
        <w:tc>
          <w:tcPr>
            <w:tcW w:w="1251" w:type="dxa"/>
          </w:tcPr>
          <w:p w:rsidR="008E4A1C" w:rsidRPr="000D16C7" w:rsidRDefault="008E4A1C" w:rsidP="00987128">
            <w:pPr>
              <w:pStyle w:val="TableFigText"/>
              <w:jc w:val="right"/>
              <w:rPr>
                <w:rFonts w:asciiTheme="minorHAnsi" w:hAnsiTheme="minorHAnsi" w:cstheme="minorHAnsi"/>
                <w:szCs w:val="22"/>
              </w:rPr>
            </w:pPr>
            <w:proofErr w:type="spellStart"/>
            <w:r w:rsidRPr="009B1797">
              <w:rPr>
                <w:rFonts w:asciiTheme="minorHAnsi" w:hAnsiTheme="minorHAnsi" w:cstheme="minorHAnsi"/>
                <w:szCs w:val="22"/>
              </w:rPr>
              <w:t>n.p</w:t>
            </w:r>
            <w:proofErr w:type="spellEnd"/>
            <w:r w:rsidRPr="009B1797">
              <w:rPr>
                <w:rFonts w:asciiTheme="minorHAnsi" w:hAnsiTheme="minorHAnsi" w:cstheme="minorHAnsi"/>
                <w:szCs w:val="22"/>
              </w:rPr>
              <w:t>.</w:t>
            </w:r>
          </w:p>
        </w:tc>
        <w:tc>
          <w:tcPr>
            <w:tcW w:w="1047" w:type="dxa"/>
          </w:tcPr>
          <w:p w:rsidR="008E4A1C" w:rsidRPr="000D16C7" w:rsidRDefault="008E4A1C" w:rsidP="00987128">
            <w:pPr>
              <w:pStyle w:val="TableFigText"/>
              <w:jc w:val="right"/>
              <w:rPr>
                <w:rFonts w:asciiTheme="minorHAnsi" w:hAnsiTheme="minorHAnsi" w:cstheme="minorHAnsi"/>
                <w:szCs w:val="22"/>
              </w:rPr>
            </w:pPr>
            <w:proofErr w:type="spellStart"/>
            <w:r w:rsidRPr="009B1797">
              <w:rPr>
                <w:rFonts w:asciiTheme="minorHAnsi" w:hAnsiTheme="minorHAnsi" w:cstheme="minorHAnsi"/>
                <w:szCs w:val="22"/>
              </w:rPr>
              <w:t>n.p</w:t>
            </w:r>
            <w:proofErr w:type="spellEnd"/>
            <w:r w:rsidRPr="009B1797">
              <w:rPr>
                <w:rFonts w:asciiTheme="minorHAnsi" w:hAnsiTheme="minorHAnsi" w:cstheme="minorHAnsi"/>
                <w:szCs w:val="22"/>
              </w:rPr>
              <w:t>.</w:t>
            </w:r>
          </w:p>
        </w:tc>
        <w:tc>
          <w:tcPr>
            <w:tcW w:w="1094" w:type="dxa"/>
          </w:tcPr>
          <w:p w:rsidR="008E4A1C" w:rsidRPr="000D16C7" w:rsidRDefault="008E4A1C" w:rsidP="00987128">
            <w:pPr>
              <w:pStyle w:val="TableFigText"/>
              <w:jc w:val="right"/>
              <w:rPr>
                <w:rFonts w:asciiTheme="minorHAnsi" w:hAnsiTheme="minorHAnsi" w:cstheme="minorHAnsi"/>
                <w:szCs w:val="22"/>
              </w:rPr>
            </w:pPr>
            <w:proofErr w:type="spellStart"/>
            <w:r w:rsidRPr="009B1797">
              <w:rPr>
                <w:rFonts w:asciiTheme="minorHAnsi" w:hAnsiTheme="minorHAnsi" w:cstheme="minorHAnsi"/>
                <w:szCs w:val="22"/>
              </w:rPr>
              <w:t>n.p</w:t>
            </w:r>
            <w:proofErr w:type="spellEnd"/>
            <w:r w:rsidRPr="009B1797">
              <w:rPr>
                <w:rFonts w:asciiTheme="minorHAnsi" w:hAnsiTheme="minorHAnsi" w:cstheme="minorHAnsi"/>
                <w:szCs w:val="22"/>
              </w:rPr>
              <w:t>.</w:t>
            </w:r>
          </w:p>
        </w:tc>
        <w:tc>
          <w:tcPr>
            <w:tcW w:w="1086" w:type="dxa"/>
          </w:tcPr>
          <w:p w:rsidR="008E4A1C" w:rsidRPr="00A8582C" w:rsidRDefault="008E4A1C" w:rsidP="00987128">
            <w:pPr>
              <w:pStyle w:val="TableFigText"/>
              <w:jc w:val="right"/>
              <w:rPr>
                <w:rFonts w:asciiTheme="minorHAnsi" w:hAnsiTheme="minorHAnsi" w:cstheme="minorHAnsi"/>
                <w:szCs w:val="22"/>
              </w:rPr>
            </w:pPr>
            <w:r w:rsidRPr="00A8582C">
              <w:rPr>
                <w:rFonts w:asciiTheme="minorHAnsi" w:hAnsiTheme="minorHAnsi" w:cstheme="minorHAnsi"/>
                <w:szCs w:val="22"/>
              </w:rPr>
              <w:t>29.69</w:t>
            </w:r>
          </w:p>
        </w:tc>
      </w:tr>
      <w:tr w:rsidR="008E4A1C" w:rsidRPr="005F6DCC" w:rsidTr="00987128">
        <w:tc>
          <w:tcPr>
            <w:tcW w:w="2381" w:type="dxa"/>
          </w:tcPr>
          <w:p w:rsidR="008E4A1C" w:rsidRPr="00A83097" w:rsidRDefault="008E4A1C" w:rsidP="00987128">
            <w:pPr>
              <w:pStyle w:val="TableFigText"/>
              <w:rPr>
                <w:rFonts w:asciiTheme="minorHAnsi" w:hAnsiTheme="minorHAnsi" w:cstheme="minorHAnsi"/>
                <w:b/>
                <w:szCs w:val="22"/>
              </w:rPr>
            </w:pPr>
            <w:r w:rsidRPr="00A83097">
              <w:rPr>
                <w:rFonts w:asciiTheme="minorHAnsi" w:hAnsiTheme="minorHAnsi" w:cstheme="minorHAnsi"/>
                <w:b/>
                <w:szCs w:val="22"/>
              </w:rPr>
              <w:t>All mental health service types</w:t>
            </w:r>
            <w:r w:rsidRPr="00A83097">
              <w:rPr>
                <w:rFonts w:asciiTheme="minorHAnsi" w:hAnsiTheme="minorHAnsi" w:cstheme="minorHAnsi"/>
                <w:b/>
                <w:szCs w:val="22"/>
                <w:vertAlign w:val="superscript"/>
              </w:rPr>
              <w:t>(g)</w:t>
            </w:r>
          </w:p>
        </w:tc>
        <w:tc>
          <w:tcPr>
            <w:tcW w:w="1047" w:type="dxa"/>
          </w:tcPr>
          <w:p w:rsidR="008E4A1C" w:rsidRPr="00A83097" w:rsidRDefault="008E4A1C" w:rsidP="00987128">
            <w:pPr>
              <w:pStyle w:val="TableFigText"/>
              <w:jc w:val="right"/>
              <w:rPr>
                <w:rFonts w:asciiTheme="minorHAnsi" w:hAnsiTheme="minorHAnsi" w:cstheme="minorHAnsi"/>
                <w:b/>
                <w:szCs w:val="22"/>
              </w:rPr>
            </w:pPr>
            <w:proofErr w:type="spellStart"/>
            <w:r w:rsidRPr="00A83097">
              <w:rPr>
                <w:rFonts w:asciiTheme="minorHAnsi" w:hAnsiTheme="minorHAnsi" w:cstheme="minorHAnsi"/>
                <w:b/>
                <w:szCs w:val="22"/>
              </w:rPr>
              <w:t>n.p</w:t>
            </w:r>
            <w:proofErr w:type="spellEnd"/>
            <w:r w:rsidRPr="00A83097">
              <w:rPr>
                <w:rFonts w:asciiTheme="minorHAnsi" w:hAnsiTheme="minorHAnsi" w:cstheme="minorHAnsi"/>
                <w:b/>
                <w:szCs w:val="22"/>
              </w:rPr>
              <w:t>.</w:t>
            </w:r>
          </w:p>
        </w:tc>
        <w:tc>
          <w:tcPr>
            <w:tcW w:w="1380" w:type="dxa"/>
          </w:tcPr>
          <w:p w:rsidR="008E4A1C" w:rsidRPr="00A83097" w:rsidRDefault="008E4A1C" w:rsidP="00987128">
            <w:pPr>
              <w:pStyle w:val="TableFigText"/>
              <w:jc w:val="right"/>
              <w:rPr>
                <w:rFonts w:asciiTheme="minorHAnsi" w:hAnsiTheme="minorHAnsi" w:cstheme="minorHAnsi"/>
                <w:b/>
                <w:szCs w:val="22"/>
              </w:rPr>
            </w:pPr>
            <w:proofErr w:type="spellStart"/>
            <w:r w:rsidRPr="00A83097">
              <w:rPr>
                <w:rFonts w:asciiTheme="minorHAnsi" w:hAnsiTheme="minorHAnsi" w:cstheme="minorHAnsi"/>
                <w:b/>
                <w:szCs w:val="22"/>
              </w:rPr>
              <w:t>n.p</w:t>
            </w:r>
            <w:proofErr w:type="spellEnd"/>
            <w:r w:rsidRPr="00A83097">
              <w:rPr>
                <w:rFonts w:asciiTheme="minorHAnsi" w:hAnsiTheme="minorHAnsi" w:cstheme="minorHAnsi"/>
                <w:b/>
                <w:szCs w:val="22"/>
              </w:rPr>
              <w:t>.</w:t>
            </w:r>
          </w:p>
        </w:tc>
        <w:tc>
          <w:tcPr>
            <w:tcW w:w="1251" w:type="dxa"/>
          </w:tcPr>
          <w:p w:rsidR="008E4A1C" w:rsidRPr="00A83097" w:rsidRDefault="008E4A1C" w:rsidP="00987128">
            <w:pPr>
              <w:pStyle w:val="TableFigText"/>
              <w:jc w:val="right"/>
              <w:rPr>
                <w:rFonts w:asciiTheme="minorHAnsi" w:hAnsiTheme="minorHAnsi" w:cstheme="minorHAnsi"/>
                <w:b/>
                <w:szCs w:val="22"/>
              </w:rPr>
            </w:pPr>
            <w:proofErr w:type="spellStart"/>
            <w:r w:rsidRPr="00A83097">
              <w:rPr>
                <w:rFonts w:asciiTheme="minorHAnsi" w:hAnsiTheme="minorHAnsi" w:cstheme="minorHAnsi"/>
                <w:b/>
                <w:szCs w:val="22"/>
              </w:rPr>
              <w:t>n.p</w:t>
            </w:r>
            <w:proofErr w:type="spellEnd"/>
            <w:r w:rsidRPr="00A83097">
              <w:rPr>
                <w:rFonts w:asciiTheme="minorHAnsi" w:hAnsiTheme="minorHAnsi" w:cstheme="minorHAnsi"/>
                <w:b/>
                <w:szCs w:val="22"/>
              </w:rPr>
              <w:t>.</w:t>
            </w:r>
          </w:p>
        </w:tc>
        <w:tc>
          <w:tcPr>
            <w:tcW w:w="1047" w:type="dxa"/>
          </w:tcPr>
          <w:p w:rsidR="008E4A1C" w:rsidRPr="00A83097" w:rsidRDefault="008E4A1C" w:rsidP="00987128">
            <w:pPr>
              <w:pStyle w:val="TableFigText"/>
              <w:jc w:val="right"/>
              <w:rPr>
                <w:rFonts w:asciiTheme="minorHAnsi" w:hAnsiTheme="minorHAnsi" w:cstheme="minorHAnsi"/>
                <w:b/>
                <w:szCs w:val="22"/>
              </w:rPr>
            </w:pPr>
            <w:proofErr w:type="spellStart"/>
            <w:r w:rsidRPr="00A83097">
              <w:rPr>
                <w:rFonts w:asciiTheme="minorHAnsi" w:hAnsiTheme="minorHAnsi" w:cstheme="minorHAnsi"/>
                <w:b/>
                <w:szCs w:val="22"/>
              </w:rPr>
              <w:t>n.p</w:t>
            </w:r>
            <w:proofErr w:type="spellEnd"/>
            <w:r w:rsidRPr="00A83097">
              <w:rPr>
                <w:rFonts w:asciiTheme="minorHAnsi" w:hAnsiTheme="minorHAnsi" w:cstheme="minorHAnsi"/>
                <w:b/>
                <w:szCs w:val="22"/>
              </w:rPr>
              <w:t>.</w:t>
            </w:r>
          </w:p>
        </w:tc>
        <w:tc>
          <w:tcPr>
            <w:tcW w:w="1094" w:type="dxa"/>
          </w:tcPr>
          <w:p w:rsidR="008E4A1C" w:rsidRPr="00A83097" w:rsidRDefault="008E4A1C" w:rsidP="00987128">
            <w:pPr>
              <w:pStyle w:val="TableFigText"/>
              <w:jc w:val="right"/>
              <w:rPr>
                <w:rFonts w:asciiTheme="minorHAnsi" w:hAnsiTheme="minorHAnsi" w:cstheme="minorHAnsi"/>
                <w:b/>
                <w:szCs w:val="22"/>
              </w:rPr>
            </w:pPr>
            <w:proofErr w:type="spellStart"/>
            <w:r w:rsidRPr="00A83097">
              <w:rPr>
                <w:rFonts w:asciiTheme="minorHAnsi" w:hAnsiTheme="minorHAnsi" w:cstheme="minorHAnsi"/>
                <w:b/>
                <w:szCs w:val="22"/>
              </w:rPr>
              <w:t>n.p</w:t>
            </w:r>
            <w:proofErr w:type="spellEnd"/>
            <w:r w:rsidRPr="00A83097">
              <w:rPr>
                <w:rFonts w:asciiTheme="minorHAnsi" w:hAnsiTheme="minorHAnsi" w:cstheme="minorHAnsi"/>
                <w:b/>
                <w:szCs w:val="22"/>
              </w:rPr>
              <w:t>.</w:t>
            </w:r>
          </w:p>
        </w:tc>
        <w:tc>
          <w:tcPr>
            <w:tcW w:w="1086" w:type="dxa"/>
          </w:tcPr>
          <w:p w:rsidR="008E4A1C" w:rsidRPr="00A83097" w:rsidRDefault="00631EB9" w:rsidP="00987128">
            <w:pPr>
              <w:pStyle w:val="TableFigText"/>
              <w:jc w:val="right"/>
              <w:rPr>
                <w:rFonts w:asciiTheme="minorHAnsi" w:hAnsiTheme="minorHAnsi"/>
                <w:b/>
              </w:rPr>
            </w:pPr>
            <w:proofErr w:type="spellStart"/>
            <w:r w:rsidRPr="00A83097">
              <w:rPr>
                <w:rFonts w:asciiTheme="minorHAnsi" w:hAnsiTheme="minorHAnsi" w:cstheme="minorHAnsi"/>
                <w:b/>
                <w:szCs w:val="22"/>
              </w:rPr>
              <w:t>n.p</w:t>
            </w:r>
            <w:proofErr w:type="spellEnd"/>
            <w:r w:rsidRPr="00A83097">
              <w:rPr>
                <w:rFonts w:asciiTheme="minorHAnsi" w:hAnsiTheme="minorHAnsi" w:cstheme="minorHAnsi"/>
                <w:b/>
                <w:szCs w:val="22"/>
              </w:rPr>
              <w:t>.</w:t>
            </w:r>
          </w:p>
        </w:tc>
      </w:tr>
    </w:tbl>
    <w:p w:rsidR="008E4A1C" w:rsidRPr="00CC76C9" w:rsidRDefault="008E4A1C" w:rsidP="008E4A1C">
      <w:pPr>
        <w:pStyle w:val="TableFigNotesnumbered"/>
        <w:rPr>
          <w:rStyle w:val="table-note"/>
        </w:rPr>
      </w:pPr>
      <w:proofErr w:type="spellStart"/>
      <w:proofErr w:type="gramStart"/>
      <w:r w:rsidRPr="00CC76C9">
        <w:rPr>
          <w:rStyle w:val="table-note"/>
        </w:rPr>
        <w:t>n.p</w:t>
      </w:r>
      <w:proofErr w:type="spellEnd"/>
      <w:r w:rsidRPr="00CC76C9">
        <w:rPr>
          <w:rStyle w:val="table-note"/>
        </w:rPr>
        <w:t>.</w:t>
      </w:r>
      <w:proofErr w:type="gramEnd"/>
      <w:r w:rsidRPr="00CC76C9">
        <w:rPr>
          <w:rStyle w:val="table-note"/>
        </w:rPr>
        <w:t xml:space="preserve"> Not published.</w:t>
      </w:r>
    </w:p>
    <w:p w:rsidR="008E4A1C" w:rsidRPr="00CC76C9" w:rsidRDefault="008E4A1C" w:rsidP="00540186">
      <w:pPr>
        <w:pStyle w:val="TableFigNotesnumbered"/>
        <w:numPr>
          <w:ilvl w:val="0"/>
          <w:numId w:val="53"/>
        </w:numPr>
        <w:rPr>
          <w:rStyle w:val="table-note"/>
        </w:rPr>
      </w:pPr>
      <w:r w:rsidRPr="00CC76C9">
        <w:rPr>
          <w:rStyle w:val="table-note"/>
        </w:rPr>
        <w:t>Expenditure excludes depreciation.</w:t>
      </w:r>
    </w:p>
    <w:p w:rsidR="008E4A1C" w:rsidRPr="00CC76C9" w:rsidRDefault="008E4A1C" w:rsidP="00540186">
      <w:pPr>
        <w:pStyle w:val="TableFigNotesnumbered"/>
        <w:numPr>
          <w:ilvl w:val="0"/>
          <w:numId w:val="53"/>
        </w:numPr>
        <w:rPr>
          <w:rStyle w:val="table-note"/>
        </w:rPr>
      </w:pPr>
      <w:r w:rsidRPr="00CC76C9">
        <w:rPr>
          <w:rStyle w:val="table-note"/>
        </w:rPr>
        <w:t xml:space="preserve">Expenditure excludes grants to non-government organisations and indirect expenditure at the state/territory, region and organisation levels not apportioned to service units. </w:t>
      </w:r>
    </w:p>
    <w:p w:rsidR="008E4A1C" w:rsidRPr="00CC76C9" w:rsidRDefault="008E4A1C" w:rsidP="00540186">
      <w:pPr>
        <w:pStyle w:val="TableFigNotesnumbered"/>
        <w:numPr>
          <w:ilvl w:val="0"/>
          <w:numId w:val="53"/>
        </w:numPr>
        <w:rPr>
          <w:rStyle w:val="table-note"/>
        </w:rPr>
      </w:pPr>
      <w:r w:rsidRPr="00CC76C9">
        <w:rPr>
          <w:rStyle w:val="table-note"/>
        </w:rPr>
        <w:t>Crude rate is based on the state and territory estimated resident population by remoteness area as at 3</w:t>
      </w:r>
      <w:r w:rsidR="00631EB9" w:rsidRPr="00CC76C9">
        <w:rPr>
          <w:rStyle w:val="table-note"/>
        </w:rPr>
        <w:t xml:space="preserve">1 December </w:t>
      </w:r>
      <w:r w:rsidRPr="00CC76C9">
        <w:rPr>
          <w:rStyle w:val="table-note"/>
        </w:rPr>
        <w:t>June 2011.</w:t>
      </w:r>
    </w:p>
    <w:p w:rsidR="008E4A1C" w:rsidRPr="00CC76C9" w:rsidRDefault="008E4A1C" w:rsidP="00540186">
      <w:pPr>
        <w:pStyle w:val="TableFigNotesnumbered"/>
        <w:numPr>
          <w:ilvl w:val="0"/>
          <w:numId w:val="53"/>
        </w:numPr>
        <w:rPr>
          <w:rStyle w:val="table-note"/>
        </w:rPr>
      </w:pPr>
      <w:r w:rsidRPr="00CC76C9">
        <w:rPr>
          <w:rStyle w:val="table-note"/>
        </w:rPr>
        <w:lastRenderedPageBreak/>
        <w:t>Includes public hospital services managed and operated by private and non-government entities.</w:t>
      </w:r>
    </w:p>
    <w:p w:rsidR="008E4A1C" w:rsidRPr="00CC76C9" w:rsidRDefault="008E4A1C" w:rsidP="00540186">
      <w:pPr>
        <w:pStyle w:val="TableFigNotesnumbered"/>
        <w:numPr>
          <w:ilvl w:val="0"/>
          <w:numId w:val="53"/>
        </w:numPr>
        <w:rPr>
          <w:rStyle w:val="table-note"/>
        </w:rPr>
      </w:pPr>
      <w:r w:rsidRPr="00CC76C9">
        <w:rPr>
          <w:rStyle w:val="table-note"/>
        </w:rPr>
        <w:t>Public psychiatric hospitals and specialised psychiatric units or wards in public acute hospitals include expenditure on admitted patient services only. Public hospitals outpatient departments are included in community mental health care services.</w:t>
      </w:r>
    </w:p>
    <w:p w:rsidR="008E4A1C" w:rsidRPr="00CC76C9" w:rsidRDefault="008E4A1C" w:rsidP="00540186">
      <w:pPr>
        <w:pStyle w:val="TableFigNotesnumbered"/>
        <w:numPr>
          <w:ilvl w:val="0"/>
          <w:numId w:val="53"/>
        </w:numPr>
        <w:rPr>
          <w:rStyle w:val="table-note"/>
        </w:rPr>
      </w:pPr>
      <w:r w:rsidRPr="00CC76C9">
        <w:rPr>
          <w:rStyle w:val="table-note"/>
        </w:rPr>
        <w:t>Residential mental health services include the total operating costs for partially or wholly government funded non-government-operated residential mental health services.</w:t>
      </w:r>
      <w:r w:rsidRPr="00CC76C9">
        <w:rPr>
          <w:rStyle w:val="table-note"/>
        </w:rPr>
        <w:tab/>
      </w:r>
    </w:p>
    <w:p w:rsidR="008E4A1C" w:rsidRPr="00CC76C9" w:rsidRDefault="008E4A1C" w:rsidP="00540186">
      <w:pPr>
        <w:pStyle w:val="TableFigNotesnumbered"/>
        <w:numPr>
          <w:ilvl w:val="0"/>
          <w:numId w:val="53"/>
        </w:numPr>
        <w:rPr>
          <w:rStyle w:val="table-note"/>
        </w:rPr>
      </w:pPr>
      <w:r w:rsidRPr="00CC76C9">
        <w:rPr>
          <w:rStyle w:val="table-note"/>
        </w:rPr>
        <w:t>Totals may not add due to rounding.</w:t>
      </w:r>
    </w:p>
    <w:p w:rsidR="008E4A1C" w:rsidRPr="00CC76C9" w:rsidRDefault="008E4A1C" w:rsidP="008E4A1C">
      <w:pPr>
        <w:pStyle w:val="TableFigNotesnumbered"/>
        <w:ind w:left="0" w:firstLine="0"/>
        <w:rPr>
          <w:rStyle w:val="table-note"/>
        </w:rPr>
      </w:pPr>
      <w:r w:rsidRPr="00CC76C9">
        <w:rPr>
          <w:rStyle w:val="table-note"/>
        </w:rPr>
        <w:t>Source: National Mental Health Establishments Database.</w:t>
      </w:r>
    </w:p>
    <w:p w:rsidR="008E4A1C" w:rsidRPr="008A3F74" w:rsidRDefault="008A3F74" w:rsidP="008E4A1C">
      <w:pPr>
        <w:pStyle w:val="TableCaption"/>
        <w:keepLines w:val="0"/>
        <w:rPr>
          <w:rStyle w:val="table-note"/>
        </w:rPr>
      </w:pPr>
      <w:r w:rsidRPr="008A3F74">
        <w:rPr>
          <w:rStyle w:val="table-note"/>
        </w:rPr>
        <w:t xml:space="preserve">Table 76: </w:t>
      </w:r>
      <w:r w:rsidR="008E4A1C" w:rsidRPr="008A3F74">
        <w:rPr>
          <w:rStyle w:val="table-note"/>
        </w:rPr>
        <w:t xml:space="preserve">ACT: Number of specialised mental health beds, by service type, 2007–08 </w:t>
      </w:r>
    </w:p>
    <w:tbl>
      <w:tblPr>
        <w:tblStyle w:val="TableGrid"/>
        <w:tblW w:w="0" w:type="auto"/>
        <w:tblLook w:val="04A0" w:firstRow="1" w:lastRow="0" w:firstColumn="1" w:lastColumn="0" w:noHBand="0" w:noVBand="1"/>
        <w:tblCaption w:val="ACT: Number of specialised mental health beds, by service type, 2007–08 "/>
        <w:tblDescription w:val="Table showing that, in 2007-2008, in the ACT there were 70 specialised psychiatric units or wards in public acute hospitals and 77 residential mental health care services."/>
      </w:tblPr>
      <w:tblGrid>
        <w:gridCol w:w="2403"/>
        <w:gridCol w:w="1059"/>
        <w:gridCol w:w="1398"/>
        <w:gridCol w:w="1266"/>
        <w:gridCol w:w="1056"/>
        <w:gridCol w:w="1105"/>
        <w:gridCol w:w="999"/>
      </w:tblGrid>
      <w:tr w:rsidR="008E4A1C" w:rsidRPr="001B1E83" w:rsidTr="000C3DEA">
        <w:trPr>
          <w:tblHeader/>
        </w:trPr>
        <w:tc>
          <w:tcPr>
            <w:tcW w:w="2403" w:type="dxa"/>
          </w:tcPr>
          <w:p w:rsidR="008E4A1C" w:rsidRPr="001B1E83" w:rsidRDefault="008E4A1C" w:rsidP="00987128">
            <w:pPr>
              <w:pStyle w:val="TableFigText"/>
              <w:keepNext/>
              <w:keepLines w:val="0"/>
              <w:rPr>
                <w:rFonts w:asciiTheme="minorHAnsi" w:hAnsiTheme="minorHAnsi" w:cstheme="minorHAnsi"/>
                <w:szCs w:val="22"/>
              </w:rPr>
            </w:pPr>
          </w:p>
        </w:tc>
        <w:tc>
          <w:tcPr>
            <w:tcW w:w="1059" w:type="dxa"/>
          </w:tcPr>
          <w:p w:rsidR="008E4A1C" w:rsidRPr="001B1E83" w:rsidRDefault="008E4A1C" w:rsidP="00987128">
            <w:pPr>
              <w:pStyle w:val="TableFigText"/>
              <w:keepNext/>
              <w:keepLines w:val="0"/>
              <w:jc w:val="right"/>
              <w:rPr>
                <w:rFonts w:asciiTheme="minorHAnsi" w:hAnsiTheme="minorHAnsi" w:cstheme="minorHAnsi"/>
                <w:b/>
                <w:szCs w:val="22"/>
              </w:rPr>
            </w:pPr>
            <w:r w:rsidRPr="001B1E83">
              <w:rPr>
                <w:rFonts w:asciiTheme="minorHAnsi" w:hAnsiTheme="minorHAnsi" w:cstheme="minorHAnsi"/>
                <w:b/>
                <w:szCs w:val="22"/>
              </w:rPr>
              <w:t>Major cities</w:t>
            </w:r>
          </w:p>
        </w:tc>
        <w:tc>
          <w:tcPr>
            <w:tcW w:w="1398" w:type="dxa"/>
          </w:tcPr>
          <w:p w:rsidR="008E4A1C" w:rsidRPr="001B1E83" w:rsidRDefault="008E4A1C" w:rsidP="00987128">
            <w:pPr>
              <w:pStyle w:val="TableFigText"/>
              <w:keepNext/>
              <w:keepLines w:val="0"/>
              <w:jc w:val="right"/>
              <w:rPr>
                <w:rFonts w:asciiTheme="minorHAnsi" w:hAnsiTheme="minorHAnsi" w:cstheme="minorHAnsi"/>
                <w:b/>
                <w:szCs w:val="22"/>
              </w:rPr>
            </w:pPr>
            <w:r w:rsidRPr="001B1E83">
              <w:rPr>
                <w:rFonts w:asciiTheme="minorHAnsi" w:hAnsiTheme="minorHAnsi" w:cstheme="minorHAnsi"/>
                <w:b/>
                <w:szCs w:val="22"/>
              </w:rPr>
              <w:t>Inner regional</w:t>
            </w:r>
          </w:p>
        </w:tc>
        <w:tc>
          <w:tcPr>
            <w:tcW w:w="1266" w:type="dxa"/>
          </w:tcPr>
          <w:p w:rsidR="008E4A1C" w:rsidRPr="001B1E83" w:rsidRDefault="008E4A1C" w:rsidP="00987128">
            <w:pPr>
              <w:pStyle w:val="TableFigText"/>
              <w:keepNext/>
              <w:keepLines w:val="0"/>
              <w:jc w:val="right"/>
              <w:rPr>
                <w:rFonts w:asciiTheme="minorHAnsi" w:hAnsiTheme="minorHAnsi" w:cstheme="minorHAnsi"/>
                <w:b/>
                <w:szCs w:val="22"/>
              </w:rPr>
            </w:pPr>
            <w:r w:rsidRPr="001B1E83">
              <w:rPr>
                <w:rFonts w:asciiTheme="minorHAnsi" w:hAnsiTheme="minorHAnsi" w:cstheme="minorHAnsi"/>
                <w:b/>
                <w:szCs w:val="22"/>
              </w:rPr>
              <w:t>Outer regional</w:t>
            </w:r>
          </w:p>
        </w:tc>
        <w:tc>
          <w:tcPr>
            <w:tcW w:w="1056" w:type="dxa"/>
          </w:tcPr>
          <w:p w:rsidR="008E4A1C" w:rsidRPr="001B1E83" w:rsidRDefault="008E4A1C" w:rsidP="00987128">
            <w:pPr>
              <w:pStyle w:val="TableFigText"/>
              <w:keepNext/>
              <w:keepLines w:val="0"/>
              <w:jc w:val="right"/>
              <w:rPr>
                <w:rFonts w:asciiTheme="minorHAnsi" w:hAnsiTheme="minorHAnsi" w:cstheme="minorHAnsi"/>
                <w:b/>
                <w:szCs w:val="22"/>
              </w:rPr>
            </w:pPr>
            <w:r w:rsidRPr="001B1E83">
              <w:rPr>
                <w:rFonts w:asciiTheme="minorHAnsi" w:hAnsiTheme="minorHAnsi" w:cstheme="minorHAnsi"/>
                <w:b/>
                <w:szCs w:val="22"/>
              </w:rPr>
              <w:t>Remote</w:t>
            </w:r>
          </w:p>
        </w:tc>
        <w:tc>
          <w:tcPr>
            <w:tcW w:w="1105" w:type="dxa"/>
          </w:tcPr>
          <w:p w:rsidR="008E4A1C" w:rsidRPr="001B1E83" w:rsidRDefault="008E4A1C" w:rsidP="00987128">
            <w:pPr>
              <w:pStyle w:val="TableFigText"/>
              <w:keepNext/>
              <w:keepLines w:val="0"/>
              <w:jc w:val="right"/>
              <w:rPr>
                <w:rFonts w:asciiTheme="minorHAnsi" w:hAnsiTheme="minorHAnsi" w:cstheme="minorHAnsi"/>
                <w:b/>
                <w:szCs w:val="22"/>
              </w:rPr>
            </w:pPr>
            <w:r w:rsidRPr="001B1E83">
              <w:rPr>
                <w:rFonts w:asciiTheme="minorHAnsi" w:hAnsiTheme="minorHAnsi" w:cstheme="minorHAnsi"/>
                <w:b/>
                <w:szCs w:val="22"/>
              </w:rPr>
              <w:t>Very remote</w:t>
            </w:r>
          </w:p>
        </w:tc>
        <w:tc>
          <w:tcPr>
            <w:tcW w:w="999" w:type="dxa"/>
          </w:tcPr>
          <w:p w:rsidR="008E4A1C" w:rsidRPr="001B1E83" w:rsidRDefault="008E4A1C" w:rsidP="00987128">
            <w:pPr>
              <w:pStyle w:val="TableFigText"/>
              <w:keepNext/>
              <w:keepLines w:val="0"/>
              <w:jc w:val="right"/>
              <w:rPr>
                <w:rFonts w:asciiTheme="minorHAnsi" w:hAnsiTheme="minorHAnsi" w:cstheme="minorHAnsi"/>
                <w:b/>
                <w:szCs w:val="22"/>
              </w:rPr>
            </w:pPr>
            <w:r w:rsidRPr="001B1E83">
              <w:rPr>
                <w:rFonts w:asciiTheme="minorHAnsi" w:hAnsiTheme="minorHAnsi" w:cstheme="minorHAnsi"/>
                <w:b/>
                <w:szCs w:val="22"/>
              </w:rPr>
              <w:t>Total</w:t>
            </w:r>
          </w:p>
        </w:tc>
      </w:tr>
      <w:tr w:rsidR="008E4A1C" w:rsidRPr="001B1E83" w:rsidTr="00987128">
        <w:tc>
          <w:tcPr>
            <w:tcW w:w="2403" w:type="dxa"/>
          </w:tcPr>
          <w:p w:rsidR="008E4A1C" w:rsidRPr="001B1E83" w:rsidRDefault="008E4A1C" w:rsidP="00987128">
            <w:pPr>
              <w:pStyle w:val="TableFigText"/>
              <w:keepNext/>
              <w:keepLines w:val="0"/>
              <w:rPr>
                <w:rFonts w:asciiTheme="minorHAnsi" w:hAnsiTheme="minorHAnsi" w:cstheme="minorHAnsi"/>
                <w:szCs w:val="22"/>
              </w:rPr>
            </w:pPr>
            <w:r w:rsidRPr="001B1E83">
              <w:rPr>
                <w:rFonts w:asciiTheme="minorHAnsi" w:hAnsiTheme="minorHAnsi" w:cstheme="minorHAnsi"/>
                <w:szCs w:val="22"/>
              </w:rPr>
              <w:t>Specialised psychiatric units or wards in public acute hospitals</w:t>
            </w:r>
          </w:p>
        </w:tc>
        <w:tc>
          <w:tcPr>
            <w:tcW w:w="1059" w:type="dxa"/>
          </w:tcPr>
          <w:p w:rsidR="008E4A1C" w:rsidRPr="00D8601A" w:rsidRDefault="008E4A1C" w:rsidP="00987128">
            <w:pPr>
              <w:pStyle w:val="TableFigText"/>
              <w:jc w:val="right"/>
              <w:rPr>
                <w:rFonts w:asciiTheme="minorHAnsi" w:hAnsiTheme="minorHAnsi" w:cstheme="minorHAnsi"/>
                <w:szCs w:val="22"/>
              </w:rPr>
            </w:pPr>
            <w:proofErr w:type="spellStart"/>
            <w:r w:rsidRPr="00C66062">
              <w:rPr>
                <w:rFonts w:asciiTheme="minorHAnsi" w:hAnsiTheme="minorHAnsi" w:cstheme="minorHAnsi"/>
                <w:szCs w:val="22"/>
              </w:rPr>
              <w:t>n.p</w:t>
            </w:r>
            <w:proofErr w:type="spellEnd"/>
            <w:r w:rsidRPr="00C66062">
              <w:rPr>
                <w:rFonts w:asciiTheme="minorHAnsi" w:hAnsiTheme="minorHAnsi" w:cstheme="minorHAnsi"/>
                <w:szCs w:val="22"/>
              </w:rPr>
              <w:t>.</w:t>
            </w:r>
          </w:p>
        </w:tc>
        <w:tc>
          <w:tcPr>
            <w:tcW w:w="1398" w:type="dxa"/>
          </w:tcPr>
          <w:p w:rsidR="008E4A1C" w:rsidRPr="00D8601A" w:rsidRDefault="008E4A1C" w:rsidP="00987128">
            <w:pPr>
              <w:pStyle w:val="TableFigText"/>
              <w:jc w:val="right"/>
              <w:rPr>
                <w:rFonts w:asciiTheme="minorHAnsi" w:hAnsiTheme="minorHAnsi" w:cstheme="minorHAnsi"/>
                <w:szCs w:val="22"/>
              </w:rPr>
            </w:pPr>
            <w:proofErr w:type="spellStart"/>
            <w:r w:rsidRPr="00C66062">
              <w:rPr>
                <w:rFonts w:asciiTheme="minorHAnsi" w:hAnsiTheme="minorHAnsi" w:cstheme="minorHAnsi"/>
                <w:szCs w:val="22"/>
              </w:rPr>
              <w:t>n.p</w:t>
            </w:r>
            <w:proofErr w:type="spellEnd"/>
            <w:r w:rsidRPr="00C66062">
              <w:rPr>
                <w:rFonts w:asciiTheme="minorHAnsi" w:hAnsiTheme="minorHAnsi" w:cstheme="minorHAnsi"/>
                <w:szCs w:val="22"/>
              </w:rPr>
              <w:t>.</w:t>
            </w:r>
          </w:p>
        </w:tc>
        <w:tc>
          <w:tcPr>
            <w:tcW w:w="1266" w:type="dxa"/>
          </w:tcPr>
          <w:p w:rsidR="008E4A1C" w:rsidRPr="00D8601A" w:rsidRDefault="008E4A1C" w:rsidP="00987128">
            <w:pPr>
              <w:pStyle w:val="TableFigText"/>
              <w:jc w:val="right"/>
              <w:rPr>
                <w:rFonts w:asciiTheme="minorHAnsi" w:hAnsiTheme="minorHAnsi" w:cstheme="minorHAnsi"/>
                <w:szCs w:val="22"/>
              </w:rPr>
            </w:pPr>
            <w:proofErr w:type="spellStart"/>
            <w:r w:rsidRPr="00C66062">
              <w:rPr>
                <w:rFonts w:asciiTheme="minorHAnsi" w:hAnsiTheme="minorHAnsi" w:cstheme="minorHAnsi"/>
                <w:szCs w:val="22"/>
              </w:rPr>
              <w:t>n.p</w:t>
            </w:r>
            <w:proofErr w:type="spellEnd"/>
            <w:r w:rsidRPr="00C66062">
              <w:rPr>
                <w:rFonts w:asciiTheme="minorHAnsi" w:hAnsiTheme="minorHAnsi" w:cstheme="minorHAnsi"/>
                <w:szCs w:val="22"/>
              </w:rPr>
              <w:t>.</w:t>
            </w:r>
          </w:p>
        </w:tc>
        <w:tc>
          <w:tcPr>
            <w:tcW w:w="1056" w:type="dxa"/>
          </w:tcPr>
          <w:p w:rsidR="008E4A1C" w:rsidRPr="00D8601A" w:rsidRDefault="008E4A1C" w:rsidP="00987128">
            <w:pPr>
              <w:pStyle w:val="TableFigText"/>
              <w:jc w:val="right"/>
              <w:rPr>
                <w:rFonts w:asciiTheme="minorHAnsi" w:hAnsiTheme="minorHAnsi" w:cstheme="minorHAnsi"/>
                <w:szCs w:val="22"/>
              </w:rPr>
            </w:pPr>
            <w:proofErr w:type="spellStart"/>
            <w:r w:rsidRPr="00C66062">
              <w:rPr>
                <w:rFonts w:asciiTheme="minorHAnsi" w:hAnsiTheme="minorHAnsi" w:cstheme="minorHAnsi"/>
                <w:szCs w:val="22"/>
              </w:rPr>
              <w:t>n.p</w:t>
            </w:r>
            <w:proofErr w:type="spellEnd"/>
            <w:r w:rsidRPr="00C66062">
              <w:rPr>
                <w:rFonts w:asciiTheme="minorHAnsi" w:hAnsiTheme="minorHAnsi" w:cstheme="minorHAnsi"/>
                <w:szCs w:val="22"/>
              </w:rPr>
              <w:t>.</w:t>
            </w:r>
          </w:p>
        </w:tc>
        <w:tc>
          <w:tcPr>
            <w:tcW w:w="1105" w:type="dxa"/>
          </w:tcPr>
          <w:p w:rsidR="008E4A1C" w:rsidRPr="00D8601A" w:rsidRDefault="008E4A1C" w:rsidP="00987128">
            <w:pPr>
              <w:pStyle w:val="TableFigText"/>
              <w:jc w:val="right"/>
              <w:rPr>
                <w:rFonts w:asciiTheme="minorHAnsi" w:hAnsiTheme="minorHAnsi" w:cstheme="minorHAnsi"/>
                <w:szCs w:val="22"/>
              </w:rPr>
            </w:pPr>
            <w:proofErr w:type="spellStart"/>
            <w:r w:rsidRPr="00C66062">
              <w:rPr>
                <w:rFonts w:asciiTheme="minorHAnsi" w:hAnsiTheme="minorHAnsi" w:cstheme="minorHAnsi"/>
                <w:szCs w:val="22"/>
              </w:rPr>
              <w:t>n.p</w:t>
            </w:r>
            <w:proofErr w:type="spellEnd"/>
            <w:r w:rsidRPr="00C66062">
              <w:rPr>
                <w:rFonts w:asciiTheme="minorHAnsi" w:hAnsiTheme="minorHAnsi" w:cstheme="minorHAnsi"/>
                <w:szCs w:val="22"/>
              </w:rPr>
              <w:t>.</w:t>
            </w:r>
          </w:p>
        </w:tc>
        <w:tc>
          <w:tcPr>
            <w:tcW w:w="999" w:type="dxa"/>
            <w:vAlign w:val="center"/>
          </w:tcPr>
          <w:p w:rsidR="008E4A1C" w:rsidRPr="001B1E83" w:rsidRDefault="008E4A1C" w:rsidP="00987128">
            <w:pPr>
              <w:pStyle w:val="TableFigText"/>
              <w:jc w:val="right"/>
              <w:rPr>
                <w:rFonts w:asciiTheme="minorHAnsi" w:hAnsiTheme="minorHAnsi" w:cstheme="minorHAnsi"/>
                <w:szCs w:val="22"/>
              </w:rPr>
            </w:pPr>
            <w:r>
              <w:rPr>
                <w:rFonts w:asciiTheme="minorHAnsi" w:hAnsiTheme="minorHAnsi" w:cstheme="minorHAnsi"/>
                <w:szCs w:val="22"/>
              </w:rPr>
              <w:t>70</w:t>
            </w:r>
          </w:p>
        </w:tc>
      </w:tr>
      <w:tr w:rsidR="008E4A1C" w:rsidRPr="001B1E83" w:rsidTr="00987128">
        <w:tc>
          <w:tcPr>
            <w:tcW w:w="2403" w:type="dxa"/>
          </w:tcPr>
          <w:p w:rsidR="008E4A1C" w:rsidRPr="001B1E83" w:rsidRDefault="008E4A1C" w:rsidP="00987128">
            <w:pPr>
              <w:pStyle w:val="TableFigText"/>
              <w:keepNext/>
              <w:keepLines w:val="0"/>
              <w:rPr>
                <w:rFonts w:asciiTheme="minorHAnsi" w:hAnsiTheme="minorHAnsi" w:cstheme="minorHAnsi"/>
                <w:szCs w:val="22"/>
              </w:rPr>
            </w:pPr>
            <w:r w:rsidRPr="001B1E83">
              <w:rPr>
                <w:rFonts w:asciiTheme="minorHAnsi" w:hAnsiTheme="minorHAnsi" w:cstheme="minorHAnsi"/>
                <w:szCs w:val="22"/>
              </w:rPr>
              <w:t>Public psychiatric hospital services</w:t>
            </w:r>
          </w:p>
        </w:tc>
        <w:tc>
          <w:tcPr>
            <w:tcW w:w="1059" w:type="dxa"/>
          </w:tcPr>
          <w:p w:rsidR="008E4A1C" w:rsidRPr="00D8601A" w:rsidRDefault="008E4A1C" w:rsidP="00987128">
            <w:pPr>
              <w:pStyle w:val="TableFigText"/>
              <w:jc w:val="right"/>
              <w:rPr>
                <w:rFonts w:asciiTheme="minorHAnsi" w:hAnsiTheme="minorHAnsi" w:cstheme="minorHAnsi"/>
                <w:szCs w:val="22"/>
              </w:rPr>
            </w:pPr>
            <w:proofErr w:type="spellStart"/>
            <w:r w:rsidRPr="00C66062">
              <w:rPr>
                <w:rFonts w:asciiTheme="minorHAnsi" w:hAnsiTheme="minorHAnsi" w:cstheme="minorHAnsi"/>
                <w:szCs w:val="22"/>
              </w:rPr>
              <w:t>n.p</w:t>
            </w:r>
            <w:proofErr w:type="spellEnd"/>
            <w:r w:rsidRPr="00C66062">
              <w:rPr>
                <w:rFonts w:asciiTheme="minorHAnsi" w:hAnsiTheme="minorHAnsi" w:cstheme="minorHAnsi"/>
                <w:szCs w:val="22"/>
              </w:rPr>
              <w:t>.</w:t>
            </w:r>
          </w:p>
        </w:tc>
        <w:tc>
          <w:tcPr>
            <w:tcW w:w="1398" w:type="dxa"/>
          </w:tcPr>
          <w:p w:rsidR="008E4A1C" w:rsidRPr="00D8601A" w:rsidRDefault="008E4A1C" w:rsidP="00987128">
            <w:pPr>
              <w:pStyle w:val="TableFigText"/>
              <w:jc w:val="right"/>
              <w:rPr>
                <w:rFonts w:asciiTheme="minorHAnsi" w:hAnsiTheme="minorHAnsi" w:cstheme="minorHAnsi"/>
                <w:szCs w:val="22"/>
              </w:rPr>
            </w:pPr>
            <w:proofErr w:type="spellStart"/>
            <w:r w:rsidRPr="00C66062">
              <w:rPr>
                <w:rFonts w:asciiTheme="minorHAnsi" w:hAnsiTheme="minorHAnsi" w:cstheme="minorHAnsi"/>
                <w:szCs w:val="22"/>
              </w:rPr>
              <w:t>n.p</w:t>
            </w:r>
            <w:proofErr w:type="spellEnd"/>
            <w:r w:rsidRPr="00C66062">
              <w:rPr>
                <w:rFonts w:asciiTheme="minorHAnsi" w:hAnsiTheme="minorHAnsi" w:cstheme="minorHAnsi"/>
                <w:szCs w:val="22"/>
              </w:rPr>
              <w:t>.</w:t>
            </w:r>
          </w:p>
        </w:tc>
        <w:tc>
          <w:tcPr>
            <w:tcW w:w="1266" w:type="dxa"/>
          </w:tcPr>
          <w:p w:rsidR="008E4A1C" w:rsidRPr="00D8601A" w:rsidRDefault="008E4A1C" w:rsidP="00987128">
            <w:pPr>
              <w:pStyle w:val="TableFigText"/>
              <w:jc w:val="right"/>
              <w:rPr>
                <w:rFonts w:asciiTheme="minorHAnsi" w:hAnsiTheme="minorHAnsi" w:cstheme="minorHAnsi"/>
                <w:szCs w:val="22"/>
              </w:rPr>
            </w:pPr>
            <w:proofErr w:type="spellStart"/>
            <w:r w:rsidRPr="00C66062">
              <w:rPr>
                <w:rFonts w:asciiTheme="minorHAnsi" w:hAnsiTheme="minorHAnsi" w:cstheme="minorHAnsi"/>
                <w:szCs w:val="22"/>
              </w:rPr>
              <w:t>n.p</w:t>
            </w:r>
            <w:proofErr w:type="spellEnd"/>
            <w:r w:rsidRPr="00C66062">
              <w:rPr>
                <w:rFonts w:asciiTheme="minorHAnsi" w:hAnsiTheme="minorHAnsi" w:cstheme="minorHAnsi"/>
                <w:szCs w:val="22"/>
              </w:rPr>
              <w:t>.</w:t>
            </w:r>
          </w:p>
        </w:tc>
        <w:tc>
          <w:tcPr>
            <w:tcW w:w="1056" w:type="dxa"/>
          </w:tcPr>
          <w:p w:rsidR="008E4A1C" w:rsidRPr="00D8601A" w:rsidRDefault="008E4A1C" w:rsidP="00987128">
            <w:pPr>
              <w:pStyle w:val="TableFigText"/>
              <w:jc w:val="right"/>
              <w:rPr>
                <w:rFonts w:asciiTheme="minorHAnsi" w:hAnsiTheme="minorHAnsi" w:cstheme="minorHAnsi"/>
                <w:szCs w:val="22"/>
              </w:rPr>
            </w:pPr>
            <w:proofErr w:type="spellStart"/>
            <w:r w:rsidRPr="00C66062">
              <w:rPr>
                <w:rFonts w:asciiTheme="minorHAnsi" w:hAnsiTheme="minorHAnsi" w:cstheme="minorHAnsi"/>
                <w:szCs w:val="22"/>
              </w:rPr>
              <w:t>n.p</w:t>
            </w:r>
            <w:proofErr w:type="spellEnd"/>
            <w:r w:rsidRPr="00C66062">
              <w:rPr>
                <w:rFonts w:asciiTheme="minorHAnsi" w:hAnsiTheme="minorHAnsi" w:cstheme="minorHAnsi"/>
                <w:szCs w:val="22"/>
              </w:rPr>
              <w:t>.</w:t>
            </w:r>
          </w:p>
        </w:tc>
        <w:tc>
          <w:tcPr>
            <w:tcW w:w="1105" w:type="dxa"/>
          </w:tcPr>
          <w:p w:rsidR="008E4A1C" w:rsidRPr="00D8601A" w:rsidRDefault="008E4A1C" w:rsidP="00987128">
            <w:pPr>
              <w:pStyle w:val="TableFigText"/>
              <w:jc w:val="right"/>
              <w:rPr>
                <w:rFonts w:asciiTheme="minorHAnsi" w:hAnsiTheme="minorHAnsi" w:cstheme="minorHAnsi"/>
                <w:szCs w:val="22"/>
              </w:rPr>
            </w:pPr>
            <w:proofErr w:type="spellStart"/>
            <w:r w:rsidRPr="00C66062">
              <w:rPr>
                <w:rFonts w:asciiTheme="minorHAnsi" w:hAnsiTheme="minorHAnsi" w:cstheme="minorHAnsi"/>
                <w:szCs w:val="22"/>
              </w:rPr>
              <w:t>n.p</w:t>
            </w:r>
            <w:proofErr w:type="spellEnd"/>
            <w:r w:rsidRPr="00C66062">
              <w:rPr>
                <w:rFonts w:asciiTheme="minorHAnsi" w:hAnsiTheme="minorHAnsi" w:cstheme="minorHAnsi"/>
                <w:szCs w:val="22"/>
              </w:rPr>
              <w:t>.</w:t>
            </w:r>
          </w:p>
        </w:tc>
        <w:tc>
          <w:tcPr>
            <w:tcW w:w="999" w:type="dxa"/>
            <w:vAlign w:val="center"/>
          </w:tcPr>
          <w:p w:rsidR="008E4A1C" w:rsidRPr="001B1E83" w:rsidRDefault="008E4A1C" w:rsidP="00987128">
            <w:pPr>
              <w:pStyle w:val="TableFigText"/>
              <w:jc w:val="right"/>
              <w:rPr>
                <w:rFonts w:asciiTheme="minorHAnsi" w:hAnsiTheme="minorHAnsi" w:cstheme="minorHAnsi"/>
                <w:szCs w:val="22"/>
              </w:rPr>
            </w:pPr>
            <w:r>
              <w:rPr>
                <w:rFonts w:asciiTheme="minorHAnsi" w:hAnsiTheme="minorHAnsi" w:cstheme="minorHAnsi"/>
                <w:szCs w:val="22"/>
              </w:rPr>
              <w:t>0</w:t>
            </w:r>
          </w:p>
        </w:tc>
      </w:tr>
      <w:tr w:rsidR="008E4A1C" w:rsidRPr="001B1E83" w:rsidTr="00987128">
        <w:tc>
          <w:tcPr>
            <w:tcW w:w="2403" w:type="dxa"/>
          </w:tcPr>
          <w:p w:rsidR="008E4A1C" w:rsidRPr="001B1E83" w:rsidRDefault="008E4A1C" w:rsidP="00987128">
            <w:pPr>
              <w:pStyle w:val="TableFigText"/>
              <w:keepNext/>
              <w:keepLines w:val="0"/>
              <w:rPr>
                <w:rFonts w:asciiTheme="minorHAnsi" w:hAnsiTheme="minorHAnsi" w:cstheme="minorHAnsi"/>
                <w:szCs w:val="22"/>
              </w:rPr>
            </w:pPr>
            <w:r w:rsidRPr="001B1E83">
              <w:rPr>
                <w:rFonts w:asciiTheme="minorHAnsi" w:hAnsiTheme="minorHAnsi" w:cstheme="minorHAnsi"/>
                <w:szCs w:val="22"/>
              </w:rPr>
              <w:t>Residential mental health care services</w:t>
            </w:r>
          </w:p>
        </w:tc>
        <w:tc>
          <w:tcPr>
            <w:tcW w:w="1059" w:type="dxa"/>
          </w:tcPr>
          <w:p w:rsidR="008E4A1C" w:rsidRPr="00D8601A" w:rsidRDefault="008E4A1C" w:rsidP="00987128">
            <w:pPr>
              <w:pStyle w:val="TableFigText"/>
              <w:jc w:val="right"/>
              <w:rPr>
                <w:rFonts w:asciiTheme="minorHAnsi" w:hAnsiTheme="minorHAnsi" w:cstheme="minorHAnsi"/>
                <w:szCs w:val="22"/>
              </w:rPr>
            </w:pPr>
            <w:proofErr w:type="spellStart"/>
            <w:r w:rsidRPr="00C66062">
              <w:rPr>
                <w:rFonts w:asciiTheme="minorHAnsi" w:hAnsiTheme="minorHAnsi" w:cstheme="minorHAnsi"/>
                <w:szCs w:val="22"/>
              </w:rPr>
              <w:t>n.p</w:t>
            </w:r>
            <w:proofErr w:type="spellEnd"/>
            <w:r w:rsidRPr="00C66062">
              <w:rPr>
                <w:rFonts w:asciiTheme="minorHAnsi" w:hAnsiTheme="minorHAnsi" w:cstheme="minorHAnsi"/>
                <w:szCs w:val="22"/>
              </w:rPr>
              <w:t>.</w:t>
            </w:r>
          </w:p>
        </w:tc>
        <w:tc>
          <w:tcPr>
            <w:tcW w:w="1398" w:type="dxa"/>
          </w:tcPr>
          <w:p w:rsidR="008E4A1C" w:rsidRPr="00D8601A" w:rsidRDefault="008E4A1C" w:rsidP="00987128">
            <w:pPr>
              <w:pStyle w:val="TableFigText"/>
              <w:jc w:val="right"/>
              <w:rPr>
                <w:rFonts w:asciiTheme="minorHAnsi" w:hAnsiTheme="minorHAnsi" w:cstheme="minorHAnsi"/>
                <w:szCs w:val="22"/>
              </w:rPr>
            </w:pPr>
            <w:proofErr w:type="spellStart"/>
            <w:r w:rsidRPr="00C66062">
              <w:rPr>
                <w:rFonts w:asciiTheme="minorHAnsi" w:hAnsiTheme="minorHAnsi" w:cstheme="minorHAnsi"/>
                <w:szCs w:val="22"/>
              </w:rPr>
              <w:t>n.p</w:t>
            </w:r>
            <w:proofErr w:type="spellEnd"/>
            <w:r w:rsidRPr="00C66062">
              <w:rPr>
                <w:rFonts w:asciiTheme="minorHAnsi" w:hAnsiTheme="minorHAnsi" w:cstheme="minorHAnsi"/>
                <w:szCs w:val="22"/>
              </w:rPr>
              <w:t>.</w:t>
            </w:r>
          </w:p>
        </w:tc>
        <w:tc>
          <w:tcPr>
            <w:tcW w:w="1266" w:type="dxa"/>
          </w:tcPr>
          <w:p w:rsidR="008E4A1C" w:rsidRPr="00D8601A" w:rsidRDefault="008E4A1C" w:rsidP="00987128">
            <w:pPr>
              <w:pStyle w:val="TableFigText"/>
              <w:jc w:val="right"/>
              <w:rPr>
                <w:rFonts w:asciiTheme="minorHAnsi" w:hAnsiTheme="minorHAnsi" w:cstheme="minorHAnsi"/>
                <w:szCs w:val="22"/>
              </w:rPr>
            </w:pPr>
            <w:proofErr w:type="spellStart"/>
            <w:r w:rsidRPr="00C66062">
              <w:rPr>
                <w:rFonts w:asciiTheme="minorHAnsi" w:hAnsiTheme="minorHAnsi" w:cstheme="minorHAnsi"/>
                <w:szCs w:val="22"/>
              </w:rPr>
              <w:t>n.p</w:t>
            </w:r>
            <w:proofErr w:type="spellEnd"/>
            <w:r w:rsidRPr="00C66062">
              <w:rPr>
                <w:rFonts w:asciiTheme="minorHAnsi" w:hAnsiTheme="minorHAnsi" w:cstheme="minorHAnsi"/>
                <w:szCs w:val="22"/>
              </w:rPr>
              <w:t>.</w:t>
            </w:r>
          </w:p>
        </w:tc>
        <w:tc>
          <w:tcPr>
            <w:tcW w:w="1056" w:type="dxa"/>
          </w:tcPr>
          <w:p w:rsidR="008E4A1C" w:rsidRPr="00D8601A" w:rsidRDefault="008E4A1C" w:rsidP="00987128">
            <w:pPr>
              <w:pStyle w:val="TableFigText"/>
              <w:jc w:val="right"/>
              <w:rPr>
                <w:rFonts w:asciiTheme="minorHAnsi" w:hAnsiTheme="minorHAnsi" w:cstheme="minorHAnsi"/>
                <w:szCs w:val="22"/>
              </w:rPr>
            </w:pPr>
            <w:proofErr w:type="spellStart"/>
            <w:r w:rsidRPr="00C66062">
              <w:rPr>
                <w:rFonts w:asciiTheme="minorHAnsi" w:hAnsiTheme="minorHAnsi" w:cstheme="minorHAnsi"/>
                <w:szCs w:val="22"/>
              </w:rPr>
              <w:t>n.p</w:t>
            </w:r>
            <w:proofErr w:type="spellEnd"/>
            <w:r w:rsidRPr="00C66062">
              <w:rPr>
                <w:rFonts w:asciiTheme="minorHAnsi" w:hAnsiTheme="minorHAnsi" w:cstheme="minorHAnsi"/>
                <w:szCs w:val="22"/>
              </w:rPr>
              <w:t>.</w:t>
            </w:r>
          </w:p>
        </w:tc>
        <w:tc>
          <w:tcPr>
            <w:tcW w:w="1105" w:type="dxa"/>
          </w:tcPr>
          <w:p w:rsidR="008E4A1C" w:rsidRPr="00D8601A" w:rsidRDefault="008E4A1C" w:rsidP="00987128">
            <w:pPr>
              <w:pStyle w:val="TableFigText"/>
              <w:jc w:val="right"/>
              <w:rPr>
                <w:rFonts w:asciiTheme="minorHAnsi" w:hAnsiTheme="minorHAnsi" w:cstheme="minorHAnsi"/>
                <w:szCs w:val="22"/>
              </w:rPr>
            </w:pPr>
            <w:proofErr w:type="spellStart"/>
            <w:r w:rsidRPr="00C66062">
              <w:rPr>
                <w:rFonts w:asciiTheme="minorHAnsi" w:hAnsiTheme="minorHAnsi" w:cstheme="minorHAnsi"/>
                <w:szCs w:val="22"/>
              </w:rPr>
              <w:t>n.p</w:t>
            </w:r>
            <w:proofErr w:type="spellEnd"/>
            <w:r w:rsidRPr="00C66062">
              <w:rPr>
                <w:rFonts w:asciiTheme="minorHAnsi" w:hAnsiTheme="minorHAnsi" w:cstheme="minorHAnsi"/>
                <w:szCs w:val="22"/>
              </w:rPr>
              <w:t>.</w:t>
            </w:r>
          </w:p>
        </w:tc>
        <w:tc>
          <w:tcPr>
            <w:tcW w:w="999" w:type="dxa"/>
            <w:vAlign w:val="center"/>
          </w:tcPr>
          <w:p w:rsidR="008E4A1C" w:rsidRPr="001B1E83" w:rsidRDefault="008E4A1C" w:rsidP="00987128">
            <w:pPr>
              <w:pStyle w:val="TableFigText"/>
              <w:jc w:val="right"/>
              <w:rPr>
                <w:rFonts w:asciiTheme="minorHAnsi" w:hAnsiTheme="minorHAnsi" w:cstheme="minorHAnsi"/>
                <w:szCs w:val="22"/>
              </w:rPr>
            </w:pPr>
            <w:r>
              <w:rPr>
                <w:rFonts w:asciiTheme="minorHAnsi" w:hAnsiTheme="minorHAnsi" w:cstheme="minorHAnsi"/>
                <w:szCs w:val="22"/>
              </w:rPr>
              <w:t>77</w:t>
            </w:r>
          </w:p>
        </w:tc>
      </w:tr>
      <w:tr w:rsidR="008E4A1C" w:rsidRPr="001B1E83" w:rsidTr="00987128">
        <w:tc>
          <w:tcPr>
            <w:tcW w:w="2403" w:type="dxa"/>
          </w:tcPr>
          <w:p w:rsidR="008E4A1C" w:rsidRPr="00A83097" w:rsidRDefault="008E4A1C" w:rsidP="00987128">
            <w:pPr>
              <w:pStyle w:val="TableFigText"/>
              <w:keepNext/>
              <w:keepLines w:val="0"/>
              <w:rPr>
                <w:rFonts w:asciiTheme="minorHAnsi" w:hAnsiTheme="minorHAnsi" w:cstheme="minorHAnsi"/>
                <w:b/>
                <w:szCs w:val="22"/>
              </w:rPr>
            </w:pPr>
            <w:r w:rsidRPr="00A83097">
              <w:rPr>
                <w:rFonts w:asciiTheme="minorHAnsi" w:hAnsiTheme="minorHAnsi" w:cstheme="minorHAnsi"/>
                <w:b/>
                <w:szCs w:val="22"/>
              </w:rPr>
              <w:t>Total</w:t>
            </w:r>
          </w:p>
        </w:tc>
        <w:tc>
          <w:tcPr>
            <w:tcW w:w="1059" w:type="dxa"/>
          </w:tcPr>
          <w:p w:rsidR="008E4A1C" w:rsidRPr="00A83097" w:rsidRDefault="008E4A1C" w:rsidP="00987128">
            <w:pPr>
              <w:pStyle w:val="TableFigText"/>
              <w:jc w:val="right"/>
              <w:rPr>
                <w:rFonts w:asciiTheme="minorHAnsi" w:hAnsiTheme="minorHAnsi" w:cstheme="minorHAnsi"/>
                <w:b/>
                <w:szCs w:val="22"/>
              </w:rPr>
            </w:pPr>
            <w:proofErr w:type="spellStart"/>
            <w:r w:rsidRPr="00A83097">
              <w:rPr>
                <w:rFonts w:asciiTheme="minorHAnsi" w:hAnsiTheme="minorHAnsi" w:cstheme="minorHAnsi"/>
                <w:b/>
                <w:szCs w:val="22"/>
              </w:rPr>
              <w:t>n.p</w:t>
            </w:r>
            <w:proofErr w:type="spellEnd"/>
            <w:r w:rsidRPr="00A83097">
              <w:rPr>
                <w:rFonts w:asciiTheme="minorHAnsi" w:hAnsiTheme="minorHAnsi" w:cstheme="minorHAnsi"/>
                <w:b/>
                <w:szCs w:val="22"/>
              </w:rPr>
              <w:t>.</w:t>
            </w:r>
          </w:p>
        </w:tc>
        <w:tc>
          <w:tcPr>
            <w:tcW w:w="1398" w:type="dxa"/>
          </w:tcPr>
          <w:p w:rsidR="008E4A1C" w:rsidRPr="00A83097" w:rsidRDefault="008E4A1C" w:rsidP="00987128">
            <w:pPr>
              <w:pStyle w:val="TableFigText"/>
              <w:jc w:val="right"/>
              <w:rPr>
                <w:rFonts w:asciiTheme="minorHAnsi" w:hAnsiTheme="minorHAnsi" w:cstheme="minorHAnsi"/>
                <w:b/>
                <w:szCs w:val="22"/>
              </w:rPr>
            </w:pPr>
            <w:proofErr w:type="spellStart"/>
            <w:r w:rsidRPr="00A83097">
              <w:rPr>
                <w:rFonts w:asciiTheme="minorHAnsi" w:hAnsiTheme="minorHAnsi" w:cstheme="minorHAnsi"/>
                <w:b/>
                <w:szCs w:val="22"/>
              </w:rPr>
              <w:t>n.p</w:t>
            </w:r>
            <w:proofErr w:type="spellEnd"/>
            <w:r w:rsidRPr="00A83097">
              <w:rPr>
                <w:rFonts w:asciiTheme="minorHAnsi" w:hAnsiTheme="minorHAnsi" w:cstheme="minorHAnsi"/>
                <w:b/>
                <w:szCs w:val="22"/>
              </w:rPr>
              <w:t>.</w:t>
            </w:r>
          </w:p>
        </w:tc>
        <w:tc>
          <w:tcPr>
            <w:tcW w:w="1266" w:type="dxa"/>
          </w:tcPr>
          <w:p w:rsidR="008E4A1C" w:rsidRPr="00A83097" w:rsidRDefault="008E4A1C" w:rsidP="00987128">
            <w:pPr>
              <w:pStyle w:val="TableFigText"/>
              <w:jc w:val="right"/>
              <w:rPr>
                <w:rFonts w:asciiTheme="minorHAnsi" w:hAnsiTheme="minorHAnsi" w:cstheme="minorHAnsi"/>
                <w:b/>
                <w:szCs w:val="22"/>
              </w:rPr>
            </w:pPr>
            <w:proofErr w:type="spellStart"/>
            <w:r w:rsidRPr="00A83097">
              <w:rPr>
                <w:rFonts w:asciiTheme="minorHAnsi" w:hAnsiTheme="minorHAnsi" w:cstheme="minorHAnsi"/>
                <w:b/>
                <w:szCs w:val="22"/>
              </w:rPr>
              <w:t>n.p</w:t>
            </w:r>
            <w:proofErr w:type="spellEnd"/>
            <w:r w:rsidRPr="00A83097">
              <w:rPr>
                <w:rFonts w:asciiTheme="minorHAnsi" w:hAnsiTheme="minorHAnsi" w:cstheme="minorHAnsi"/>
                <w:b/>
                <w:szCs w:val="22"/>
              </w:rPr>
              <w:t>.</w:t>
            </w:r>
          </w:p>
        </w:tc>
        <w:tc>
          <w:tcPr>
            <w:tcW w:w="1056" w:type="dxa"/>
          </w:tcPr>
          <w:p w:rsidR="008E4A1C" w:rsidRPr="00A83097" w:rsidRDefault="008E4A1C" w:rsidP="00987128">
            <w:pPr>
              <w:pStyle w:val="TableFigText"/>
              <w:jc w:val="right"/>
              <w:rPr>
                <w:rFonts w:asciiTheme="minorHAnsi" w:hAnsiTheme="minorHAnsi" w:cstheme="minorHAnsi"/>
                <w:b/>
                <w:szCs w:val="22"/>
              </w:rPr>
            </w:pPr>
            <w:proofErr w:type="spellStart"/>
            <w:r w:rsidRPr="00A83097">
              <w:rPr>
                <w:rFonts w:asciiTheme="minorHAnsi" w:hAnsiTheme="minorHAnsi" w:cstheme="minorHAnsi"/>
                <w:b/>
                <w:szCs w:val="22"/>
              </w:rPr>
              <w:t>n.p</w:t>
            </w:r>
            <w:proofErr w:type="spellEnd"/>
            <w:r w:rsidRPr="00A83097">
              <w:rPr>
                <w:rFonts w:asciiTheme="minorHAnsi" w:hAnsiTheme="minorHAnsi" w:cstheme="minorHAnsi"/>
                <w:b/>
                <w:szCs w:val="22"/>
              </w:rPr>
              <w:t>.</w:t>
            </w:r>
          </w:p>
        </w:tc>
        <w:tc>
          <w:tcPr>
            <w:tcW w:w="1105" w:type="dxa"/>
          </w:tcPr>
          <w:p w:rsidR="008E4A1C" w:rsidRPr="00A83097" w:rsidRDefault="008E4A1C" w:rsidP="00987128">
            <w:pPr>
              <w:pStyle w:val="TableFigText"/>
              <w:jc w:val="right"/>
              <w:rPr>
                <w:rFonts w:asciiTheme="minorHAnsi" w:hAnsiTheme="minorHAnsi" w:cstheme="minorHAnsi"/>
                <w:b/>
                <w:szCs w:val="22"/>
              </w:rPr>
            </w:pPr>
            <w:proofErr w:type="spellStart"/>
            <w:r w:rsidRPr="00A83097">
              <w:rPr>
                <w:rFonts w:asciiTheme="minorHAnsi" w:hAnsiTheme="minorHAnsi" w:cstheme="minorHAnsi"/>
                <w:b/>
                <w:szCs w:val="22"/>
              </w:rPr>
              <w:t>n.p</w:t>
            </w:r>
            <w:proofErr w:type="spellEnd"/>
            <w:r w:rsidRPr="00A83097">
              <w:rPr>
                <w:rFonts w:asciiTheme="minorHAnsi" w:hAnsiTheme="minorHAnsi" w:cstheme="minorHAnsi"/>
                <w:b/>
                <w:szCs w:val="22"/>
              </w:rPr>
              <w:t>.</w:t>
            </w:r>
          </w:p>
        </w:tc>
        <w:tc>
          <w:tcPr>
            <w:tcW w:w="999" w:type="dxa"/>
            <w:vAlign w:val="center"/>
          </w:tcPr>
          <w:p w:rsidR="008E4A1C" w:rsidRPr="00A83097" w:rsidRDefault="008E4A1C" w:rsidP="00987128">
            <w:pPr>
              <w:pStyle w:val="TableFigText"/>
              <w:jc w:val="right"/>
              <w:rPr>
                <w:rFonts w:asciiTheme="minorHAnsi" w:hAnsiTheme="minorHAnsi" w:cstheme="minorHAnsi"/>
                <w:b/>
                <w:szCs w:val="22"/>
              </w:rPr>
            </w:pPr>
            <w:r w:rsidRPr="00A83097">
              <w:rPr>
                <w:rFonts w:asciiTheme="minorHAnsi" w:hAnsiTheme="minorHAnsi" w:cstheme="minorHAnsi"/>
                <w:b/>
                <w:szCs w:val="22"/>
              </w:rPr>
              <w:t>147</w:t>
            </w:r>
          </w:p>
        </w:tc>
      </w:tr>
    </w:tbl>
    <w:p w:rsidR="008E4A1C" w:rsidRPr="00CC76C9" w:rsidRDefault="008E4A1C" w:rsidP="008E4A1C">
      <w:pPr>
        <w:pStyle w:val="TableFigNotesnumbered"/>
        <w:rPr>
          <w:rStyle w:val="table-note"/>
        </w:rPr>
      </w:pPr>
      <w:proofErr w:type="spellStart"/>
      <w:proofErr w:type="gramStart"/>
      <w:r w:rsidRPr="00CC76C9">
        <w:rPr>
          <w:rStyle w:val="table-note"/>
        </w:rPr>
        <w:t>n.p</w:t>
      </w:r>
      <w:proofErr w:type="spellEnd"/>
      <w:r w:rsidRPr="00CC76C9">
        <w:rPr>
          <w:rStyle w:val="table-note"/>
        </w:rPr>
        <w:t>.</w:t>
      </w:r>
      <w:proofErr w:type="gramEnd"/>
      <w:r w:rsidRPr="00CC76C9">
        <w:rPr>
          <w:rStyle w:val="table-note"/>
        </w:rPr>
        <w:t xml:space="preserve"> Not published.</w:t>
      </w:r>
    </w:p>
    <w:p w:rsidR="008E4A1C" w:rsidRPr="00CC76C9" w:rsidRDefault="008E4A1C" w:rsidP="008E4A1C">
      <w:pPr>
        <w:pStyle w:val="TableFigNotesnumbered"/>
        <w:ind w:left="0" w:firstLine="0"/>
        <w:rPr>
          <w:rStyle w:val="table-note"/>
        </w:rPr>
      </w:pPr>
      <w:r w:rsidRPr="00CC76C9">
        <w:rPr>
          <w:rStyle w:val="table-note"/>
        </w:rPr>
        <w:t>Source: National Mental Health Establishments Database.</w:t>
      </w:r>
    </w:p>
    <w:p w:rsidR="008E4A1C" w:rsidRDefault="008E4A1C" w:rsidP="008E4A1C">
      <w:pPr>
        <w:pStyle w:val="TableFigNotesnumbered"/>
        <w:rPr>
          <w:rFonts w:asciiTheme="minorHAnsi" w:hAnsiTheme="minorHAnsi"/>
        </w:rPr>
      </w:pPr>
    </w:p>
    <w:p w:rsidR="008E4A1C" w:rsidRDefault="008E4A1C" w:rsidP="008E4A1C">
      <w:pPr>
        <w:spacing w:before="0" w:after="0" w:line="240" w:lineRule="auto"/>
        <w:rPr>
          <w:rFonts w:asciiTheme="minorHAnsi" w:hAnsiTheme="minorHAnsi" w:cs="Arial"/>
          <w:sz w:val="14"/>
          <w:szCs w:val="14"/>
        </w:rPr>
      </w:pPr>
    </w:p>
    <w:p w:rsidR="008E4A1C" w:rsidRPr="008A3F74" w:rsidRDefault="008A3F74" w:rsidP="008E4A1C">
      <w:pPr>
        <w:pStyle w:val="TableCaption"/>
        <w:rPr>
          <w:rStyle w:val="table-note"/>
        </w:rPr>
      </w:pPr>
      <w:r w:rsidRPr="008A3F74">
        <w:rPr>
          <w:rStyle w:val="table-note"/>
        </w:rPr>
        <w:t xml:space="preserve">Table 77: </w:t>
      </w:r>
      <w:r w:rsidR="008E4A1C" w:rsidRPr="008A3F74">
        <w:rPr>
          <w:rStyle w:val="table-note"/>
        </w:rPr>
        <w:t>ACT: Number of specialised mental health beds, by service type, 2011–12</w:t>
      </w:r>
    </w:p>
    <w:tbl>
      <w:tblPr>
        <w:tblStyle w:val="TableGrid"/>
        <w:tblW w:w="0" w:type="auto"/>
        <w:tblLook w:val="04A0" w:firstRow="1" w:lastRow="0" w:firstColumn="1" w:lastColumn="0" w:noHBand="0" w:noVBand="1"/>
        <w:tblCaption w:val="ACT: Number of specialised mental health beds, by service type, 2011–12"/>
        <w:tblDescription w:val="Table showing that, in 2011-2012, in the ACT there were 65 specialised psychiatric units or wards in public acute hospitals and 82 residential mental health care services"/>
      </w:tblPr>
      <w:tblGrid>
        <w:gridCol w:w="2353"/>
        <w:gridCol w:w="1062"/>
        <w:gridCol w:w="1399"/>
        <w:gridCol w:w="1276"/>
        <w:gridCol w:w="1080"/>
        <w:gridCol w:w="1119"/>
        <w:gridCol w:w="997"/>
      </w:tblGrid>
      <w:tr w:rsidR="008E4A1C" w:rsidRPr="001B1E83" w:rsidTr="000C3DEA">
        <w:trPr>
          <w:tblHeader/>
        </w:trPr>
        <w:tc>
          <w:tcPr>
            <w:tcW w:w="2353" w:type="dxa"/>
          </w:tcPr>
          <w:p w:rsidR="008E4A1C" w:rsidRPr="001B1E83" w:rsidRDefault="008E4A1C" w:rsidP="00987128">
            <w:pPr>
              <w:pStyle w:val="TableFigText"/>
              <w:rPr>
                <w:rFonts w:asciiTheme="minorHAnsi" w:hAnsiTheme="minorHAnsi" w:cstheme="minorHAnsi"/>
                <w:szCs w:val="22"/>
              </w:rPr>
            </w:pPr>
          </w:p>
        </w:tc>
        <w:tc>
          <w:tcPr>
            <w:tcW w:w="1062" w:type="dxa"/>
          </w:tcPr>
          <w:p w:rsidR="008E4A1C" w:rsidRPr="001B1E83" w:rsidRDefault="008E4A1C" w:rsidP="00987128">
            <w:pPr>
              <w:pStyle w:val="TableFigText"/>
              <w:jc w:val="right"/>
              <w:rPr>
                <w:rFonts w:asciiTheme="minorHAnsi" w:hAnsiTheme="minorHAnsi" w:cstheme="minorHAnsi"/>
                <w:b/>
                <w:szCs w:val="22"/>
              </w:rPr>
            </w:pPr>
            <w:r w:rsidRPr="001B1E83">
              <w:rPr>
                <w:rFonts w:asciiTheme="minorHAnsi" w:hAnsiTheme="minorHAnsi" w:cstheme="minorHAnsi"/>
                <w:b/>
                <w:szCs w:val="22"/>
              </w:rPr>
              <w:t>Major cities</w:t>
            </w:r>
          </w:p>
        </w:tc>
        <w:tc>
          <w:tcPr>
            <w:tcW w:w="1399" w:type="dxa"/>
          </w:tcPr>
          <w:p w:rsidR="008E4A1C" w:rsidRPr="001B1E83" w:rsidRDefault="008E4A1C" w:rsidP="00987128">
            <w:pPr>
              <w:pStyle w:val="TableFigText"/>
              <w:jc w:val="right"/>
              <w:rPr>
                <w:rFonts w:asciiTheme="minorHAnsi" w:hAnsiTheme="minorHAnsi" w:cstheme="minorHAnsi"/>
                <w:b/>
                <w:szCs w:val="22"/>
              </w:rPr>
            </w:pPr>
            <w:r w:rsidRPr="001B1E83">
              <w:rPr>
                <w:rFonts w:asciiTheme="minorHAnsi" w:hAnsiTheme="minorHAnsi" w:cstheme="minorHAnsi"/>
                <w:b/>
                <w:szCs w:val="22"/>
              </w:rPr>
              <w:t>Inner regional</w:t>
            </w:r>
          </w:p>
        </w:tc>
        <w:tc>
          <w:tcPr>
            <w:tcW w:w="1276" w:type="dxa"/>
          </w:tcPr>
          <w:p w:rsidR="008E4A1C" w:rsidRPr="001B1E83" w:rsidRDefault="008E4A1C" w:rsidP="00987128">
            <w:pPr>
              <w:pStyle w:val="TableFigText"/>
              <w:jc w:val="right"/>
              <w:rPr>
                <w:rFonts w:asciiTheme="minorHAnsi" w:hAnsiTheme="minorHAnsi" w:cstheme="minorHAnsi"/>
                <w:b/>
                <w:szCs w:val="22"/>
              </w:rPr>
            </w:pPr>
            <w:r w:rsidRPr="001B1E83">
              <w:rPr>
                <w:rFonts w:asciiTheme="minorHAnsi" w:hAnsiTheme="minorHAnsi" w:cstheme="minorHAnsi"/>
                <w:b/>
                <w:szCs w:val="22"/>
              </w:rPr>
              <w:t>Outer regional</w:t>
            </w:r>
          </w:p>
        </w:tc>
        <w:tc>
          <w:tcPr>
            <w:tcW w:w="1080" w:type="dxa"/>
          </w:tcPr>
          <w:p w:rsidR="008E4A1C" w:rsidRPr="001B1E83" w:rsidRDefault="008E4A1C" w:rsidP="00987128">
            <w:pPr>
              <w:pStyle w:val="TableFigText"/>
              <w:jc w:val="right"/>
              <w:rPr>
                <w:rFonts w:asciiTheme="minorHAnsi" w:hAnsiTheme="minorHAnsi" w:cstheme="minorHAnsi"/>
                <w:b/>
                <w:szCs w:val="22"/>
              </w:rPr>
            </w:pPr>
            <w:r w:rsidRPr="001B1E83">
              <w:rPr>
                <w:rFonts w:asciiTheme="minorHAnsi" w:hAnsiTheme="minorHAnsi" w:cstheme="minorHAnsi"/>
                <w:b/>
                <w:szCs w:val="22"/>
              </w:rPr>
              <w:t>Remote</w:t>
            </w:r>
          </w:p>
        </w:tc>
        <w:tc>
          <w:tcPr>
            <w:tcW w:w="1119" w:type="dxa"/>
          </w:tcPr>
          <w:p w:rsidR="008E4A1C" w:rsidRPr="001B1E83" w:rsidRDefault="008E4A1C" w:rsidP="00987128">
            <w:pPr>
              <w:pStyle w:val="TableFigText"/>
              <w:jc w:val="right"/>
              <w:rPr>
                <w:rFonts w:asciiTheme="minorHAnsi" w:hAnsiTheme="minorHAnsi" w:cstheme="minorHAnsi"/>
                <w:b/>
                <w:szCs w:val="22"/>
              </w:rPr>
            </w:pPr>
            <w:r w:rsidRPr="001B1E83">
              <w:rPr>
                <w:rFonts w:asciiTheme="minorHAnsi" w:hAnsiTheme="minorHAnsi" w:cstheme="minorHAnsi"/>
                <w:b/>
                <w:szCs w:val="22"/>
              </w:rPr>
              <w:t>Very remote</w:t>
            </w:r>
          </w:p>
        </w:tc>
        <w:tc>
          <w:tcPr>
            <w:tcW w:w="997" w:type="dxa"/>
          </w:tcPr>
          <w:p w:rsidR="008E4A1C" w:rsidRPr="001B1E83" w:rsidRDefault="008E4A1C" w:rsidP="00987128">
            <w:pPr>
              <w:pStyle w:val="TableFigText"/>
              <w:jc w:val="right"/>
              <w:rPr>
                <w:rFonts w:asciiTheme="minorHAnsi" w:hAnsiTheme="minorHAnsi" w:cstheme="minorHAnsi"/>
                <w:b/>
                <w:szCs w:val="22"/>
              </w:rPr>
            </w:pPr>
            <w:r w:rsidRPr="001B1E83">
              <w:rPr>
                <w:rFonts w:asciiTheme="minorHAnsi" w:hAnsiTheme="minorHAnsi" w:cstheme="minorHAnsi"/>
                <w:b/>
                <w:szCs w:val="22"/>
              </w:rPr>
              <w:t>Total</w:t>
            </w:r>
          </w:p>
        </w:tc>
      </w:tr>
      <w:tr w:rsidR="008E4A1C" w:rsidRPr="001B1E83" w:rsidTr="00987128">
        <w:tc>
          <w:tcPr>
            <w:tcW w:w="2353" w:type="dxa"/>
          </w:tcPr>
          <w:p w:rsidR="008E4A1C" w:rsidRPr="001B1E83" w:rsidRDefault="008E4A1C" w:rsidP="00987128">
            <w:pPr>
              <w:pStyle w:val="TableFigText"/>
              <w:keepLines w:val="0"/>
              <w:rPr>
                <w:rFonts w:asciiTheme="minorHAnsi" w:hAnsiTheme="minorHAnsi" w:cstheme="minorHAnsi"/>
                <w:szCs w:val="22"/>
              </w:rPr>
            </w:pPr>
            <w:r w:rsidRPr="001B1E83">
              <w:rPr>
                <w:rFonts w:asciiTheme="minorHAnsi" w:hAnsiTheme="minorHAnsi" w:cstheme="minorHAnsi"/>
                <w:szCs w:val="22"/>
              </w:rPr>
              <w:t>Specialised psychiatric units or wards in public acute hospitals</w:t>
            </w:r>
          </w:p>
        </w:tc>
        <w:tc>
          <w:tcPr>
            <w:tcW w:w="1062" w:type="dxa"/>
          </w:tcPr>
          <w:p w:rsidR="008E4A1C" w:rsidRPr="00D8601A" w:rsidRDefault="008E4A1C" w:rsidP="00987128">
            <w:pPr>
              <w:pStyle w:val="TableFigText"/>
              <w:jc w:val="right"/>
              <w:rPr>
                <w:rFonts w:asciiTheme="minorHAnsi" w:hAnsiTheme="minorHAnsi" w:cstheme="minorHAnsi"/>
                <w:szCs w:val="22"/>
              </w:rPr>
            </w:pPr>
            <w:proofErr w:type="spellStart"/>
            <w:r w:rsidRPr="00426EFE">
              <w:rPr>
                <w:rFonts w:asciiTheme="minorHAnsi" w:hAnsiTheme="minorHAnsi" w:cstheme="minorHAnsi"/>
                <w:szCs w:val="22"/>
              </w:rPr>
              <w:t>n.p</w:t>
            </w:r>
            <w:proofErr w:type="spellEnd"/>
            <w:r w:rsidRPr="00426EFE">
              <w:rPr>
                <w:rFonts w:asciiTheme="minorHAnsi" w:hAnsiTheme="minorHAnsi" w:cstheme="minorHAnsi"/>
                <w:szCs w:val="22"/>
              </w:rPr>
              <w:t>.</w:t>
            </w:r>
          </w:p>
        </w:tc>
        <w:tc>
          <w:tcPr>
            <w:tcW w:w="1399" w:type="dxa"/>
          </w:tcPr>
          <w:p w:rsidR="008E4A1C" w:rsidRPr="00D8601A" w:rsidRDefault="008E4A1C" w:rsidP="00987128">
            <w:pPr>
              <w:pStyle w:val="TableFigText"/>
              <w:jc w:val="right"/>
              <w:rPr>
                <w:rFonts w:asciiTheme="minorHAnsi" w:hAnsiTheme="minorHAnsi" w:cstheme="minorHAnsi"/>
                <w:szCs w:val="22"/>
              </w:rPr>
            </w:pPr>
            <w:proofErr w:type="spellStart"/>
            <w:r w:rsidRPr="00426EFE">
              <w:rPr>
                <w:rFonts w:asciiTheme="minorHAnsi" w:hAnsiTheme="minorHAnsi" w:cstheme="minorHAnsi"/>
                <w:szCs w:val="22"/>
              </w:rPr>
              <w:t>n.p</w:t>
            </w:r>
            <w:proofErr w:type="spellEnd"/>
            <w:r w:rsidRPr="00426EFE">
              <w:rPr>
                <w:rFonts w:asciiTheme="minorHAnsi" w:hAnsiTheme="minorHAnsi" w:cstheme="minorHAnsi"/>
                <w:szCs w:val="22"/>
              </w:rPr>
              <w:t>.</w:t>
            </w:r>
          </w:p>
        </w:tc>
        <w:tc>
          <w:tcPr>
            <w:tcW w:w="1276" w:type="dxa"/>
          </w:tcPr>
          <w:p w:rsidR="008E4A1C" w:rsidRPr="00D8601A" w:rsidRDefault="008E4A1C" w:rsidP="00987128">
            <w:pPr>
              <w:pStyle w:val="TableFigText"/>
              <w:jc w:val="right"/>
              <w:rPr>
                <w:rFonts w:asciiTheme="minorHAnsi" w:hAnsiTheme="minorHAnsi" w:cstheme="minorHAnsi"/>
                <w:szCs w:val="22"/>
              </w:rPr>
            </w:pPr>
            <w:proofErr w:type="spellStart"/>
            <w:r w:rsidRPr="00426EFE">
              <w:rPr>
                <w:rFonts w:asciiTheme="minorHAnsi" w:hAnsiTheme="minorHAnsi" w:cstheme="minorHAnsi"/>
                <w:szCs w:val="22"/>
              </w:rPr>
              <w:t>n.p</w:t>
            </w:r>
            <w:proofErr w:type="spellEnd"/>
            <w:r w:rsidRPr="00426EFE">
              <w:rPr>
                <w:rFonts w:asciiTheme="minorHAnsi" w:hAnsiTheme="minorHAnsi" w:cstheme="minorHAnsi"/>
                <w:szCs w:val="22"/>
              </w:rPr>
              <w:t>.</w:t>
            </w:r>
          </w:p>
        </w:tc>
        <w:tc>
          <w:tcPr>
            <w:tcW w:w="1080" w:type="dxa"/>
          </w:tcPr>
          <w:p w:rsidR="008E4A1C" w:rsidRPr="00D8601A" w:rsidRDefault="008E4A1C" w:rsidP="00987128">
            <w:pPr>
              <w:pStyle w:val="TableFigText"/>
              <w:jc w:val="right"/>
              <w:rPr>
                <w:rFonts w:asciiTheme="minorHAnsi" w:hAnsiTheme="minorHAnsi" w:cstheme="minorHAnsi"/>
                <w:szCs w:val="22"/>
              </w:rPr>
            </w:pPr>
            <w:proofErr w:type="spellStart"/>
            <w:r w:rsidRPr="00426EFE">
              <w:rPr>
                <w:rFonts w:asciiTheme="minorHAnsi" w:hAnsiTheme="minorHAnsi" w:cstheme="minorHAnsi"/>
                <w:szCs w:val="22"/>
              </w:rPr>
              <w:t>n.p</w:t>
            </w:r>
            <w:proofErr w:type="spellEnd"/>
            <w:r w:rsidRPr="00426EFE">
              <w:rPr>
                <w:rFonts w:asciiTheme="minorHAnsi" w:hAnsiTheme="minorHAnsi" w:cstheme="minorHAnsi"/>
                <w:szCs w:val="22"/>
              </w:rPr>
              <w:t>.</w:t>
            </w:r>
          </w:p>
        </w:tc>
        <w:tc>
          <w:tcPr>
            <w:tcW w:w="1119" w:type="dxa"/>
          </w:tcPr>
          <w:p w:rsidR="008E4A1C" w:rsidRPr="00D8601A" w:rsidRDefault="008E4A1C" w:rsidP="00987128">
            <w:pPr>
              <w:pStyle w:val="TableFigText"/>
              <w:jc w:val="right"/>
              <w:rPr>
                <w:rFonts w:asciiTheme="minorHAnsi" w:hAnsiTheme="minorHAnsi" w:cstheme="minorHAnsi"/>
                <w:szCs w:val="22"/>
              </w:rPr>
            </w:pPr>
            <w:proofErr w:type="spellStart"/>
            <w:r w:rsidRPr="00426EFE">
              <w:rPr>
                <w:rFonts w:asciiTheme="minorHAnsi" w:hAnsiTheme="minorHAnsi" w:cstheme="minorHAnsi"/>
                <w:szCs w:val="22"/>
              </w:rPr>
              <w:t>n.p</w:t>
            </w:r>
            <w:proofErr w:type="spellEnd"/>
            <w:r w:rsidRPr="00426EFE">
              <w:rPr>
                <w:rFonts w:asciiTheme="minorHAnsi" w:hAnsiTheme="minorHAnsi" w:cstheme="minorHAnsi"/>
                <w:szCs w:val="22"/>
              </w:rPr>
              <w:t>.</w:t>
            </w:r>
          </w:p>
        </w:tc>
        <w:tc>
          <w:tcPr>
            <w:tcW w:w="997" w:type="dxa"/>
          </w:tcPr>
          <w:p w:rsidR="008E4A1C" w:rsidRPr="001B1E83" w:rsidRDefault="008E4A1C" w:rsidP="00987128">
            <w:pPr>
              <w:pStyle w:val="TableFigText"/>
              <w:jc w:val="right"/>
              <w:rPr>
                <w:rFonts w:asciiTheme="minorHAnsi" w:hAnsiTheme="minorHAnsi" w:cstheme="minorHAnsi"/>
                <w:szCs w:val="22"/>
              </w:rPr>
            </w:pPr>
            <w:r>
              <w:rPr>
                <w:rFonts w:asciiTheme="minorHAnsi" w:hAnsiTheme="minorHAnsi" w:cstheme="minorHAnsi"/>
                <w:szCs w:val="22"/>
              </w:rPr>
              <w:t>65</w:t>
            </w:r>
          </w:p>
        </w:tc>
      </w:tr>
      <w:tr w:rsidR="008E4A1C" w:rsidRPr="001B1E83" w:rsidTr="00987128">
        <w:tc>
          <w:tcPr>
            <w:tcW w:w="2353" w:type="dxa"/>
          </w:tcPr>
          <w:p w:rsidR="008E4A1C" w:rsidRPr="001B1E83" w:rsidRDefault="008E4A1C" w:rsidP="00987128">
            <w:pPr>
              <w:pStyle w:val="TableFigText"/>
              <w:keepLines w:val="0"/>
              <w:rPr>
                <w:rFonts w:asciiTheme="minorHAnsi" w:hAnsiTheme="minorHAnsi" w:cstheme="minorHAnsi"/>
                <w:szCs w:val="22"/>
              </w:rPr>
            </w:pPr>
            <w:r w:rsidRPr="001B1E83">
              <w:rPr>
                <w:rFonts w:asciiTheme="minorHAnsi" w:hAnsiTheme="minorHAnsi" w:cstheme="minorHAnsi"/>
                <w:szCs w:val="22"/>
              </w:rPr>
              <w:t>Public psychiatric hospital services</w:t>
            </w:r>
          </w:p>
        </w:tc>
        <w:tc>
          <w:tcPr>
            <w:tcW w:w="1062" w:type="dxa"/>
          </w:tcPr>
          <w:p w:rsidR="008E4A1C" w:rsidRPr="00D8601A" w:rsidRDefault="008E4A1C" w:rsidP="00987128">
            <w:pPr>
              <w:pStyle w:val="TableFigText"/>
              <w:jc w:val="right"/>
              <w:rPr>
                <w:rFonts w:asciiTheme="minorHAnsi" w:hAnsiTheme="minorHAnsi" w:cstheme="minorHAnsi"/>
                <w:szCs w:val="22"/>
              </w:rPr>
            </w:pPr>
            <w:proofErr w:type="spellStart"/>
            <w:r w:rsidRPr="00426EFE">
              <w:rPr>
                <w:rFonts w:asciiTheme="minorHAnsi" w:hAnsiTheme="minorHAnsi" w:cstheme="minorHAnsi"/>
                <w:szCs w:val="22"/>
              </w:rPr>
              <w:t>n.p</w:t>
            </w:r>
            <w:proofErr w:type="spellEnd"/>
            <w:r w:rsidRPr="00426EFE">
              <w:rPr>
                <w:rFonts w:asciiTheme="minorHAnsi" w:hAnsiTheme="minorHAnsi" w:cstheme="minorHAnsi"/>
                <w:szCs w:val="22"/>
              </w:rPr>
              <w:t>.</w:t>
            </w:r>
          </w:p>
        </w:tc>
        <w:tc>
          <w:tcPr>
            <w:tcW w:w="1399" w:type="dxa"/>
          </w:tcPr>
          <w:p w:rsidR="008E4A1C" w:rsidRPr="00D8601A" w:rsidRDefault="008E4A1C" w:rsidP="00987128">
            <w:pPr>
              <w:pStyle w:val="TableFigText"/>
              <w:jc w:val="right"/>
              <w:rPr>
                <w:rFonts w:asciiTheme="minorHAnsi" w:hAnsiTheme="minorHAnsi" w:cstheme="minorHAnsi"/>
                <w:szCs w:val="22"/>
              </w:rPr>
            </w:pPr>
            <w:proofErr w:type="spellStart"/>
            <w:r w:rsidRPr="00426EFE">
              <w:rPr>
                <w:rFonts w:asciiTheme="minorHAnsi" w:hAnsiTheme="minorHAnsi" w:cstheme="minorHAnsi"/>
                <w:szCs w:val="22"/>
              </w:rPr>
              <w:t>n.p</w:t>
            </w:r>
            <w:proofErr w:type="spellEnd"/>
            <w:r w:rsidRPr="00426EFE">
              <w:rPr>
                <w:rFonts w:asciiTheme="minorHAnsi" w:hAnsiTheme="minorHAnsi" w:cstheme="minorHAnsi"/>
                <w:szCs w:val="22"/>
              </w:rPr>
              <w:t>.</w:t>
            </w:r>
          </w:p>
        </w:tc>
        <w:tc>
          <w:tcPr>
            <w:tcW w:w="1276" w:type="dxa"/>
          </w:tcPr>
          <w:p w:rsidR="008E4A1C" w:rsidRPr="00D8601A" w:rsidRDefault="008E4A1C" w:rsidP="00987128">
            <w:pPr>
              <w:pStyle w:val="TableFigText"/>
              <w:jc w:val="right"/>
              <w:rPr>
                <w:rFonts w:asciiTheme="minorHAnsi" w:hAnsiTheme="minorHAnsi" w:cstheme="minorHAnsi"/>
                <w:szCs w:val="22"/>
              </w:rPr>
            </w:pPr>
            <w:proofErr w:type="spellStart"/>
            <w:r w:rsidRPr="00426EFE">
              <w:rPr>
                <w:rFonts w:asciiTheme="minorHAnsi" w:hAnsiTheme="minorHAnsi" w:cstheme="minorHAnsi"/>
                <w:szCs w:val="22"/>
              </w:rPr>
              <w:t>n.p</w:t>
            </w:r>
            <w:proofErr w:type="spellEnd"/>
            <w:r w:rsidRPr="00426EFE">
              <w:rPr>
                <w:rFonts w:asciiTheme="minorHAnsi" w:hAnsiTheme="minorHAnsi" w:cstheme="minorHAnsi"/>
                <w:szCs w:val="22"/>
              </w:rPr>
              <w:t>.</w:t>
            </w:r>
          </w:p>
        </w:tc>
        <w:tc>
          <w:tcPr>
            <w:tcW w:w="1080" w:type="dxa"/>
          </w:tcPr>
          <w:p w:rsidR="008E4A1C" w:rsidRPr="00D8601A" w:rsidRDefault="008E4A1C" w:rsidP="00987128">
            <w:pPr>
              <w:pStyle w:val="TableFigText"/>
              <w:jc w:val="right"/>
              <w:rPr>
                <w:rFonts w:asciiTheme="minorHAnsi" w:hAnsiTheme="minorHAnsi" w:cstheme="minorHAnsi"/>
                <w:szCs w:val="22"/>
              </w:rPr>
            </w:pPr>
            <w:proofErr w:type="spellStart"/>
            <w:r w:rsidRPr="00426EFE">
              <w:rPr>
                <w:rFonts w:asciiTheme="minorHAnsi" w:hAnsiTheme="minorHAnsi" w:cstheme="minorHAnsi"/>
                <w:szCs w:val="22"/>
              </w:rPr>
              <w:t>n.p</w:t>
            </w:r>
            <w:proofErr w:type="spellEnd"/>
            <w:r w:rsidRPr="00426EFE">
              <w:rPr>
                <w:rFonts w:asciiTheme="minorHAnsi" w:hAnsiTheme="minorHAnsi" w:cstheme="minorHAnsi"/>
                <w:szCs w:val="22"/>
              </w:rPr>
              <w:t>.</w:t>
            </w:r>
          </w:p>
        </w:tc>
        <w:tc>
          <w:tcPr>
            <w:tcW w:w="1119" w:type="dxa"/>
          </w:tcPr>
          <w:p w:rsidR="008E4A1C" w:rsidRPr="00D8601A" w:rsidRDefault="008E4A1C" w:rsidP="00987128">
            <w:pPr>
              <w:pStyle w:val="TableFigText"/>
              <w:jc w:val="right"/>
              <w:rPr>
                <w:rFonts w:asciiTheme="minorHAnsi" w:hAnsiTheme="minorHAnsi" w:cstheme="minorHAnsi"/>
                <w:szCs w:val="22"/>
              </w:rPr>
            </w:pPr>
            <w:proofErr w:type="spellStart"/>
            <w:r w:rsidRPr="00426EFE">
              <w:rPr>
                <w:rFonts w:asciiTheme="minorHAnsi" w:hAnsiTheme="minorHAnsi" w:cstheme="minorHAnsi"/>
                <w:szCs w:val="22"/>
              </w:rPr>
              <w:t>n.p</w:t>
            </w:r>
            <w:proofErr w:type="spellEnd"/>
            <w:r w:rsidRPr="00426EFE">
              <w:rPr>
                <w:rFonts w:asciiTheme="minorHAnsi" w:hAnsiTheme="minorHAnsi" w:cstheme="minorHAnsi"/>
                <w:szCs w:val="22"/>
              </w:rPr>
              <w:t>.</w:t>
            </w:r>
          </w:p>
        </w:tc>
        <w:tc>
          <w:tcPr>
            <w:tcW w:w="997" w:type="dxa"/>
          </w:tcPr>
          <w:p w:rsidR="008E4A1C" w:rsidRPr="001B1E83" w:rsidRDefault="008E4A1C" w:rsidP="00987128">
            <w:pPr>
              <w:pStyle w:val="TableFigText"/>
              <w:jc w:val="right"/>
              <w:rPr>
                <w:rFonts w:asciiTheme="minorHAnsi" w:hAnsiTheme="minorHAnsi" w:cstheme="minorHAnsi"/>
                <w:szCs w:val="22"/>
              </w:rPr>
            </w:pPr>
            <w:r>
              <w:rPr>
                <w:rFonts w:asciiTheme="minorHAnsi" w:hAnsiTheme="minorHAnsi" w:cstheme="minorHAnsi"/>
                <w:szCs w:val="22"/>
              </w:rPr>
              <w:t>0</w:t>
            </w:r>
          </w:p>
        </w:tc>
      </w:tr>
      <w:tr w:rsidR="008E4A1C" w:rsidRPr="001B1E83" w:rsidTr="00987128">
        <w:tc>
          <w:tcPr>
            <w:tcW w:w="2353" w:type="dxa"/>
          </w:tcPr>
          <w:p w:rsidR="008E4A1C" w:rsidRPr="001B1E83" w:rsidRDefault="008E4A1C" w:rsidP="00987128">
            <w:pPr>
              <w:pStyle w:val="TableFigText"/>
              <w:keepLines w:val="0"/>
              <w:rPr>
                <w:rFonts w:asciiTheme="minorHAnsi" w:hAnsiTheme="minorHAnsi" w:cstheme="minorHAnsi"/>
                <w:szCs w:val="22"/>
              </w:rPr>
            </w:pPr>
            <w:r w:rsidRPr="001B1E83">
              <w:rPr>
                <w:rFonts w:asciiTheme="minorHAnsi" w:hAnsiTheme="minorHAnsi" w:cstheme="minorHAnsi"/>
                <w:szCs w:val="22"/>
              </w:rPr>
              <w:t>Residential mental health care services</w:t>
            </w:r>
          </w:p>
        </w:tc>
        <w:tc>
          <w:tcPr>
            <w:tcW w:w="1062" w:type="dxa"/>
          </w:tcPr>
          <w:p w:rsidR="008E4A1C" w:rsidRPr="00D8601A" w:rsidRDefault="008E4A1C" w:rsidP="00987128">
            <w:pPr>
              <w:pStyle w:val="TableFigText"/>
              <w:jc w:val="right"/>
              <w:rPr>
                <w:rFonts w:asciiTheme="minorHAnsi" w:hAnsiTheme="minorHAnsi" w:cstheme="minorHAnsi"/>
                <w:szCs w:val="22"/>
              </w:rPr>
            </w:pPr>
            <w:proofErr w:type="spellStart"/>
            <w:r w:rsidRPr="00426EFE">
              <w:rPr>
                <w:rFonts w:asciiTheme="minorHAnsi" w:hAnsiTheme="minorHAnsi" w:cstheme="minorHAnsi"/>
                <w:szCs w:val="22"/>
              </w:rPr>
              <w:t>n.p</w:t>
            </w:r>
            <w:proofErr w:type="spellEnd"/>
            <w:r w:rsidRPr="00426EFE">
              <w:rPr>
                <w:rFonts w:asciiTheme="minorHAnsi" w:hAnsiTheme="minorHAnsi" w:cstheme="minorHAnsi"/>
                <w:szCs w:val="22"/>
              </w:rPr>
              <w:t>.</w:t>
            </w:r>
          </w:p>
        </w:tc>
        <w:tc>
          <w:tcPr>
            <w:tcW w:w="1399" w:type="dxa"/>
          </w:tcPr>
          <w:p w:rsidR="008E4A1C" w:rsidRPr="00D8601A" w:rsidRDefault="008E4A1C" w:rsidP="00987128">
            <w:pPr>
              <w:pStyle w:val="TableFigText"/>
              <w:jc w:val="right"/>
              <w:rPr>
                <w:rFonts w:asciiTheme="minorHAnsi" w:hAnsiTheme="minorHAnsi" w:cstheme="minorHAnsi"/>
                <w:szCs w:val="22"/>
              </w:rPr>
            </w:pPr>
            <w:proofErr w:type="spellStart"/>
            <w:r w:rsidRPr="00426EFE">
              <w:rPr>
                <w:rFonts w:asciiTheme="minorHAnsi" w:hAnsiTheme="minorHAnsi" w:cstheme="minorHAnsi"/>
                <w:szCs w:val="22"/>
              </w:rPr>
              <w:t>n.p</w:t>
            </w:r>
            <w:proofErr w:type="spellEnd"/>
            <w:r w:rsidRPr="00426EFE">
              <w:rPr>
                <w:rFonts w:asciiTheme="minorHAnsi" w:hAnsiTheme="minorHAnsi" w:cstheme="minorHAnsi"/>
                <w:szCs w:val="22"/>
              </w:rPr>
              <w:t>.</w:t>
            </w:r>
          </w:p>
        </w:tc>
        <w:tc>
          <w:tcPr>
            <w:tcW w:w="1276" w:type="dxa"/>
          </w:tcPr>
          <w:p w:rsidR="008E4A1C" w:rsidRPr="00D8601A" w:rsidRDefault="008E4A1C" w:rsidP="00987128">
            <w:pPr>
              <w:pStyle w:val="TableFigText"/>
              <w:jc w:val="right"/>
              <w:rPr>
                <w:rFonts w:asciiTheme="minorHAnsi" w:hAnsiTheme="minorHAnsi" w:cstheme="minorHAnsi"/>
                <w:szCs w:val="22"/>
              </w:rPr>
            </w:pPr>
            <w:proofErr w:type="spellStart"/>
            <w:r w:rsidRPr="00426EFE">
              <w:rPr>
                <w:rFonts w:asciiTheme="minorHAnsi" w:hAnsiTheme="minorHAnsi" w:cstheme="minorHAnsi"/>
                <w:szCs w:val="22"/>
              </w:rPr>
              <w:t>n.p</w:t>
            </w:r>
            <w:proofErr w:type="spellEnd"/>
            <w:r w:rsidRPr="00426EFE">
              <w:rPr>
                <w:rFonts w:asciiTheme="minorHAnsi" w:hAnsiTheme="minorHAnsi" w:cstheme="minorHAnsi"/>
                <w:szCs w:val="22"/>
              </w:rPr>
              <w:t>.</w:t>
            </w:r>
          </w:p>
        </w:tc>
        <w:tc>
          <w:tcPr>
            <w:tcW w:w="1080" w:type="dxa"/>
          </w:tcPr>
          <w:p w:rsidR="008E4A1C" w:rsidRPr="00D8601A" w:rsidRDefault="008E4A1C" w:rsidP="00987128">
            <w:pPr>
              <w:pStyle w:val="TableFigText"/>
              <w:jc w:val="right"/>
              <w:rPr>
                <w:rFonts w:asciiTheme="minorHAnsi" w:hAnsiTheme="minorHAnsi" w:cstheme="minorHAnsi"/>
                <w:szCs w:val="22"/>
              </w:rPr>
            </w:pPr>
            <w:proofErr w:type="spellStart"/>
            <w:r w:rsidRPr="00426EFE">
              <w:rPr>
                <w:rFonts w:asciiTheme="minorHAnsi" w:hAnsiTheme="minorHAnsi" w:cstheme="minorHAnsi"/>
                <w:szCs w:val="22"/>
              </w:rPr>
              <w:t>n.p</w:t>
            </w:r>
            <w:proofErr w:type="spellEnd"/>
            <w:r w:rsidRPr="00426EFE">
              <w:rPr>
                <w:rFonts w:asciiTheme="minorHAnsi" w:hAnsiTheme="minorHAnsi" w:cstheme="minorHAnsi"/>
                <w:szCs w:val="22"/>
              </w:rPr>
              <w:t>.</w:t>
            </w:r>
          </w:p>
        </w:tc>
        <w:tc>
          <w:tcPr>
            <w:tcW w:w="1119" w:type="dxa"/>
          </w:tcPr>
          <w:p w:rsidR="008E4A1C" w:rsidRPr="00D8601A" w:rsidRDefault="008E4A1C" w:rsidP="00987128">
            <w:pPr>
              <w:pStyle w:val="TableFigText"/>
              <w:jc w:val="right"/>
              <w:rPr>
                <w:rFonts w:asciiTheme="minorHAnsi" w:hAnsiTheme="minorHAnsi" w:cstheme="minorHAnsi"/>
                <w:szCs w:val="22"/>
              </w:rPr>
            </w:pPr>
            <w:proofErr w:type="spellStart"/>
            <w:r w:rsidRPr="00426EFE">
              <w:rPr>
                <w:rFonts w:asciiTheme="minorHAnsi" w:hAnsiTheme="minorHAnsi" w:cstheme="minorHAnsi"/>
                <w:szCs w:val="22"/>
              </w:rPr>
              <w:t>n.p</w:t>
            </w:r>
            <w:proofErr w:type="spellEnd"/>
            <w:r w:rsidRPr="00426EFE">
              <w:rPr>
                <w:rFonts w:asciiTheme="minorHAnsi" w:hAnsiTheme="minorHAnsi" w:cstheme="minorHAnsi"/>
                <w:szCs w:val="22"/>
              </w:rPr>
              <w:t>.</w:t>
            </w:r>
          </w:p>
        </w:tc>
        <w:tc>
          <w:tcPr>
            <w:tcW w:w="997" w:type="dxa"/>
          </w:tcPr>
          <w:p w:rsidR="008E4A1C" w:rsidRPr="001B1E83" w:rsidRDefault="008E4A1C" w:rsidP="00987128">
            <w:pPr>
              <w:pStyle w:val="TableFigText"/>
              <w:jc w:val="right"/>
              <w:rPr>
                <w:rFonts w:asciiTheme="minorHAnsi" w:hAnsiTheme="minorHAnsi" w:cstheme="minorHAnsi"/>
                <w:szCs w:val="22"/>
              </w:rPr>
            </w:pPr>
            <w:r>
              <w:rPr>
                <w:rFonts w:asciiTheme="minorHAnsi" w:hAnsiTheme="minorHAnsi" w:cstheme="minorHAnsi"/>
                <w:szCs w:val="22"/>
              </w:rPr>
              <w:t>82</w:t>
            </w:r>
          </w:p>
        </w:tc>
      </w:tr>
      <w:tr w:rsidR="008E4A1C" w:rsidRPr="001B1E83" w:rsidTr="00987128">
        <w:tc>
          <w:tcPr>
            <w:tcW w:w="2353" w:type="dxa"/>
          </w:tcPr>
          <w:p w:rsidR="008E4A1C" w:rsidRPr="00A83097" w:rsidRDefault="008E4A1C" w:rsidP="00987128">
            <w:pPr>
              <w:pStyle w:val="TableFigText"/>
              <w:keepLines w:val="0"/>
              <w:rPr>
                <w:rFonts w:asciiTheme="minorHAnsi" w:hAnsiTheme="minorHAnsi" w:cstheme="minorHAnsi"/>
                <w:b/>
                <w:szCs w:val="22"/>
              </w:rPr>
            </w:pPr>
            <w:r w:rsidRPr="00A83097">
              <w:rPr>
                <w:rFonts w:asciiTheme="minorHAnsi" w:hAnsiTheme="minorHAnsi" w:cstheme="minorHAnsi"/>
                <w:b/>
                <w:szCs w:val="22"/>
              </w:rPr>
              <w:t>Total</w:t>
            </w:r>
          </w:p>
        </w:tc>
        <w:tc>
          <w:tcPr>
            <w:tcW w:w="1062" w:type="dxa"/>
          </w:tcPr>
          <w:p w:rsidR="008E4A1C" w:rsidRPr="00A83097" w:rsidRDefault="008E4A1C" w:rsidP="00987128">
            <w:pPr>
              <w:pStyle w:val="TableFigText"/>
              <w:jc w:val="right"/>
              <w:rPr>
                <w:rFonts w:asciiTheme="minorHAnsi" w:hAnsiTheme="minorHAnsi" w:cstheme="minorHAnsi"/>
                <w:b/>
                <w:szCs w:val="22"/>
              </w:rPr>
            </w:pPr>
            <w:proofErr w:type="spellStart"/>
            <w:r w:rsidRPr="00A83097">
              <w:rPr>
                <w:rFonts w:asciiTheme="minorHAnsi" w:hAnsiTheme="minorHAnsi" w:cstheme="minorHAnsi"/>
                <w:b/>
                <w:szCs w:val="22"/>
              </w:rPr>
              <w:t>n.p</w:t>
            </w:r>
            <w:proofErr w:type="spellEnd"/>
            <w:r w:rsidRPr="00A83097">
              <w:rPr>
                <w:rFonts w:asciiTheme="minorHAnsi" w:hAnsiTheme="minorHAnsi" w:cstheme="minorHAnsi"/>
                <w:b/>
                <w:szCs w:val="22"/>
              </w:rPr>
              <w:t>.</w:t>
            </w:r>
          </w:p>
        </w:tc>
        <w:tc>
          <w:tcPr>
            <w:tcW w:w="1399" w:type="dxa"/>
          </w:tcPr>
          <w:p w:rsidR="008E4A1C" w:rsidRPr="00A83097" w:rsidRDefault="008E4A1C" w:rsidP="00987128">
            <w:pPr>
              <w:pStyle w:val="TableFigText"/>
              <w:jc w:val="right"/>
              <w:rPr>
                <w:rFonts w:asciiTheme="minorHAnsi" w:hAnsiTheme="minorHAnsi" w:cstheme="minorHAnsi"/>
                <w:b/>
                <w:szCs w:val="22"/>
              </w:rPr>
            </w:pPr>
            <w:proofErr w:type="spellStart"/>
            <w:r w:rsidRPr="00A83097">
              <w:rPr>
                <w:rFonts w:asciiTheme="minorHAnsi" w:hAnsiTheme="minorHAnsi" w:cstheme="minorHAnsi"/>
                <w:b/>
                <w:szCs w:val="22"/>
              </w:rPr>
              <w:t>n.p</w:t>
            </w:r>
            <w:proofErr w:type="spellEnd"/>
            <w:r w:rsidRPr="00A83097">
              <w:rPr>
                <w:rFonts w:asciiTheme="minorHAnsi" w:hAnsiTheme="minorHAnsi" w:cstheme="minorHAnsi"/>
                <w:b/>
                <w:szCs w:val="22"/>
              </w:rPr>
              <w:t>.</w:t>
            </w:r>
          </w:p>
        </w:tc>
        <w:tc>
          <w:tcPr>
            <w:tcW w:w="1276" w:type="dxa"/>
          </w:tcPr>
          <w:p w:rsidR="008E4A1C" w:rsidRPr="00A83097" w:rsidRDefault="008E4A1C" w:rsidP="00987128">
            <w:pPr>
              <w:pStyle w:val="TableFigText"/>
              <w:jc w:val="right"/>
              <w:rPr>
                <w:rFonts w:asciiTheme="minorHAnsi" w:hAnsiTheme="minorHAnsi" w:cstheme="minorHAnsi"/>
                <w:b/>
                <w:szCs w:val="22"/>
              </w:rPr>
            </w:pPr>
            <w:proofErr w:type="spellStart"/>
            <w:r w:rsidRPr="00A83097">
              <w:rPr>
                <w:rFonts w:asciiTheme="minorHAnsi" w:hAnsiTheme="minorHAnsi" w:cstheme="minorHAnsi"/>
                <w:b/>
                <w:szCs w:val="22"/>
              </w:rPr>
              <w:t>n.p</w:t>
            </w:r>
            <w:proofErr w:type="spellEnd"/>
            <w:r w:rsidRPr="00A83097">
              <w:rPr>
                <w:rFonts w:asciiTheme="minorHAnsi" w:hAnsiTheme="minorHAnsi" w:cstheme="minorHAnsi"/>
                <w:b/>
                <w:szCs w:val="22"/>
              </w:rPr>
              <w:t>.</w:t>
            </w:r>
          </w:p>
        </w:tc>
        <w:tc>
          <w:tcPr>
            <w:tcW w:w="1080" w:type="dxa"/>
          </w:tcPr>
          <w:p w:rsidR="008E4A1C" w:rsidRPr="00A83097" w:rsidRDefault="008E4A1C" w:rsidP="00987128">
            <w:pPr>
              <w:pStyle w:val="TableFigText"/>
              <w:jc w:val="right"/>
              <w:rPr>
                <w:rFonts w:asciiTheme="minorHAnsi" w:hAnsiTheme="minorHAnsi" w:cstheme="minorHAnsi"/>
                <w:b/>
                <w:szCs w:val="22"/>
              </w:rPr>
            </w:pPr>
            <w:proofErr w:type="spellStart"/>
            <w:r w:rsidRPr="00A83097">
              <w:rPr>
                <w:rFonts w:asciiTheme="minorHAnsi" w:hAnsiTheme="minorHAnsi" w:cstheme="minorHAnsi"/>
                <w:b/>
                <w:szCs w:val="22"/>
              </w:rPr>
              <w:t>n.p</w:t>
            </w:r>
            <w:proofErr w:type="spellEnd"/>
            <w:r w:rsidRPr="00A83097">
              <w:rPr>
                <w:rFonts w:asciiTheme="minorHAnsi" w:hAnsiTheme="minorHAnsi" w:cstheme="minorHAnsi"/>
                <w:b/>
                <w:szCs w:val="22"/>
              </w:rPr>
              <w:t>.</w:t>
            </w:r>
          </w:p>
        </w:tc>
        <w:tc>
          <w:tcPr>
            <w:tcW w:w="1119" w:type="dxa"/>
          </w:tcPr>
          <w:p w:rsidR="008E4A1C" w:rsidRPr="00A83097" w:rsidRDefault="008E4A1C" w:rsidP="00987128">
            <w:pPr>
              <w:pStyle w:val="TableFigText"/>
              <w:jc w:val="right"/>
              <w:rPr>
                <w:rFonts w:asciiTheme="minorHAnsi" w:hAnsiTheme="minorHAnsi" w:cstheme="minorHAnsi"/>
                <w:b/>
                <w:szCs w:val="22"/>
              </w:rPr>
            </w:pPr>
            <w:proofErr w:type="spellStart"/>
            <w:r w:rsidRPr="00A83097">
              <w:rPr>
                <w:rFonts w:asciiTheme="minorHAnsi" w:hAnsiTheme="minorHAnsi" w:cstheme="minorHAnsi"/>
                <w:b/>
                <w:szCs w:val="22"/>
              </w:rPr>
              <w:t>n.p</w:t>
            </w:r>
            <w:proofErr w:type="spellEnd"/>
            <w:r w:rsidRPr="00A83097">
              <w:rPr>
                <w:rFonts w:asciiTheme="minorHAnsi" w:hAnsiTheme="minorHAnsi" w:cstheme="minorHAnsi"/>
                <w:b/>
                <w:szCs w:val="22"/>
              </w:rPr>
              <w:t>.</w:t>
            </w:r>
          </w:p>
        </w:tc>
        <w:tc>
          <w:tcPr>
            <w:tcW w:w="997" w:type="dxa"/>
          </w:tcPr>
          <w:p w:rsidR="008E4A1C" w:rsidRPr="00A83097" w:rsidRDefault="008E4A1C" w:rsidP="00987128">
            <w:pPr>
              <w:pStyle w:val="TableFigText"/>
              <w:jc w:val="right"/>
              <w:rPr>
                <w:rFonts w:asciiTheme="minorHAnsi" w:hAnsiTheme="minorHAnsi" w:cstheme="minorHAnsi"/>
                <w:b/>
                <w:szCs w:val="22"/>
              </w:rPr>
            </w:pPr>
            <w:r w:rsidRPr="00A83097">
              <w:rPr>
                <w:rFonts w:asciiTheme="minorHAnsi" w:hAnsiTheme="minorHAnsi" w:cstheme="minorHAnsi"/>
                <w:b/>
                <w:szCs w:val="22"/>
              </w:rPr>
              <w:t>147</w:t>
            </w:r>
          </w:p>
        </w:tc>
      </w:tr>
    </w:tbl>
    <w:p w:rsidR="008E4A1C" w:rsidRPr="00CC76C9" w:rsidRDefault="008E4A1C" w:rsidP="008E4A1C">
      <w:pPr>
        <w:pStyle w:val="TableFigNotesnumbered"/>
        <w:rPr>
          <w:rStyle w:val="table-note"/>
        </w:rPr>
      </w:pPr>
      <w:proofErr w:type="spellStart"/>
      <w:proofErr w:type="gramStart"/>
      <w:r w:rsidRPr="00CC76C9">
        <w:rPr>
          <w:rStyle w:val="table-note"/>
        </w:rPr>
        <w:t>n.p</w:t>
      </w:r>
      <w:proofErr w:type="spellEnd"/>
      <w:r w:rsidRPr="00CC76C9">
        <w:rPr>
          <w:rStyle w:val="table-note"/>
        </w:rPr>
        <w:t>.</w:t>
      </w:r>
      <w:proofErr w:type="gramEnd"/>
      <w:r w:rsidRPr="00CC76C9">
        <w:rPr>
          <w:rStyle w:val="table-note"/>
        </w:rPr>
        <w:t xml:space="preserve"> Not published.</w:t>
      </w:r>
    </w:p>
    <w:p w:rsidR="008E4A1C" w:rsidRPr="00CC76C9" w:rsidRDefault="008E4A1C" w:rsidP="008E4A1C">
      <w:pPr>
        <w:pStyle w:val="TableFigNotesnumbered"/>
        <w:ind w:left="0" w:firstLine="0"/>
        <w:rPr>
          <w:rStyle w:val="table-note"/>
        </w:rPr>
      </w:pPr>
      <w:r w:rsidRPr="00CC76C9">
        <w:rPr>
          <w:rStyle w:val="table-note"/>
        </w:rPr>
        <w:t>Source: National Mental Health Establishments Database.</w:t>
      </w:r>
    </w:p>
    <w:p w:rsidR="008E4A1C" w:rsidRDefault="008E4A1C" w:rsidP="008E4A1C">
      <w:pPr>
        <w:pStyle w:val="TableFigNotesnumbered"/>
        <w:rPr>
          <w:rFonts w:asciiTheme="minorHAnsi" w:hAnsiTheme="minorHAnsi"/>
        </w:rPr>
      </w:pPr>
    </w:p>
    <w:p w:rsidR="008E4A1C" w:rsidRDefault="008E4A1C" w:rsidP="008E4A1C">
      <w:pPr>
        <w:spacing w:before="0" w:after="0" w:line="240" w:lineRule="auto"/>
        <w:rPr>
          <w:rFonts w:asciiTheme="minorHAnsi" w:hAnsiTheme="minorHAnsi" w:cs="Arial"/>
          <w:sz w:val="14"/>
          <w:szCs w:val="14"/>
        </w:rPr>
      </w:pPr>
    </w:p>
    <w:p w:rsidR="008E4A1C" w:rsidRPr="008A3F74" w:rsidRDefault="008A3F74" w:rsidP="008E4A1C">
      <w:pPr>
        <w:pStyle w:val="TableCaption"/>
        <w:rPr>
          <w:rStyle w:val="table-note"/>
        </w:rPr>
      </w:pPr>
      <w:r w:rsidRPr="008A3F74">
        <w:rPr>
          <w:rStyle w:val="table-note"/>
        </w:rPr>
        <w:lastRenderedPageBreak/>
        <w:t xml:space="preserve">Table 78: </w:t>
      </w:r>
      <w:r w:rsidR="008E4A1C" w:rsidRPr="008A3F74">
        <w:rPr>
          <w:rStyle w:val="table-note"/>
        </w:rPr>
        <w:t xml:space="preserve">ACT: Full-time-equivalent staff, state and territory specialised mental health care facilities, by staffing category, 2007–08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CT: Full-time-equivalent staff, state and territory specialised mental health care facilities, by staffing category, 2007–08 "/>
        <w:tblDescription w:val="Table showing that, in 2007-2008, in the ACT nurses were the most commonly employed in specialised mental health care facilities with an FTE rate of 169.4. "/>
      </w:tblPr>
      <w:tblGrid>
        <w:gridCol w:w="2399"/>
        <w:gridCol w:w="1157"/>
        <w:gridCol w:w="1355"/>
        <w:gridCol w:w="1224"/>
        <w:gridCol w:w="1023"/>
        <w:gridCol w:w="1070"/>
        <w:gridCol w:w="1058"/>
      </w:tblGrid>
      <w:tr w:rsidR="008E4A1C" w:rsidRPr="001B1E83" w:rsidTr="000C3DEA">
        <w:trPr>
          <w:tblHeader/>
        </w:trPr>
        <w:tc>
          <w:tcPr>
            <w:tcW w:w="2399" w:type="dxa"/>
          </w:tcPr>
          <w:p w:rsidR="008E4A1C" w:rsidRPr="001B1E83" w:rsidRDefault="008E4A1C" w:rsidP="00987128">
            <w:pPr>
              <w:pStyle w:val="TableFigText"/>
              <w:keepNext/>
              <w:rPr>
                <w:rFonts w:asciiTheme="minorHAnsi" w:hAnsiTheme="minorHAnsi" w:cstheme="minorHAnsi"/>
                <w:szCs w:val="22"/>
              </w:rPr>
            </w:pPr>
          </w:p>
        </w:tc>
        <w:tc>
          <w:tcPr>
            <w:tcW w:w="1157" w:type="dxa"/>
          </w:tcPr>
          <w:p w:rsidR="008E4A1C" w:rsidRPr="001B1E83" w:rsidRDefault="008E4A1C" w:rsidP="00987128">
            <w:pPr>
              <w:pStyle w:val="TableFigText"/>
              <w:keepNext/>
              <w:jc w:val="right"/>
              <w:rPr>
                <w:rFonts w:asciiTheme="minorHAnsi" w:hAnsiTheme="minorHAnsi" w:cstheme="minorHAnsi"/>
                <w:b/>
                <w:szCs w:val="22"/>
              </w:rPr>
            </w:pPr>
            <w:r w:rsidRPr="001B1E83">
              <w:rPr>
                <w:rFonts w:asciiTheme="minorHAnsi" w:hAnsiTheme="minorHAnsi" w:cstheme="minorHAnsi"/>
                <w:b/>
                <w:szCs w:val="22"/>
              </w:rPr>
              <w:t>Major cities</w:t>
            </w:r>
          </w:p>
        </w:tc>
        <w:tc>
          <w:tcPr>
            <w:tcW w:w="1355" w:type="dxa"/>
          </w:tcPr>
          <w:p w:rsidR="008E4A1C" w:rsidRPr="001B1E83" w:rsidRDefault="008E4A1C" w:rsidP="00987128">
            <w:pPr>
              <w:pStyle w:val="TableFigText"/>
              <w:keepNext/>
              <w:jc w:val="right"/>
              <w:rPr>
                <w:rFonts w:asciiTheme="minorHAnsi" w:hAnsiTheme="minorHAnsi" w:cstheme="minorHAnsi"/>
                <w:b/>
                <w:szCs w:val="22"/>
              </w:rPr>
            </w:pPr>
            <w:r w:rsidRPr="001B1E83">
              <w:rPr>
                <w:rFonts w:asciiTheme="minorHAnsi" w:hAnsiTheme="minorHAnsi" w:cstheme="minorHAnsi"/>
                <w:b/>
                <w:szCs w:val="22"/>
              </w:rPr>
              <w:t>Inner regional</w:t>
            </w:r>
          </w:p>
        </w:tc>
        <w:tc>
          <w:tcPr>
            <w:tcW w:w="1224" w:type="dxa"/>
          </w:tcPr>
          <w:p w:rsidR="008E4A1C" w:rsidRPr="001B1E83" w:rsidRDefault="008E4A1C" w:rsidP="00987128">
            <w:pPr>
              <w:pStyle w:val="TableFigText"/>
              <w:keepNext/>
              <w:jc w:val="right"/>
              <w:rPr>
                <w:rFonts w:asciiTheme="minorHAnsi" w:hAnsiTheme="minorHAnsi" w:cstheme="minorHAnsi"/>
                <w:b/>
                <w:szCs w:val="22"/>
              </w:rPr>
            </w:pPr>
            <w:r w:rsidRPr="001B1E83">
              <w:rPr>
                <w:rFonts w:asciiTheme="minorHAnsi" w:hAnsiTheme="minorHAnsi" w:cstheme="minorHAnsi"/>
                <w:b/>
                <w:szCs w:val="22"/>
              </w:rPr>
              <w:t>Outer regional</w:t>
            </w:r>
          </w:p>
        </w:tc>
        <w:tc>
          <w:tcPr>
            <w:tcW w:w="1023" w:type="dxa"/>
          </w:tcPr>
          <w:p w:rsidR="008E4A1C" w:rsidRPr="001B1E83" w:rsidRDefault="008E4A1C" w:rsidP="00987128">
            <w:pPr>
              <w:pStyle w:val="TableFigText"/>
              <w:keepNext/>
              <w:jc w:val="right"/>
              <w:rPr>
                <w:rFonts w:asciiTheme="minorHAnsi" w:hAnsiTheme="minorHAnsi" w:cstheme="minorHAnsi"/>
                <w:b/>
                <w:szCs w:val="22"/>
              </w:rPr>
            </w:pPr>
            <w:r w:rsidRPr="001B1E83">
              <w:rPr>
                <w:rFonts w:asciiTheme="minorHAnsi" w:hAnsiTheme="minorHAnsi" w:cstheme="minorHAnsi"/>
                <w:b/>
                <w:szCs w:val="22"/>
              </w:rPr>
              <w:t>Remote</w:t>
            </w:r>
          </w:p>
        </w:tc>
        <w:tc>
          <w:tcPr>
            <w:tcW w:w="1070" w:type="dxa"/>
          </w:tcPr>
          <w:p w:rsidR="008E4A1C" w:rsidRPr="001B1E83" w:rsidRDefault="008E4A1C" w:rsidP="00987128">
            <w:pPr>
              <w:pStyle w:val="TableFigText"/>
              <w:keepNext/>
              <w:jc w:val="right"/>
              <w:rPr>
                <w:rFonts w:asciiTheme="minorHAnsi" w:hAnsiTheme="minorHAnsi" w:cstheme="minorHAnsi"/>
                <w:b/>
                <w:szCs w:val="22"/>
              </w:rPr>
            </w:pPr>
            <w:r w:rsidRPr="001B1E83">
              <w:rPr>
                <w:rFonts w:asciiTheme="minorHAnsi" w:hAnsiTheme="minorHAnsi" w:cstheme="minorHAnsi"/>
                <w:b/>
                <w:szCs w:val="22"/>
              </w:rPr>
              <w:t>Very remote</w:t>
            </w:r>
          </w:p>
        </w:tc>
        <w:tc>
          <w:tcPr>
            <w:tcW w:w="1058" w:type="dxa"/>
          </w:tcPr>
          <w:p w:rsidR="008E4A1C" w:rsidRPr="001B1E83" w:rsidRDefault="008E4A1C" w:rsidP="00987128">
            <w:pPr>
              <w:pStyle w:val="TableFigText"/>
              <w:keepNext/>
              <w:jc w:val="right"/>
              <w:rPr>
                <w:rFonts w:asciiTheme="minorHAnsi" w:hAnsiTheme="minorHAnsi" w:cstheme="minorHAnsi"/>
                <w:b/>
                <w:szCs w:val="22"/>
              </w:rPr>
            </w:pPr>
            <w:r w:rsidRPr="001B1E83">
              <w:rPr>
                <w:rFonts w:asciiTheme="minorHAnsi" w:hAnsiTheme="minorHAnsi" w:cstheme="minorHAnsi"/>
                <w:b/>
                <w:szCs w:val="22"/>
              </w:rPr>
              <w:t>Total</w:t>
            </w:r>
            <w:r w:rsidRPr="001B1E83">
              <w:rPr>
                <w:rFonts w:asciiTheme="minorHAnsi" w:hAnsiTheme="minorHAnsi" w:cstheme="minorHAnsi"/>
                <w:b/>
                <w:szCs w:val="22"/>
                <w:vertAlign w:val="superscript"/>
              </w:rPr>
              <w:t>(a)</w:t>
            </w:r>
          </w:p>
        </w:tc>
      </w:tr>
      <w:tr w:rsidR="008E4A1C" w:rsidRPr="001B1E83" w:rsidTr="00987128">
        <w:tc>
          <w:tcPr>
            <w:tcW w:w="2399" w:type="dxa"/>
          </w:tcPr>
          <w:p w:rsidR="008E4A1C" w:rsidRPr="001B1E83" w:rsidRDefault="008E4A1C" w:rsidP="00987128">
            <w:pPr>
              <w:pStyle w:val="TableFigText"/>
              <w:keepNext/>
              <w:rPr>
                <w:rFonts w:asciiTheme="minorHAnsi" w:hAnsiTheme="minorHAnsi" w:cstheme="minorHAnsi"/>
                <w:szCs w:val="22"/>
              </w:rPr>
            </w:pPr>
            <w:r w:rsidRPr="001B1E83">
              <w:rPr>
                <w:rFonts w:asciiTheme="minorHAnsi" w:hAnsiTheme="minorHAnsi" w:cstheme="minorHAnsi"/>
                <w:szCs w:val="22"/>
              </w:rPr>
              <w:t>Consultant psychiatrists and psychiatrists</w:t>
            </w:r>
          </w:p>
        </w:tc>
        <w:tc>
          <w:tcPr>
            <w:tcW w:w="1157" w:type="dxa"/>
          </w:tcPr>
          <w:p w:rsidR="008E4A1C" w:rsidRPr="00F50EBF" w:rsidRDefault="008E4A1C" w:rsidP="00987128">
            <w:pPr>
              <w:pStyle w:val="TableFigText"/>
              <w:jc w:val="right"/>
              <w:rPr>
                <w:rFonts w:asciiTheme="minorHAnsi" w:hAnsiTheme="minorHAnsi" w:cstheme="minorHAnsi"/>
                <w:szCs w:val="22"/>
              </w:rPr>
            </w:pPr>
            <w:proofErr w:type="spellStart"/>
            <w:r w:rsidRPr="001262CA">
              <w:rPr>
                <w:rFonts w:asciiTheme="minorHAnsi" w:hAnsiTheme="minorHAnsi" w:cstheme="minorHAnsi"/>
                <w:szCs w:val="22"/>
              </w:rPr>
              <w:t>n.p</w:t>
            </w:r>
            <w:proofErr w:type="spellEnd"/>
            <w:r w:rsidRPr="001262CA">
              <w:rPr>
                <w:rFonts w:asciiTheme="minorHAnsi" w:hAnsiTheme="minorHAnsi" w:cstheme="minorHAnsi"/>
                <w:szCs w:val="22"/>
              </w:rPr>
              <w:t>.</w:t>
            </w:r>
          </w:p>
        </w:tc>
        <w:tc>
          <w:tcPr>
            <w:tcW w:w="1355" w:type="dxa"/>
          </w:tcPr>
          <w:p w:rsidR="008E4A1C" w:rsidRPr="00F50EBF" w:rsidRDefault="008E4A1C" w:rsidP="00987128">
            <w:pPr>
              <w:pStyle w:val="TableFigText"/>
              <w:jc w:val="right"/>
              <w:rPr>
                <w:rFonts w:asciiTheme="minorHAnsi" w:hAnsiTheme="minorHAnsi" w:cstheme="minorHAnsi"/>
                <w:szCs w:val="22"/>
              </w:rPr>
            </w:pPr>
            <w:proofErr w:type="spellStart"/>
            <w:r w:rsidRPr="001262CA">
              <w:rPr>
                <w:rFonts w:asciiTheme="minorHAnsi" w:hAnsiTheme="minorHAnsi" w:cstheme="minorHAnsi"/>
                <w:szCs w:val="22"/>
              </w:rPr>
              <w:t>n.p</w:t>
            </w:r>
            <w:proofErr w:type="spellEnd"/>
            <w:r w:rsidRPr="001262CA">
              <w:rPr>
                <w:rFonts w:asciiTheme="minorHAnsi" w:hAnsiTheme="minorHAnsi" w:cstheme="minorHAnsi"/>
                <w:szCs w:val="22"/>
              </w:rPr>
              <w:t>.</w:t>
            </w:r>
          </w:p>
        </w:tc>
        <w:tc>
          <w:tcPr>
            <w:tcW w:w="1224" w:type="dxa"/>
          </w:tcPr>
          <w:p w:rsidR="008E4A1C" w:rsidRPr="00F50EBF" w:rsidRDefault="008E4A1C" w:rsidP="00987128">
            <w:pPr>
              <w:pStyle w:val="TableFigText"/>
              <w:jc w:val="right"/>
              <w:rPr>
                <w:rFonts w:asciiTheme="minorHAnsi" w:hAnsiTheme="minorHAnsi" w:cstheme="minorHAnsi"/>
                <w:szCs w:val="22"/>
              </w:rPr>
            </w:pPr>
            <w:proofErr w:type="spellStart"/>
            <w:r w:rsidRPr="001262CA">
              <w:rPr>
                <w:rFonts w:asciiTheme="minorHAnsi" w:hAnsiTheme="minorHAnsi" w:cstheme="minorHAnsi"/>
                <w:szCs w:val="22"/>
              </w:rPr>
              <w:t>n.p</w:t>
            </w:r>
            <w:proofErr w:type="spellEnd"/>
            <w:r w:rsidRPr="001262CA">
              <w:rPr>
                <w:rFonts w:asciiTheme="minorHAnsi" w:hAnsiTheme="minorHAnsi" w:cstheme="minorHAnsi"/>
                <w:szCs w:val="22"/>
              </w:rPr>
              <w:t>.</w:t>
            </w:r>
          </w:p>
        </w:tc>
        <w:tc>
          <w:tcPr>
            <w:tcW w:w="1023" w:type="dxa"/>
          </w:tcPr>
          <w:p w:rsidR="008E4A1C" w:rsidRPr="00F50EBF" w:rsidRDefault="008E4A1C" w:rsidP="00987128">
            <w:pPr>
              <w:pStyle w:val="TableFigText"/>
              <w:jc w:val="right"/>
              <w:rPr>
                <w:rFonts w:asciiTheme="minorHAnsi" w:hAnsiTheme="minorHAnsi" w:cstheme="minorHAnsi"/>
                <w:szCs w:val="22"/>
              </w:rPr>
            </w:pPr>
            <w:proofErr w:type="spellStart"/>
            <w:r w:rsidRPr="001262CA">
              <w:rPr>
                <w:rFonts w:asciiTheme="minorHAnsi" w:hAnsiTheme="minorHAnsi" w:cstheme="minorHAnsi"/>
                <w:szCs w:val="22"/>
              </w:rPr>
              <w:t>n.p</w:t>
            </w:r>
            <w:proofErr w:type="spellEnd"/>
            <w:r w:rsidRPr="001262CA">
              <w:rPr>
                <w:rFonts w:asciiTheme="minorHAnsi" w:hAnsiTheme="minorHAnsi" w:cstheme="minorHAnsi"/>
                <w:szCs w:val="22"/>
              </w:rPr>
              <w:t>.</w:t>
            </w:r>
          </w:p>
        </w:tc>
        <w:tc>
          <w:tcPr>
            <w:tcW w:w="1070" w:type="dxa"/>
          </w:tcPr>
          <w:p w:rsidR="008E4A1C" w:rsidRPr="00F50EBF" w:rsidRDefault="008E4A1C" w:rsidP="00987128">
            <w:pPr>
              <w:pStyle w:val="TableFigText"/>
              <w:jc w:val="right"/>
              <w:rPr>
                <w:rFonts w:asciiTheme="minorHAnsi" w:hAnsiTheme="minorHAnsi" w:cstheme="minorHAnsi"/>
                <w:szCs w:val="22"/>
              </w:rPr>
            </w:pPr>
            <w:proofErr w:type="spellStart"/>
            <w:r w:rsidRPr="001262CA">
              <w:rPr>
                <w:rFonts w:asciiTheme="minorHAnsi" w:hAnsiTheme="minorHAnsi" w:cstheme="minorHAnsi"/>
                <w:szCs w:val="22"/>
              </w:rPr>
              <w:t>n.p</w:t>
            </w:r>
            <w:proofErr w:type="spellEnd"/>
            <w:r w:rsidRPr="001262CA">
              <w:rPr>
                <w:rFonts w:asciiTheme="minorHAnsi" w:hAnsiTheme="minorHAnsi" w:cstheme="minorHAnsi"/>
                <w:szCs w:val="22"/>
              </w:rPr>
              <w:t>.</w:t>
            </w:r>
          </w:p>
        </w:tc>
        <w:tc>
          <w:tcPr>
            <w:tcW w:w="1058" w:type="dxa"/>
            <w:vAlign w:val="bottom"/>
          </w:tcPr>
          <w:p w:rsidR="008E4A1C" w:rsidRPr="00EB65E0" w:rsidRDefault="008E4A1C" w:rsidP="00987128">
            <w:pPr>
              <w:pStyle w:val="TableFigText"/>
              <w:jc w:val="right"/>
              <w:rPr>
                <w:rFonts w:asciiTheme="minorHAnsi" w:hAnsiTheme="minorHAnsi" w:cstheme="minorHAnsi"/>
                <w:szCs w:val="22"/>
              </w:rPr>
            </w:pPr>
            <w:r w:rsidRPr="00EB65E0">
              <w:rPr>
                <w:rFonts w:asciiTheme="minorHAnsi" w:hAnsiTheme="minorHAnsi" w:cstheme="minorHAnsi"/>
                <w:szCs w:val="22"/>
              </w:rPr>
              <w:t>14.8</w:t>
            </w:r>
          </w:p>
        </w:tc>
      </w:tr>
      <w:tr w:rsidR="008E4A1C" w:rsidRPr="001B1E83" w:rsidTr="00987128">
        <w:tc>
          <w:tcPr>
            <w:tcW w:w="2399" w:type="dxa"/>
          </w:tcPr>
          <w:p w:rsidR="008E4A1C" w:rsidRPr="001B1E83" w:rsidRDefault="008E4A1C" w:rsidP="00987128">
            <w:pPr>
              <w:pStyle w:val="TableFigText"/>
              <w:keepNext/>
              <w:rPr>
                <w:rFonts w:asciiTheme="minorHAnsi" w:hAnsiTheme="minorHAnsi" w:cstheme="minorHAnsi"/>
                <w:szCs w:val="22"/>
              </w:rPr>
            </w:pPr>
            <w:r w:rsidRPr="001B1E83">
              <w:rPr>
                <w:rFonts w:asciiTheme="minorHAnsi" w:hAnsiTheme="minorHAnsi" w:cstheme="minorHAnsi"/>
                <w:szCs w:val="22"/>
              </w:rPr>
              <w:t>Psychiatry registrars and trainees</w:t>
            </w:r>
          </w:p>
        </w:tc>
        <w:tc>
          <w:tcPr>
            <w:tcW w:w="1157" w:type="dxa"/>
          </w:tcPr>
          <w:p w:rsidR="008E4A1C" w:rsidRPr="00F50EBF" w:rsidRDefault="008E4A1C" w:rsidP="00987128">
            <w:pPr>
              <w:pStyle w:val="TableFigText"/>
              <w:jc w:val="right"/>
              <w:rPr>
                <w:rFonts w:asciiTheme="minorHAnsi" w:hAnsiTheme="minorHAnsi" w:cstheme="minorHAnsi"/>
                <w:szCs w:val="22"/>
              </w:rPr>
            </w:pPr>
            <w:proofErr w:type="spellStart"/>
            <w:r w:rsidRPr="001262CA">
              <w:rPr>
                <w:rFonts w:asciiTheme="minorHAnsi" w:hAnsiTheme="minorHAnsi" w:cstheme="minorHAnsi"/>
                <w:szCs w:val="22"/>
              </w:rPr>
              <w:t>n.p</w:t>
            </w:r>
            <w:proofErr w:type="spellEnd"/>
            <w:r w:rsidRPr="001262CA">
              <w:rPr>
                <w:rFonts w:asciiTheme="minorHAnsi" w:hAnsiTheme="minorHAnsi" w:cstheme="minorHAnsi"/>
                <w:szCs w:val="22"/>
              </w:rPr>
              <w:t>.</w:t>
            </w:r>
          </w:p>
        </w:tc>
        <w:tc>
          <w:tcPr>
            <w:tcW w:w="1355" w:type="dxa"/>
          </w:tcPr>
          <w:p w:rsidR="008E4A1C" w:rsidRPr="00F50EBF" w:rsidRDefault="008E4A1C" w:rsidP="00987128">
            <w:pPr>
              <w:pStyle w:val="TableFigText"/>
              <w:jc w:val="right"/>
              <w:rPr>
                <w:rFonts w:asciiTheme="minorHAnsi" w:hAnsiTheme="minorHAnsi" w:cstheme="minorHAnsi"/>
                <w:szCs w:val="22"/>
              </w:rPr>
            </w:pPr>
            <w:proofErr w:type="spellStart"/>
            <w:r w:rsidRPr="001262CA">
              <w:rPr>
                <w:rFonts w:asciiTheme="minorHAnsi" w:hAnsiTheme="minorHAnsi" w:cstheme="minorHAnsi"/>
                <w:szCs w:val="22"/>
              </w:rPr>
              <w:t>n.p</w:t>
            </w:r>
            <w:proofErr w:type="spellEnd"/>
            <w:r w:rsidRPr="001262CA">
              <w:rPr>
                <w:rFonts w:asciiTheme="minorHAnsi" w:hAnsiTheme="minorHAnsi" w:cstheme="minorHAnsi"/>
                <w:szCs w:val="22"/>
              </w:rPr>
              <w:t>.</w:t>
            </w:r>
          </w:p>
        </w:tc>
        <w:tc>
          <w:tcPr>
            <w:tcW w:w="1224" w:type="dxa"/>
          </w:tcPr>
          <w:p w:rsidR="008E4A1C" w:rsidRPr="00F50EBF" w:rsidRDefault="008E4A1C" w:rsidP="00987128">
            <w:pPr>
              <w:pStyle w:val="TableFigText"/>
              <w:jc w:val="right"/>
              <w:rPr>
                <w:rFonts w:asciiTheme="minorHAnsi" w:hAnsiTheme="minorHAnsi" w:cstheme="minorHAnsi"/>
                <w:szCs w:val="22"/>
              </w:rPr>
            </w:pPr>
            <w:proofErr w:type="spellStart"/>
            <w:r w:rsidRPr="001262CA">
              <w:rPr>
                <w:rFonts w:asciiTheme="minorHAnsi" w:hAnsiTheme="minorHAnsi" w:cstheme="minorHAnsi"/>
                <w:szCs w:val="22"/>
              </w:rPr>
              <w:t>n.p</w:t>
            </w:r>
            <w:proofErr w:type="spellEnd"/>
            <w:r w:rsidRPr="001262CA">
              <w:rPr>
                <w:rFonts w:asciiTheme="minorHAnsi" w:hAnsiTheme="minorHAnsi" w:cstheme="minorHAnsi"/>
                <w:szCs w:val="22"/>
              </w:rPr>
              <w:t>.</w:t>
            </w:r>
          </w:p>
        </w:tc>
        <w:tc>
          <w:tcPr>
            <w:tcW w:w="1023" w:type="dxa"/>
          </w:tcPr>
          <w:p w:rsidR="008E4A1C" w:rsidRPr="00F50EBF" w:rsidRDefault="008E4A1C" w:rsidP="00987128">
            <w:pPr>
              <w:pStyle w:val="TableFigText"/>
              <w:jc w:val="right"/>
              <w:rPr>
                <w:rFonts w:asciiTheme="minorHAnsi" w:hAnsiTheme="minorHAnsi" w:cstheme="minorHAnsi"/>
                <w:szCs w:val="22"/>
              </w:rPr>
            </w:pPr>
            <w:proofErr w:type="spellStart"/>
            <w:r w:rsidRPr="001262CA">
              <w:rPr>
                <w:rFonts w:asciiTheme="minorHAnsi" w:hAnsiTheme="minorHAnsi" w:cstheme="minorHAnsi"/>
                <w:szCs w:val="22"/>
              </w:rPr>
              <w:t>n.p</w:t>
            </w:r>
            <w:proofErr w:type="spellEnd"/>
            <w:r w:rsidRPr="001262CA">
              <w:rPr>
                <w:rFonts w:asciiTheme="minorHAnsi" w:hAnsiTheme="minorHAnsi" w:cstheme="minorHAnsi"/>
                <w:szCs w:val="22"/>
              </w:rPr>
              <w:t>.</w:t>
            </w:r>
          </w:p>
        </w:tc>
        <w:tc>
          <w:tcPr>
            <w:tcW w:w="1070" w:type="dxa"/>
          </w:tcPr>
          <w:p w:rsidR="008E4A1C" w:rsidRPr="00F50EBF" w:rsidRDefault="008E4A1C" w:rsidP="00987128">
            <w:pPr>
              <w:pStyle w:val="TableFigText"/>
              <w:jc w:val="right"/>
              <w:rPr>
                <w:rFonts w:asciiTheme="minorHAnsi" w:hAnsiTheme="minorHAnsi" w:cstheme="minorHAnsi"/>
                <w:szCs w:val="22"/>
              </w:rPr>
            </w:pPr>
            <w:proofErr w:type="spellStart"/>
            <w:r w:rsidRPr="001262CA">
              <w:rPr>
                <w:rFonts w:asciiTheme="minorHAnsi" w:hAnsiTheme="minorHAnsi" w:cstheme="minorHAnsi"/>
                <w:szCs w:val="22"/>
              </w:rPr>
              <w:t>n.p</w:t>
            </w:r>
            <w:proofErr w:type="spellEnd"/>
            <w:r w:rsidRPr="001262CA">
              <w:rPr>
                <w:rFonts w:asciiTheme="minorHAnsi" w:hAnsiTheme="minorHAnsi" w:cstheme="minorHAnsi"/>
                <w:szCs w:val="22"/>
              </w:rPr>
              <w:t>.</w:t>
            </w:r>
          </w:p>
        </w:tc>
        <w:tc>
          <w:tcPr>
            <w:tcW w:w="1058" w:type="dxa"/>
            <w:vAlign w:val="bottom"/>
          </w:tcPr>
          <w:p w:rsidR="008E4A1C" w:rsidRPr="00EB65E0" w:rsidRDefault="008E4A1C" w:rsidP="00987128">
            <w:pPr>
              <w:pStyle w:val="TableFigText"/>
              <w:jc w:val="right"/>
              <w:rPr>
                <w:rFonts w:asciiTheme="minorHAnsi" w:hAnsiTheme="minorHAnsi" w:cstheme="minorHAnsi"/>
                <w:szCs w:val="22"/>
              </w:rPr>
            </w:pPr>
            <w:r w:rsidRPr="00EB65E0">
              <w:rPr>
                <w:rFonts w:asciiTheme="minorHAnsi" w:hAnsiTheme="minorHAnsi" w:cstheme="minorHAnsi"/>
                <w:szCs w:val="22"/>
              </w:rPr>
              <w:t>16.5</w:t>
            </w:r>
          </w:p>
        </w:tc>
      </w:tr>
      <w:tr w:rsidR="008E4A1C" w:rsidRPr="001B1E83" w:rsidTr="00987128">
        <w:tc>
          <w:tcPr>
            <w:tcW w:w="2399" w:type="dxa"/>
          </w:tcPr>
          <w:p w:rsidR="008E4A1C" w:rsidRPr="001B1E83" w:rsidRDefault="008E4A1C" w:rsidP="00987128">
            <w:pPr>
              <w:pStyle w:val="TableFigText"/>
              <w:keepNext/>
              <w:rPr>
                <w:rFonts w:asciiTheme="minorHAnsi" w:hAnsiTheme="minorHAnsi" w:cstheme="minorHAnsi"/>
                <w:szCs w:val="22"/>
              </w:rPr>
            </w:pPr>
            <w:r w:rsidRPr="001B1E83">
              <w:rPr>
                <w:rFonts w:asciiTheme="minorHAnsi" w:hAnsiTheme="minorHAnsi" w:cstheme="minorHAnsi"/>
                <w:szCs w:val="22"/>
              </w:rPr>
              <w:t>Other medical officers</w:t>
            </w:r>
          </w:p>
        </w:tc>
        <w:tc>
          <w:tcPr>
            <w:tcW w:w="1157" w:type="dxa"/>
          </w:tcPr>
          <w:p w:rsidR="008E4A1C" w:rsidRPr="00F50EBF" w:rsidRDefault="008E4A1C" w:rsidP="00987128">
            <w:pPr>
              <w:pStyle w:val="TableFigText"/>
              <w:jc w:val="right"/>
              <w:rPr>
                <w:rFonts w:asciiTheme="minorHAnsi" w:hAnsiTheme="minorHAnsi" w:cstheme="minorHAnsi"/>
                <w:szCs w:val="22"/>
              </w:rPr>
            </w:pPr>
            <w:proofErr w:type="spellStart"/>
            <w:r w:rsidRPr="001262CA">
              <w:rPr>
                <w:rFonts w:asciiTheme="minorHAnsi" w:hAnsiTheme="minorHAnsi" w:cstheme="minorHAnsi"/>
                <w:szCs w:val="22"/>
              </w:rPr>
              <w:t>n.p</w:t>
            </w:r>
            <w:proofErr w:type="spellEnd"/>
            <w:r w:rsidRPr="001262CA">
              <w:rPr>
                <w:rFonts w:asciiTheme="minorHAnsi" w:hAnsiTheme="minorHAnsi" w:cstheme="minorHAnsi"/>
                <w:szCs w:val="22"/>
              </w:rPr>
              <w:t>.</w:t>
            </w:r>
          </w:p>
        </w:tc>
        <w:tc>
          <w:tcPr>
            <w:tcW w:w="1355" w:type="dxa"/>
          </w:tcPr>
          <w:p w:rsidR="008E4A1C" w:rsidRPr="00F50EBF" w:rsidRDefault="008E4A1C" w:rsidP="00987128">
            <w:pPr>
              <w:pStyle w:val="TableFigText"/>
              <w:jc w:val="right"/>
              <w:rPr>
                <w:rFonts w:asciiTheme="minorHAnsi" w:hAnsiTheme="minorHAnsi" w:cstheme="minorHAnsi"/>
                <w:szCs w:val="22"/>
              </w:rPr>
            </w:pPr>
            <w:proofErr w:type="spellStart"/>
            <w:r w:rsidRPr="001262CA">
              <w:rPr>
                <w:rFonts w:asciiTheme="minorHAnsi" w:hAnsiTheme="minorHAnsi" w:cstheme="minorHAnsi"/>
                <w:szCs w:val="22"/>
              </w:rPr>
              <w:t>n.p</w:t>
            </w:r>
            <w:proofErr w:type="spellEnd"/>
            <w:r w:rsidRPr="001262CA">
              <w:rPr>
                <w:rFonts w:asciiTheme="minorHAnsi" w:hAnsiTheme="minorHAnsi" w:cstheme="minorHAnsi"/>
                <w:szCs w:val="22"/>
              </w:rPr>
              <w:t>.</w:t>
            </w:r>
          </w:p>
        </w:tc>
        <w:tc>
          <w:tcPr>
            <w:tcW w:w="1224" w:type="dxa"/>
          </w:tcPr>
          <w:p w:rsidR="008E4A1C" w:rsidRPr="00F50EBF" w:rsidRDefault="008E4A1C" w:rsidP="00987128">
            <w:pPr>
              <w:pStyle w:val="TableFigText"/>
              <w:jc w:val="right"/>
              <w:rPr>
                <w:rFonts w:asciiTheme="minorHAnsi" w:hAnsiTheme="minorHAnsi" w:cstheme="minorHAnsi"/>
                <w:szCs w:val="22"/>
              </w:rPr>
            </w:pPr>
            <w:proofErr w:type="spellStart"/>
            <w:r w:rsidRPr="001262CA">
              <w:rPr>
                <w:rFonts w:asciiTheme="minorHAnsi" w:hAnsiTheme="minorHAnsi" w:cstheme="minorHAnsi"/>
                <w:szCs w:val="22"/>
              </w:rPr>
              <w:t>n.p</w:t>
            </w:r>
            <w:proofErr w:type="spellEnd"/>
            <w:r w:rsidRPr="001262CA">
              <w:rPr>
                <w:rFonts w:asciiTheme="minorHAnsi" w:hAnsiTheme="minorHAnsi" w:cstheme="minorHAnsi"/>
                <w:szCs w:val="22"/>
              </w:rPr>
              <w:t>.</w:t>
            </w:r>
          </w:p>
        </w:tc>
        <w:tc>
          <w:tcPr>
            <w:tcW w:w="1023" w:type="dxa"/>
          </w:tcPr>
          <w:p w:rsidR="008E4A1C" w:rsidRPr="00F50EBF" w:rsidRDefault="008E4A1C" w:rsidP="00987128">
            <w:pPr>
              <w:pStyle w:val="TableFigText"/>
              <w:jc w:val="right"/>
              <w:rPr>
                <w:rFonts w:asciiTheme="minorHAnsi" w:hAnsiTheme="minorHAnsi" w:cstheme="minorHAnsi"/>
                <w:szCs w:val="22"/>
              </w:rPr>
            </w:pPr>
            <w:proofErr w:type="spellStart"/>
            <w:r w:rsidRPr="001262CA">
              <w:rPr>
                <w:rFonts w:asciiTheme="minorHAnsi" w:hAnsiTheme="minorHAnsi" w:cstheme="minorHAnsi"/>
                <w:szCs w:val="22"/>
              </w:rPr>
              <w:t>n.p</w:t>
            </w:r>
            <w:proofErr w:type="spellEnd"/>
            <w:r w:rsidRPr="001262CA">
              <w:rPr>
                <w:rFonts w:asciiTheme="minorHAnsi" w:hAnsiTheme="minorHAnsi" w:cstheme="minorHAnsi"/>
                <w:szCs w:val="22"/>
              </w:rPr>
              <w:t>.</w:t>
            </w:r>
          </w:p>
        </w:tc>
        <w:tc>
          <w:tcPr>
            <w:tcW w:w="1070" w:type="dxa"/>
          </w:tcPr>
          <w:p w:rsidR="008E4A1C" w:rsidRPr="00F50EBF" w:rsidRDefault="008E4A1C" w:rsidP="00987128">
            <w:pPr>
              <w:pStyle w:val="TableFigText"/>
              <w:jc w:val="right"/>
              <w:rPr>
                <w:rFonts w:asciiTheme="minorHAnsi" w:hAnsiTheme="minorHAnsi" w:cstheme="minorHAnsi"/>
                <w:szCs w:val="22"/>
              </w:rPr>
            </w:pPr>
            <w:proofErr w:type="spellStart"/>
            <w:r w:rsidRPr="001262CA">
              <w:rPr>
                <w:rFonts w:asciiTheme="minorHAnsi" w:hAnsiTheme="minorHAnsi" w:cstheme="minorHAnsi"/>
                <w:szCs w:val="22"/>
              </w:rPr>
              <w:t>n.p</w:t>
            </w:r>
            <w:proofErr w:type="spellEnd"/>
            <w:r w:rsidRPr="001262CA">
              <w:rPr>
                <w:rFonts w:asciiTheme="minorHAnsi" w:hAnsiTheme="minorHAnsi" w:cstheme="minorHAnsi"/>
                <w:szCs w:val="22"/>
              </w:rPr>
              <w:t>.</w:t>
            </w:r>
          </w:p>
        </w:tc>
        <w:tc>
          <w:tcPr>
            <w:tcW w:w="1058" w:type="dxa"/>
            <w:vAlign w:val="bottom"/>
          </w:tcPr>
          <w:p w:rsidR="008E4A1C" w:rsidRPr="00EB65E0" w:rsidRDefault="008E4A1C" w:rsidP="00987128">
            <w:pPr>
              <w:pStyle w:val="TableFigText"/>
              <w:jc w:val="right"/>
              <w:rPr>
                <w:rFonts w:asciiTheme="minorHAnsi" w:hAnsiTheme="minorHAnsi" w:cstheme="minorHAnsi"/>
                <w:szCs w:val="22"/>
              </w:rPr>
            </w:pPr>
            <w:r w:rsidRPr="00EB65E0">
              <w:rPr>
                <w:rFonts w:asciiTheme="minorHAnsi" w:hAnsiTheme="minorHAnsi" w:cstheme="minorHAnsi"/>
                <w:szCs w:val="22"/>
              </w:rPr>
              <w:t>1.4</w:t>
            </w:r>
          </w:p>
        </w:tc>
      </w:tr>
      <w:tr w:rsidR="008E4A1C" w:rsidRPr="001B1E83" w:rsidTr="00987128">
        <w:tc>
          <w:tcPr>
            <w:tcW w:w="2399" w:type="dxa"/>
          </w:tcPr>
          <w:p w:rsidR="008E4A1C" w:rsidRPr="001B1E83" w:rsidRDefault="008E4A1C" w:rsidP="00987128">
            <w:pPr>
              <w:pStyle w:val="TableFigText"/>
              <w:keepNext/>
              <w:rPr>
                <w:rFonts w:asciiTheme="minorHAnsi" w:hAnsiTheme="minorHAnsi" w:cstheme="minorHAnsi"/>
                <w:szCs w:val="22"/>
              </w:rPr>
            </w:pPr>
            <w:r w:rsidRPr="001B1E83">
              <w:rPr>
                <w:rFonts w:asciiTheme="minorHAnsi" w:hAnsiTheme="minorHAnsi" w:cstheme="minorHAnsi"/>
                <w:szCs w:val="22"/>
              </w:rPr>
              <w:t>Psychologists</w:t>
            </w:r>
          </w:p>
        </w:tc>
        <w:tc>
          <w:tcPr>
            <w:tcW w:w="1157" w:type="dxa"/>
          </w:tcPr>
          <w:p w:rsidR="008E4A1C" w:rsidRPr="00F50EBF" w:rsidRDefault="008E4A1C" w:rsidP="00987128">
            <w:pPr>
              <w:pStyle w:val="TableFigText"/>
              <w:jc w:val="right"/>
              <w:rPr>
                <w:rFonts w:asciiTheme="minorHAnsi" w:hAnsiTheme="minorHAnsi" w:cstheme="minorHAnsi"/>
                <w:szCs w:val="22"/>
              </w:rPr>
            </w:pPr>
            <w:proofErr w:type="spellStart"/>
            <w:r w:rsidRPr="001262CA">
              <w:rPr>
                <w:rFonts w:asciiTheme="minorHAnsi" w:hAnsiTheme="minorHAnsi" w:cstheme="minorHAnsi"/>
                <w:szCs w:val="22"/>
              </w:rPr>
              <w:t>n.p</w:t>
            </w:r>
            <w:proofErr w:type="spellEnd"/>
            <w:r w:rsidRPr="001262CA">
              <w:rPr>
                <w:rFonts w:asciiTheme="minorHAnsi" w:hAnsiTheme="minorHAnsi" w:cstheme="minorHAnsi"/>
                <w:szCs w:val="22"/>
              </w:rPr>
              <w:t>.</w:t>
            </w:r>
          </w:p>
        </w:tc>
        <w:tc>
          <w:tcPr>
            <w:tcW w:w="1355" w:type="dxa"/>
          </w:tcPr>
          <w:p w:rsidR="008E4A1C" w:rsidRPr="00F50EBF" w:rsidRDefault="008E4A1C" w:rsidP="00987128">
            <w:pPr>
              <w:pStyle w:val="TableFigText"/>
              <w:jc w:val="right"/>
              <w:rPr>
                <w:rFonts w:asciiTheme="minorHAnsi" w:hAnsiTheme="minorHAnsi" w:cstheme="minorHAnsi"/>
                <w:szCs w:val="22"/>
              </w:rPr>
            </w:pPr>
            <w:proofErr w:type="spellStart"/>
            <w:r w:rsidRPr="001262CA">
              <w:rPr>
                <w:rFonts w:asciiTheme="minorHAnsi" w:hAnsiTheme="minorHAnsi" w:cstheme="minorHAnsi"/>
                <w:szCs w:val="22"/>
              </w:rPr>
              <w:t>n.p</w:t>
            </w:r>
            <w:proofErr w:type="spellEnd"/>
            <w:r w:rsidRPr="001262CA">
              <w:rPr>
                <w:rFonts w:asciiTheme="minorHAnsi" w:hAnsiTheme="minorHAnsi" w:cstheme="minorHAnsi"/>
                <w:szCs w:val="22"/>
              </w:rPr>
              <w:t>.</w:t>
            </w:r>
          </w:p>
        </w:tc>
        <w:tc>
          <w:tcPr>
            <w:tcW w:w="1224" w:type="dxa"/>
          </w:tcPr>
          <w:p w:rsidR="008E4A1C" w:rsidRPr="00F50EBF" w:rsidRDefault="008E4A1C" w:rsidP="00987128">
            <w:pPr>
              <w:pStyle w:val="TableFigText"/>
              <w:jc w:val="right"/>
              <w:rPr>
                <w:rFonts w:asciiTheme="minorHAnsi" w:hAnsiTheme="minorHAnsi" w:cstheme="minorHAnsi"/>
                <w:szCs w:val="22"/>
              </w:rPr>
            </w:pPr>
            <w:proofErr w:type="spellStart"/>
            <w:r w:rsidRPr="001262CA">
              <w:rPr>
                <w:rFonts w:asciiTheme="minorHAnsi" w:hAnsiTheme="minorHAnsi" w:cstheme="minorHAnsi"/>
                <w:szCs w:val="22"/>
              </w:rPr>
              <w:t>n.p</w:t>
            </w:r>
            <w:proofErr w:type="spellEnd"/>
            <w:r w:rsidRPr="001262CA">
              <w:rPr>
                <w:rFonts w:asciiTheme="minorHAnsi" w:hAnsiTheme="minorHAnsi" w:cstheme="minorHAnsi"/>
                <w:szCs w:val="22"/>
              </w:rPr>
              <w:t>.</w:t>
            </w:r>
          </w:p>
        </w:tc>
        <w:tc>
          <w:tcPr>
            <w:tcW w:w="1023" w:type="dxa"/>
          </w:tcPr>
          <w:p w:rsidR="008E4A1C" w:rsidRPr="00F50EBF" w:rsidRDefault="008E4A1C" w:rsidP="00987128">
            <w:pPr>
              <w:pStyle w:val="TableFigText"/>
              <w:jc w:val="right"/>
              <w:rPr>
                <w:rFonts w:asciiTheme="minorHAnsi" w:hAnsiTheme="minorHAnsi" w:cstheme="minorHAnsi"/>
                <w:szCs w:val="22"/>
              </w:rPr>
            </w:pPr>
            <w:proofErr w:type="spellStart"/>
            <w:r w:rsidRPr="001262CA">
              <w:rPr>
                <w:rFonts w:asciiTheme="minorHAnsi" w:hAnsiTheme="minorHAnsi" w:cstheme="minorHAnsi"/>
                <w:szCs w:val="22"/>
              </w:rPr>
              <w:t>n.p</w:t>
            </w:r>
            <w:proofErr w:type="spellEnd"/>
            <w:r w:rsidRPr="001262CA">
              <w:rPr>
                <w:rFonts w:asciiTheme="minorHAnsi" w:hAnsiTheme="minorHAnsi" w:cstheme="minorHAnsi"/>
                <w:szCs w:val="22"/>
              </w:rPr>
              <w:t>.</w:t>
            </w:r>
          </w:p>
        </w:tc>
        <w:tc>
          <w:tcPr>
            <w:tcW w:w="1070" w:type="dxa"/>
          </w:tcPr>
          <w:p w:rsidR="008E4A1C" w:rsidRPr="00F50EBF" w:rsidRDefault="008E4A1C" w:rsidP="00987128">
            <w:pPr>
              <w:pStyle w:val="TableFigText"/>
              <w:jc w:val="right"/>
              <w:rPr>
                <w:rFonts w:asciiTheme="minorHAnsi" w:hAnsiTheme="minorHAnsi" w:cstheme="minorHAnsi"/>
                <w:szCs w:val="22"/>
              </w:rPr>
            </w:pPr>
            <w:proofErr w:type="spellStart"/>
            <w:r w:rsidRPr="001262CA">
              <w:rPr>
                <w:rFonts w:asciiTheme="minorHAnsi" w:hAnsiTheme="minorHAnsi" w:cstheme="minorHAnsi"/>
                <w:szCs w:val="22"/>
              </w:rPr>
              <w:t>n.p</w:t>
            </w:r>
            <w:proofErr w:type="spellEnd"/>
            <w:r w:rsidRPr="001262CA">
              <w:rPr>
                <w:rFonts w:asciiTheme="minorHAnsi" w:hAnsiTheme="minorHAnsi" w:cstheme="minorHAnsi"/>
                <w:szCs w:val="22"/>
              </w:rPr>
              <w:t>.</w:t>
            </w:r>
          </w:p>
        </w:tc>
        <w:tc>
          <w:tcPr>
            <w:tcW w:w="1058" w:type="dxa"/>
            <w:vAlign w:val="bottom"/>
          </w:tcPr>
          <w:p w:rsidR="008E4A1C" w:rsidRPr="001B1E83" w:rsidRDefault="008E4A1C" w:rsidP="00987128">
            <w:pPr>
              <w:pStyle w:val="TableFigText"/>
              <w:jc w:val="right"/>
              <w:rPr>
                <w:rFonts w:asciiTheme="minorHAnsi" w:hAnsiTheme="minorHAnsi" w:cstheme="minorHAnsi"/>
                <w:szCs w:val="22"/>
              </w:rPr>
            </w:pPr>
            <w:r w:rsidRPr="00EB65E0">
              <w:rPr>
                <w:rFonts w:asciiTheme="minorHAnsi" w:hAnsiTheme="minorHAnsi" w:cstheme="minorHAnsi"/>
                <w:szCs w:val="22"/>
              </w:rPr>
              <w:t>48.9</w:t>
            </w:r>
          </w:p>
        </w:tc>
      </w:tr>
      <w:tr w:rsidR="008E4A1C" w:rsidRPr="001B1E83" w:rsidTr="00987128">
        <w:tc>
          <w:tcPr>
            <w:tcW w:w="2399" w:type="dxa"/>
          </w:tcPr>
          <w:p w:rsidR="008E4A1C" w:rsidRPr="001B1E83" w:rsidRDefault="008E4A1C" w:rsidP="00987128">
            <w:pPr>
              <w:pStyle w:val="TableFigText"/>
              <w:keepNext/>
              <w:rPr>
                <w:rFonts w:asciiTheme="minorHAnsi" w:hAnsiTheme="minorHAnsi" w:cstheme="minorHAnsi"/>
                <w:szCs w:val="22"/>
              </w:rPr>
            </w:pPr>
            <w:r w:rsidRPr="001B1E83">
              <w:rPr>
                <w:rFonts w:asciiTheme="minorHAnsi" w:hAnsiTheme="minorHAnsi" w:cstheme="minorHAnsi"/>
                <w:szCs w:val="22"/>
              </w:rPr>
              <w:t>Diagnostic and health professionals</w:t>
            </w:r>
            <w:r w:rsidRPr="001B1E83">
              <w:rPr>
                <w:rFonts w:asciiTheme="minorHAnsi" w:hAnsiTheme="minorHAnsi" w:cstheme="minorHAnsi"/>
                <w:szCs w:val="22"/>
                <w:vertAlign w:val="superscript"/>
              </w:rPr>
              <w:t>(b)</w:t>
            </w:r>
          </w:p>
        </w:tc>
        <w:tc>
          <w:tcPr>
            <w:tcW w:w="1157" w:type="dxa"/>
          </w:tcPr>
          <w:p w:rsidR="008E4A1C" w:rsidRPr="00F50EBF" w:rsidRDefault="008E4A1C" w:rsidP="00987128">
            <w:pPr>
              <w:pStyle w:val="TableFigText"/>
              <w:jc w:val="right"/>
              <w:rPr>
                <w:rFonts w:asciiTheme="minorHAnsi" w:hAnsiTheme="minorHAnsi" w:cstheme="minorHAnsi"/>
                <w:szCs w:val="22"/>
              </w:rPr>
            </w:pPr>
            <w:proofErr w:type="spellStart"/>
            <w:r w:rsidRPr="001262CA">
              <w:rPr>
                <w:rFonts w:asciiTheme="minorHAnsi" w:hAnsiTheme="minorHAnsi" w:cstheme="minorHAnsi"/>
                <w:szCs w:val="22"/>
              </w:rPr>
              <w:t>n.p</w:t>
            </w:r>
            <w:proofErr w:type="spellEnd"/>
            <w:r w:rsidRPr="001262CA">
              <w:rPr>
                <w:rFonts w:asciiTheme="minorHAnsi" w:hAnsiTheme="minorHAnsi" w:cstheme="minorHAnsi"/>
                <w:szCs w:val="22"/>
              </w:rPr>
              <w:t>.</w:t>
            </w:r>
          </w:p>
        </w:tc>
        <w:tc>
          <w:tcPr>
            <w:tcW w:w="1355" w:type="dxa"/>
          </w:tcPr>
          <w:p w:rsidR="008E4A1C" w:rsidRPr="00F50EBF" w:rsidRDefault="008E4A1C" w:rsidP="00987128">
            <w:pPr>
              <w:pStyle w:val="TableFigText"/>
              <w:jc w:val="right"/>
              <w:rPr>
                <w:rFonts w:asciiTheme="minorHAnsi" w:hAnsiTheme="minorHAnsi" w:cstheme="minorHAnsi"/>
                <w:szCs w:val="22"/>
              </w:rPr>
            </w:pPr>
            <w:proofErr w:type="spellStart"/>
            <w:r w:rsidRPr="001262CA">
              <w:rPr>
                <w:rFonts w:asciiTheme="minorHAnsi" w:hAnsiTheme="minorHAnsi" w:cstheme="minorHAnsi"/>
                <w:szCs w:val="22"/>
              </w:rPr>
              <w:t>n.p</w:t>
            </w:r>
            <w:proofErr w:type="spellEnd"/>
            <w:r w:rsidRPr="001262CA">
              <w:rPr>
                <w:rFonts w:asciiTheme="minorHAnsi" w:hAnsiTheme="minorHAnsi" w:cstheme="minorHAnsi"/>
                <w:szCs w:val="22"/>
              </w:rPr>
              <w:t>.</w:t>
            </w:r>
          </w:p>
        </w:tc>
        <w:tc>
          <w:tcPr>
            <w:tcW w:w="1224" w:type="dxa"/>
          </w:tcPr>
          <w:p w:rsidR="008E4A1C" w:rsidRPr="00F50EBF" w:rsidRDefault="008E4A1C" w:rsidP="00987128">
            <w:pPr>
              <w:pStyle w:val="TableFigText"/>
              <w:jc w:val="right"/>
              <w:rPr>
                <w:rFonts w:asciiTheme="minorHAnsi" w:hAnsiTheme="minorHAnsi" w:cstheme="minorHAnsi"/>
                <w:szCs w:val="22"/>
              </w:rPr>
            </w:pPr>
            <w:proofErr w:type="spellStart"/>
            <w:r w:rsidRPr="001262CA">
              <w:rPr>
                <w:rFonts w:asciiTheme="minorHAnsi" w:hAnsiTheme="minorHAnsi" w:cstheme="minorHAnsi"/>
                <w:szCs w:val="22"/>
              </w:rPr>
              <w:t>n.p</w:t>
            </w:r>
            <w:proofErr w:type="spellEnd"/>
            <w:r w:rsidRPr="001262CA">
              <w:rPr>
                <w:rFonts w:asciiTheme="minorHAnsi" w:hAnsiTheme="minorHAnsi" w:cstheme="minorHAnsi"/>
                <w:szCs w:val="22"/>
              </w:rPr>
              <w:t>.</w:t>
            </w:r>
          </w:p>
        </w:tc>
        <w:tc>
          <w:tcPr>
            <w:tcW w:w="1023" w:type="dxa"/>
          </w:tcPr>
          <w:p w:rsidR="008E4A1C" w:rsidRPr="00F50EBF" w:rsidRDefault="008E4A1C" w:rsidP="00987128">
            <w:pPr>
              <w:pStyle w:val="TableFigText"/>
              <w:jc w:val="right"/>
              <w:rPr>
                <w:rFonts w:asciiTheme="minorHAnsi" w:hAnsiTheme="minorHAnsi" w:cstheme="minorHAnsi"/>
                <w:szCs w:val="22"/>
              </w:rPr>
            </w:pPr>
            <w:proofErr w:type="spellStart"/>
            <w:r w:rsidRPr="001262CA">
              <w:rPr>
                <w:rFonts w:asciiTheme="minorHAnsi" w:hAnsiTheme="minorHAnsi" w:cstheme="minorHAnsi"/>
                <w:szCs w:val="22"/>
              </w:rPr>
              <w:t>n.p</w:t>
            </w:r>
            <w:proofErr w:type="spellEnd"/>
            <w:r w:rsidRPr="001262CA">
              <w:rPr>
                <w:rFonts w:asciiTheme="minorHAnsi" w:hAnsiTheme="minorHAnsi" w:cstheme="minorHAnsi"/>
                <w:szCs w:val="22"/>
              </w:rPr>
              <w:t>.</w:t>
            </w:r>
          </w:p>
        </w:tc>
        <w:tc>
          <w:tcPr>
            <w:tcW w:w="1070" w:type="dxa"/>
          </w:tcPr>
          <w:p w:rsidR="008E4A1C" w:rsidRPr="00F50EBF" w:rsidRDefault="008E4A1C" w:rsidP="00987128">
            <w:pPr>
              <w:pStyle w:val="TableFigText"/>
              <w:jc w:val="right"/>
              <w:rPr>
                <w:rFonts w:asciiTheme="minorHAnsi" w:hAnsiTheme="minorHAnsi" w:cstheme="minorHAnsi"/>
                <w:szCs w:val="22"/>
              </w:rPr>
            </w:pPr>
            <w:proofErr w:type="spellStart"/>
            <w:r w:rsidRPr="001262CA">
              <w:rPr>
                <w:rFonts w:asciiTheme="minorHAnsi" w:hAnsiTheme="minorHAnsi" w:cstheme="minorHAnsi"/>
                <w:szCs w:val="22"/>
              </w:rPr>
              <w:t>n.p</w:t>
            </w:r>
            <w:proofErr w:type="spellEnd"/>
            <w:r w:rsidRPr="001262CA">
              <w:rPr>
                <w:rFonts w:asciiTheme="minorHAnsi" w:hAnsiTheme="minorHAnsi" w:cstheme="minorHAnsi"/>
                <w:szCs w:val="22"/>
              </w:rPr>
              <w:t>.</w:t>
            </w:r>
          </w:p>
        </w:tc>
        <w:tc>
          <w:tcPr>
            <w:tcW w:w="1058" w:type="dxa"/>
            <w:vAlign w:val="bottom"/>
          </w:tcPr>
          <w:p w:rsidR="008E4A1C" w:rsidRPr="001B1E83" w:rsidRDefault="008E4A1C" w:rsidP="00987128">
            <w:pPr>
              <w:pStyle w:val="TableFigText"/>
              <w:jc w:val="right"/>
              <w:rPr>
                <w:rFonts w:asciiTheme="minorHAnsi" w:hAnsiTheme="minorHAnsi" w:cstheme="minorHAnsi"/>
                <w:szCs w:val="22"/>
              </w:rPr>
            </w:pPr>
            <w:r>
              <w:rPr>
                <w:rFonts w:asciiTheme="minorHAnsi" w:hAnsiTheme="minorHAnsi" w:cstheme="minorHAnsi"/>
                <w:szCs w:val="22"/>
              </w:rPr>
              <w:t>31.5</w:t>
            </w:r>
          </w:p>
        </w:tc>
      </w:tr>
      <w:tr w:rsidR="008E4A1C" w:rsidRPr="001B1E83" w:rsidTr="00987128">
        <w:tc>
          <w:tcPr>
            <w:tcW w:w="2399" w:type="dxa"/>
          </w:tcPr>
          <w:p w:rsidR="008E4A1C" w:rsidRPr="001B1E83" w:rsidRDefault="008E4A1C" w:rsidP="00987128">
            <w:pPr>
              <w:pStyle w:val="TableFigText"/>
              <w:keepNext/>
              <w:rPr>
                <w:rFonts w:asciiTheme="minorHAnsi" w:hAnsiTheme="minorHAnsi" w:cstheme="minorHAnsi"/>
                <w:szCs w:val="22"/>
              </w:rPr>
            </w:pPr>
            <w:r w:rsidRPr="001B1E83">
              <w:rPr>
                <w:rFonts w:asciiTheme="minorHAnsi" w:hAnsiTheme="minorHAnsi" w:cstheme="minorHAnsi"/>
                <w:szCs w:val="22"/>
              </w:rPr>
              <w:t>Nurses</w:t>
            </w:r>
            <w:r w:rsidRPr="001B1E83">
              <w:rPr>
                <w:rFonts w:asciiTheme="minorHAnsi" w:hAnsiTheme="minorHAnsi" w:cstheme="minorHAnsi"/>
                <w:szCs w:val="22"/>
                <w:vertAlign w:val="superscript"/>
              </w:rPr>
              <w:t>(c)</w:t>
            </w:r>
          </w:p>
        </w:tc>
        <w:tc>
          <w:tcPr>
            <w:tcW w:w="1157" w:type="dxa"/>
          </w:tcPr>
          <w:p w:rsidR="008E4A1C" w:rsidRPr="00F50EBF" w:rsidRDefault="008E4A1C" w:rsidP="00987128">
            <w:pPr>
              <w:pStyle w:val="TableFigText"/>
              <w:jc w:val="right"/>
              <w:rPr>
                <w:rFonts w:asciiTheme="minorHAnsi" w:hAnsiTheme="minorHAnsi" w:cstheme="minorHAnsi"/>
                <w:szCs w:val="22"/>
              </w:rPr>
            </w:pPr>
            <w:proofErr w:type="spellStart"/>
            <w:r w:rsidRPr="001262CA">
              <w:rPr>
                <w:rFonts w:asciiTheme="minorHAnsi" w:hAnsiTheme="minorHAnsi" w:cstheme="minorHAnsi"/>
                <w:szCs w:val="22"/>
              </w:rPr>
              <w:t>n.p</w:t>
            </w:r>
            <w:proofErr w:type="spellEnd"/>
            <w:r w:rsidRPr="001262CA">
              <w:rPr>
                <w:rFonts w:asciiTheme="minorHAnsi" w:hAnsiTheme="minorHAnsi" w:cstheme="minorHAnsi"/>
                <w:szCs w:val="22"/>
              </w:rPr>
              <w:t>.</w:t>
            </w:r>
          </w:p>
        </w:tc>
        <w:tc>
          <w:tcPr>
            <w:tcW w:w="1355" w:type="dxa"/>
          </w:tcPr>
          <w:p w:rsidR="008E4A1C" w:rsidRPr="00F50EBF" w:rsidRDefault="008E4A1C" w:rsidP="00987128">
            <w:pPr>
              <w:pStyle w:val="TableFigText"/>
              <w:jc w:val="right"/>
              <w:rPr>
                <w:rFonts w:asciiTheme="minorHAnsi" w:hAnsiTheme="minorHAnsi" w:cstheme="minorHAnsi"/>
                <w:szCs w:val="22"/>
              </w:rPr>
            </w:pPr>
            <w:proofErr w:type="spellStart"/>
            <w:r w:rsidRPr="001262CA">
              <w:rPr>
                <w:rFonts w:asciiTheme="minorHAnsi" w:hAnsiTheme="minorHAnsi" w:cstheme="minorHAnsi"/>
                <w:szCs w:val="22"/>
              </w:rPr>
              <w:t>n.p</w:t>
            </w:r>
            <w:proofErr w:type="spellEnd"/>
            <w:r w:rsidRPr="001262CA">
              <w:rPr>
                <w:rFonts w:asciiTheme="minorHAnsi" w:hAnsiTheme="minorHAnsi" w:cstheme="minorHAnsi"/>
                <w:szCs w:val="22"/>
              </w:rPr>
              <w:t>.</w:t>
            </w:r>
          </w:p>
        </w:tc>
        <w:tc>
          <w:tcPr>
            <w:tcW w:w="1224" w:type="dxa"/>
          </w:tcPr>
          <w:p w:rsidR="008E4A1C" w:rsidRPr="00F50EBF" w:rsidRDefault="008E4A1C" w:rsidP="00987128">
            <w:pPr>
              <w:pStyle w:val="TableFigText"/>
              <w:jc w:val="right"/>
              <w:rPr>
                <w:rFonts w:asciiTheme="minorHAnsi" w:hAnsiTheme="minorHAnsi" w:cstheme="minorHAnsi"/>
                <w:szCs w:val="22"/>
              </w:rPr>
            </w:pPr>
            <w:proofErr w:type="spellStart"/>
            <w:r w:rsidRPr="001262CA">
              <w:rPr>
                <w:rFonts w:asciiTheme="minorHAnsi" w:hAnsiTheme="minorHAnsi" w:cstheme="minorHAnsi"/>
                <w:szCs w:val="22"/>
              </w:rPr>
              <w:t>n.p</w:t>
            </w:r>
            <w:proofErr w:type="spellEnd"/>
            <w:r w:rsidRPr="001262CA">
              <w:rPr>
                <w:rFonts w:asciiTheme="minorHAnsi" w:hAnsiTheme="minorHAnsi" w:cstheme="minorHAnsi"/>
                <w:szCs w:val="22"/>
              </w:rPr>
              <w:t>.</w:t>
            </w:r>
          </w:p>
        </w:tc>
        <w:tc>
          <w:tcPr>
            <w:tcW w:w="1023" w:type="dxa"/>
          </w:tcPr>
          <w:p w:rsidR="008E4A1C" w:rsidRPr="00F50EBF" w:rsidRDefault="008E4A1C" w:rsidP="00987128">
            <w:pPr>
              <w:pStyle w:val="TableFigText"/>
              <w:jc w:val="right"/>
              <w:rPr>
                <w:rFonts w:asciiTheme="minorHAnsi" w:hAnsiTheme="minorHAnsi" w:cstheme="minorHAnsi"/>
                <w:szCs w:val="22"/>
              </w:rPr>
            </w:pPr>
            <w:proofErr w:type="spellStart"/>
            <w:r w:rsidRPr="001262CA">
              <w:rPr>
                <w:rFonts w:asciiTheme="minorHAnsi" w:hAnsiTheme="minorHAnsi" w:cstheme="minorHAnsi"/>
                <w:szCs w:val="22"/>
              </w:rPr>
              <w:t>n.p</w:t>
            </w:r>
            <w:proofErr w:type="spellEnd"/>
            <w:r w:rsidRPr="001262CA">
              <w:rPr>
                <w:rFonts w:asciiTheme="minorHAnsi" w:hAnsiTheme="minorHAnsi" w:cstheme="minorHAnsi"/>
                <w:szCs w:val="22"/>
              </w:rPr>
              <w:t>.</w:t>
            </w:r>
          </w:p>
        </w:tc>
        <w:tc>
          <w:tcPr>
            <w:tcW w:w="1070" w:type="dxa"/>
          </w:tcPr>
          <w:p w:rsidR="008E4A1C" w:rsidRPr="00F50EBF" w:rsidRDefault="008E4A1C" w:rsidP="00987128">
            <w:pPr>
              <w:pStyle w:val="TableFigText"/>
              <w:jc w:val="right"/>
              <w:rPr>
                <w:rFonts w:asciiTheme="minorHAnsi" w:hAnsiTheme="minorHAnsi" w:cstheme="minorHAnsi"/>
                <w:szCs w:val="22"/>
              </w:rPr>
            </w:pPr>
            <w:proofErr w:type="spellStart"/>
            <w:r w:rsidRPr="001262CA">
              <w:rPr>
                <w:rFonts w:asciiTheme="minorHAnsi" w:hAnsiTheme="minorHAnsi" w:cstheme="minorHAnsi"/>
                <w:szCs w:val="22"/>
              </w:rPr>
              <w:t>n.p</w:t>
            </w:r>
            <w:proofErr w:type="spellEnd"/>
            <w:r w:rsidRPr="001262CA">
              <w:rPr>
                <w:rFonts w:asciiTheme="minorHAnsi" w:hAnsiTheme="minorHAnsi" w:cstheme="minorHAnsi"/>
                <w:szCs w:val="22"/>
              </w:rPr>
              <w:t>.</w:t>
            </w:r>
          </w:p>
        </w:tc>
        <w:tc>
          <w:tcPr>
            <w:tcW w:w="1058" w:type="dxa"/>
            <w:vAlign w:val="bottom"/>
          </w:tcPr>
          <w:p w:rsidR="008E4A1C" w:rsidRPr="001B1E83" w:rsidRDefault="008E4A1C" w:rsidP="00987128">
            <w:pPr>
              <w:pStyle w:val="TableFigText"/>
              <w:jc w:val="right"/>
              <w:rPr>
                <w:rFonts w:asciiTheme="minorHAnsi" w:hAnsiTheme="minorHAnsi" w:cstheme="minorHAnsi"/>
                <w:szCs w:val="22"/>
              </w:rPr>
            </w:pPr>
            <w:r w:rsidRPr="00EB65E0">
              <w:rPr>
                <w:rFonts w:asciiTheme="minorHAnsi" w:hAnsiTheme="minorHAnsi" w:cstheme="minorHAnsi"/>
                <w:szCs w:val="22"/>
              </w:rPr>
              <w:t>169.4</w:t>
            </w:r>
          </w:p>
        </w:tc>
      </w:tr>
      <w:tr w:rsidR="008E4A1C" w:rsidRPr="001B1E83" w:rsidTr="00987128">
        <w:tc>
          <w:tcPr>
            <w:tcW w:w="2399" w:type="dxa"/>
          </w:tcPr>
          <w:p w:rsidR="008E4A1C" w:rsidRPr="001B1E83" w:rsidRDefault="008E4A1C" w:rsidP="00987128">
            <w:pPr>
              <w:pStyle w:val="TableFigText"/>
              <w:keepNext/>
              <w:rPr>
                <w:rFonts w:asciiTheme="minorHAnsi" w:hAnsiTheme="minorHAnsi" w:cstheme="minorHAnsi"/>
                <w:szCs w:val="22"/>
              </w:rPr>
            </w:pPr>
            <w:r w:rsidRPr="001B1E83">
              <w:rPr>
                <w:rFonts w:asciiTheme="minorHAnsi" w:hAnsiTheme="minorHAnsi" w:cstheme="minorHAnsi"/>
                <w:szCs w:val="22"/>
              </w:rPr>
              <w:t>Carer workers</w:t>
            </w:r>
            <w:r w:rsidRPr="001B1E83">
              <w:rPr>
                <w:rFonts w:asciiTheme="minorHAnsi" w:hAnsiTheme="minorHAnsi" w:cstheme="minorHAnsi"/>
                <w:szCs w:val="22"/>
                <w:vertAlign w:val="superscript"/>
              </w:rPr>
              <w:t>(d)</w:t>
            </w:r>
          </w:p>
        </w:tc>
        <w:tc>
          <w:tcPr>
            <w:tcW w:w="1157" w:type="dxa"/>
          </w:tcPr>
          <w:p w:rsidR="008E4A1C" w:rsidRPr="00F50EBF" w:rsidRDefault="008E4A1C" w:rsidP="00987128">
            <w:pPr>
              <w:pStyle w:val="TableFigText"/>
              <w:jc w:val="right"/>
              <w:rPr>
                <w:rFonts w:asciiTheme="minorHAnsi" w:hAnsiTheme="minorHAnsi" w:cstheme="minorHAnsi"/>
                <w:szCs w:val="22"/>
              </w:rPr>
            </w:pPr>
            <w:proofErr w:type="spellStart"/>
            <w:r w:rsidRPr="001262CA">
              <w:rPr>
                <w:rFonts w:asciiTheme="minorHAnsi" w:hAnsiTheme="minorHAnsi" w:cstheme="minorHAnsi"/>
                <w:szCs w:val="22"/>
              </w:rPr>
              <w:t>n.p</w:t>
            </w:r>
            <w:proofErr w:type="spellEnd"/>
            <w:r w:rsidRPr="001262CA">
              <w:rPr>
                <w:rFonts w:asciiTheme="minorHAnsi" w:hAnsiTheme="minorHAnsi" w:cstheme="minorHAnsi"/>
                <w:szCs w:val="22"/>
              </w:rPr>
              <w:t>.</w:t>
            </w:r>
          </w:p>
        </w:tc>
        <w:tc>
          <w:tcPr>
            <w:tcW w:w="1355" w:type="dxa"/>
          </w:tcPr>
          <w:p w:rsidR="008E4A1C" w:rsidRPr="00F50EBF" w:rsidRDefault="008E4A1C" w:rsidP="00987128">
            <w:pPr>
              <w:pStyle w:val="TableFigText"/>
              <w:jc w:val="right"/>
              <w:rPr>
                <w:rFonts w:asciiTheme="minorHAnsi" w:hAnsiTheme="minorHAnsi" w:cstheme="minorHAnsi"/>
                <w:szCs w:val="22"/>
              </w:rPr>
            </w:pPr>
            <w:proofErr w:type="spellStart"/>
            <w:r w:rsidRPr="001262CA">
              <w:rPr>
                <w:rFonts w:asciiTheme="minorHAnsi" w:hAnsiTheme="minorHAnsi" w:cstheme="minorHAnsi"/>
                <w:szCs w:val="22"/>
              </w:rPr>
              <w:t>n.p</w:t>
            </w:r>
            <w:proofErr w:type="spellEnd"/>
            <w:r w:rsidRPr="001262CA">
              <w:rPr>
                <w:rFonts w:asciiTheme="minorHAnsi" w:hAnsiTheme="minorHAnsi" w:cstheme="minorHAnsi"/>
                <w:szCs w:val="22"/>
              </w:rPr>
              <w:t>.</w:t>
            </w:r>
          </w:p>
        </w:tc>
        <w:tc>
          <w:tcPr>
            <w:tcW w:w="1224" w:type="dxa"/>
          </w:tcPr>
          <w:p w:rsidR="008E4A1C" w:rsidRPr="00F50EBF" w:rsidRDefault="008E4A1C" w:rsidP="00987128">
            <w:pPr>
              <w:pStyle w:val="TableFigText"/>
              <w:jc w:val="right"/>
              <w:rPr>
                <w:rFonts w:asciiTheme="minorHAnsi" w:hAnsiTheme="minorHAnsi" w:cstheme="minorHAnsi"/>
                <w:szCs w:val="22"/>
              </w:rPr>
            </w:pPr>
            <w:proofErr w:type="spellStart"/>
            <w:r w:rsidRPr="001262CA">
              <w:rPr>
                <w:rFonts w:asciiTheme="minorHAnsi" w:hAnsiTheme="minorHAnsi" w:cstheme="minorHAnsi"/>
                <w:szCs w:val="22"/>
              </w:rPr>
              <w:t>n.p</w:t>
            </w:r>
            <w:proofErr w:type="spellEnd"/>
            <w:r w:rsidRPr="001262CA">
              <w:rPr>
                <w:rFonts w:asciiTheme="minorHAnsi" w:hAnsiTheme="minorHAnsi" w:cstheme="minorHAnsi"/>
                <w:szCs w:val="22"/>
              </w:rPr>
              <w:t>.</w:t>
            </w:r>
          </w:p>
        </w:tc>
        <w:tc>
          <w:tcPr>
            <w:tcW w:w="1023" w:type="dxa"/>
          </w:tcPr>
          <w:p w:rsidR="008E4A1C" w:rsidRPr="00F50EBF" w:rsidRDefault="008E4A1C" w:rsidP="00987128">
            <w:pPr>
              <w:pStyle w:val="TableFigText"/>
              <w:jc w:val="right"/>
              <w:rPr>
                <w:rFonts w:asciiTheme="minorHAnsi" w:hAnsiTheme="minorHAnsi" w:cstheme="minorHAnsi"/>
                <w:szCs w:val="22"/>
              </w:rPr>
            </w:pPr>
            <w:proofErr w:type="spellStart"/>
            <w:r w:rsidRPr="001262CA">
              <w:rPr>
                <w:rFonts w:asciiTheme="minorHAnsi" w:hAnsiTheme="minorHAnsi" w:cstheme="minorHAnsi"/>
                <w:szCs w:val="22"/>
              </w:rPr>
              <w:t>n.p</w:t>
            </w:r>
            <w:proofErr w:type="spellEnd"/>
            <w:r w:rsidRPr="001262CA">
              <w:rPr>
                <w:rFonts w:asciiTheme="minorHAnsi" w:hAnsiTheme="minorHAnsi" w:cstheme="minorHAnsi"/>
                <w:szCs w:val="22"/>
              </w:rPr>
              <w:t>.</w:t>
            </w:r>
          </w:p>
        </w:tc>
        <w:tc>
          <w:tcPr>
            <w:tcW w:w="1070" w:type="dxa"/>
          </w:tcPr>
          <w:p w:rsidR="008E4A1C" w:rsidRPr="00F50EBF" w:rsidRDefault="008E4A1C" w:rsidP="00987128">
            <w:pPr>
              <w:pStyle w:val="TableFigText"/>
              <w:jc w:val="right"/>
              <w:rPr>
                <w:rFonts w:asciiTheme="minorHAnsi" w:hAnsiTheme="minorHAnsi" w:cstheme="minorHAnsi"/>
                <w:szCs w:val="22"/>
              </w:rPr>
            </w:pPr>
            <w:proofErr w:type="spellStart"/>
            <w:r w:rsidRPr="001262CA">
              <w:rPr>
                <w:rFonts w:asciiTheme="minorHAnsi" w:hAnsiTheme="minorHAnsi" w:cstheme="minorHAnsi"/>
                <w:szCs w:val="22"/>
              </w:rPr>
              <w:t>n.p</w:t>
            </w:r>
            <w:proofErr w:type="spellEnd"/>
            <w:r w:rsidRPr="001262CA">
              <w:rPr>
                <w:rFonts w:asciiTheme="minorHAnsi" w:hAnsiTheme="minorHAnsi" w:cstheme="minorHAnsi"/>
                <w:szCs w:val="22"/>
              </w:rPr>
              <w:t>.</w:t>
            </w:r>
          </w:p>
        </w:tc>
        <w:tc>
          <w:tcPr>
            <w:tcW w:w="1058" w:type="dxa"/>
            <w:vAlign w:val="bottom"/>
          </w:tcPr>
          <w:p w:rsidR="008E4A1C" w:rsidRPr="001B1E83" w:rsidRDefault="008E4A1C" w:rsidP="00987128">
            <w:pPr>
              <w:pStyle w:val="TableFigText"/>
              <w:jc w:val="right"/>
              <w:rPr>
                <w:rFonts w:asciiTheme="minorHAnsi" w:hAnsiTheme="minorHAnsi" w:cstheme="minorHAnsi"/>
                <w:szCs w:val="22"/>
              </w:rPr>
            </w:pPr>
            <w:r>
              <w:rPr>
                <w:rFonts w:asciiTheme="minorHAnsi" w:hAnsiTheme="minorHAnsi" w:cstheme="minorHAnsi"/>
                <w:szCs w:val="22"/>
              </w:rPr>
              <w:t>0.0</w:t>
            </w:r>
          </w:p>
        </w:tc>
      </w:tr>
      <w:tr w:rsidR="008E4A1C" w:rsidRPr="001B1E83" w:rsidTr="00987128">
        <w:tc>
          <w:tcPr>
            <w:tcW w:w="2399" w:type="dxa"/>
          </w:tcPr>
          <w:p w:rsidR="008E4A1C" w:rsidRPr="001B1E83" w:rsidRDefault="008E4A1C" w:rsidP="00987128">
            <w:pPr>
              <w:pStyle w:val="TableFigText"/>
              <w:keepNext/>
              <w:rPr>
                <w:rFonts w:asciiTheme="minorHAnsi" w:hAnsiTheme="minorHAnsi" w:cstheme="minorHAnsi"/>
                <w:szCs w:val="22"/>
              </w:rPr>
            </w:pPr>
            <w:r w:rsidRPr="001B1E83">
              <w:rPr>
                <w:rFonts w:asciiTheme="minorHAnsi" w:hAnsiTheme="minorHAnsi" w:cstheme="minorHAnsi"/>
                <w:szCs w:val="22"/>
              </w:rPr>
              <w:t>Consumer workers</w:t>
            </w:r>
            <w:r w:rsidRPr="001B1E83">
              <w:rPr>
                <w:rFonts w:asciiTheme="minorHAnsi" w:hAnsiTheme="minorHAnsi" w:cstheme="minorHAnsi"/>
                <w:szCs w:val="22"/>
                <w:vertAlign w:val="superscript"/>
              </w:rPr>
              <w:t>(d)</w:t>
            </w:r>
          </w:p>
        </w:tc>
        <w:tc>
          <w:tcPr>
            <w:tcW w:w="1157" w:type="dxa"/>
          </w:tcPr>
          <w:p w:rsidR="008E4A1C" w:rsidRPr="00F50EBF" w:rsidRDefault="008E4A1C" w:rsidP="00987128">
            <w:pPr>
              <w:pStyle w:val="TableFigText"/>
              <w:jc w:val="right"/>
              <w:rPr>
                <w:rFonts w:asciiTheme="minorHAnsi" w:hAnsiTheme="minorHAnsi" w:cstheme="minorHAnsi"/>
                <w:szCs w:val="22"/>
              </w:rPr>
            </w:pPr>
            <w:proofErr w:type="spellStart"/>
            <w:r w:rsidRPr="001262CA">
              <w:rPr>
                <w:rFonts w:asciiTheme="minorHAnsi" w:hAnsiTheme="minorHAnsi" w:cstheme="minorHAnsi"/>
                <w:szCs w:val="22"/>
              </w:rPr>
              <w:t>n.p</w:t>
            </w:r>
            <w:proofErr w:type="spellEnd"/>
            <w:r w:rsidRPr="001262CA">
              <w:rPr>
                <w:rFonts w:asciiTheme="minorHAnsi" w:hAnsiTheme="minorHAnsi" w:cstheme="minorHAnsi"/>
                <w:szCs w:val="22"/>
              </w:rPr>
              <w:t>.</w:t>
            </w:r>
          </w:p>
        </w:tc>
        <w:tc>
          <w:tcPr>
            <w:tcW w:w="1355" w:type="dxa"/>
          </w:tcPr>
          <w:p w:rsidR="008E4A1C" w:rsidRPr="00F50EBF" w:rsidRDefault="008E4A1C" w:rsidP="00987128">
            <w:pPr>
              <w:pStyle w:val="TableFigText"/>
              <w:jc w:val="right"/>
              <w:rPr>
                <w:rFonts w:asciiTheme="minorHAnsi" w:hAnsiTheme="minorHAnsi" w:cstheme="minorHAnsi"/>
                <w:szCs w:val="22"/>
              </w:rPr>
            </w:pPr>
            <w:proofErr w:type="spellStart"/>
            <w:r w:rsidRPr="001262CA">
              <w:rPr>
                <w:rFonts w:asciiTheme="minorHAnsi" w:hAnsiTheme="minorHAnsi" w:cstheme="minorHAnsi"/>
                <w:szCs w:val="22"/>
              </w:rPr>
              <w:t>n.p</w:t>
            </w:r>
            <w:proofErr w:type="spellEnd"/>
            <w:r w:rsidRPr="001262CA">
              <w:rPr>
                <w:rFonts w:asciiTheme="minorHAnsi" w:hAnsiTheme="minorHAnsi" w:cstheme="minorHAnsi"/>
                <w:szCs w:val="22"/>
              </w:rPr>
              <w:t>.</w:t>
            </w:r>
          </w:p>
        </w:tc>
        <w:tc>
          <w:tcPr>
            <w:tcW w:w="1224" w:type="dxa"/>
          </w:tcPr>
          <w:p w:rsidR="008E4A1C" w:rsidRPr="00F50EBF" w:rsidRDefault="008E4A1C" w:rsidP="00987128">
            <w:pPr>
              <w:pStyle w:val="TableFigText"/>
              <w:jc w:val="right"/>
              <w:rPr>
                <w:rFonts w:asciiTheme="minorHAnsi" w:hAnsiTheme="minorHAnsi" w:cstheme="minorHAnsi"/>
                <w:szCs w:val="22"/>
              </w:rPr>
            </w:pPr>
            <w:proofErr w:type="spellStart"/>
            <w:r w:rsidRPr="001262CA">
              <w:rPr>
                <w:rFonts w:asciiTheme="minorHAnsi" w:hAnsiTheme="minorHAnsi" w:cstheme="minorHAnsi"/>
                <w:szCs w:val="22"/>
              </w:rPr>
              <w:t>n.p</w:t>
            </w:r>
            <w:proofErr w:type="spellEnd"/>
            <w:r w:rsidRPr="001262CA">
              <w:rPr>
                <w:rFonts w:asciiTheme="minorHAnsi" w:hAnsiTheme="minorHAnsi" w:cstheme="minorHAnsi"/>
                <w:szCs w:val="22"/>
              </w:rPr>
              <w:t>.</w:t>
            </w:r>
          </w:p>
        </w:tc>
        <w:tc>
          <w:tcPr>
            <w:tcW w:w="1023" w:type="dxa"/>
          </w:tcPr>
          <w:p w:rsidR="008E4A1C" w:rsidRPr="00F50EBF" w:rsidRDefault="008E4A1C" w:rsidP="00987128">
            <w:pPr>
              <w:pStyle w:val="TableFigText"/>
              <w:jc w:val="right"/>
              <w:rPr>
                <w:rFonts w:asciiTheme="minorHAnsi" w:hAnsiTheme="minorHAnsi" w:cstheme="minorHAnsi"/>
                <w:szCs w:val="22"/>
              </w:rPr>
            </w:pPr>
            <w:proofErr w:type="spellStart"/>
            <w:r w:rsidRPr="001262CA">
              <w:rPr>
                <w:rFonts w:asciiTheme="minorHAnsi" w:hAnsiTheme="minorHAnsi" w:cstheme="minorHAnsi"/>
                <w:szCs w:val="22"/>
              </w:rPr>
              <w:t>n.p</w:t>
            </w:r>
            <w:proofErr w:type="spellEnd"/>
            <w:r w:rsidRPr="001262CA">
              <w:rPr>
                <w:rFonts w:asciiTheme="minorHAnsi" w:hAnsiTheme="minorHAnsi" w:cstheme="minorHAnsi"/>
                <w:szCs w:val="22"/>
              </w:rPr>
              <w:t>.</w:t>
            </w:r>
          </w:p>
        </w:tc>
        <w:tc>
          <w:tcPr>
            <w:tcW w:w="1070" w:type="dxa"/>
          </w:tcPr>
          <w:p w:rsidR="008E4A1C" w:rsidRPr="00F50EBF" w:rsidRDefault="008E4A1C" w:rsidP="00987128">
            <w:pPr>
              <w:pStyle w:val="TableFigText"/>
              <w:jc w:val="right"/>
              <w:rPr>
                <w:rFonts w:asciiTheme="minorHAnsi" w:hAnsiTheme="minorHAnsi" w:cstheme="minorHAnsi"/>
                <w:szCs w:val="22"/>
              </w:rPr>
            </w:pPr>
            <w:proofErr w:type="spellStart"/>
            <w:r w:rsidRPr="001262CA">
              <w:rPr>
                <w:rFonts w:asciiTheme="minorHAnsi" w:hAnsiTheme="minorHAnsi" w:cstheme="minorHAnsi"/>
                <w:szCs w:val="22"/>
              </w:rPr>
              <w:t>n.p</w:t>
            </w:r>
            <w:proofErr w:type="spellEnd"/>
            <w:r w:rsidRPr="001262CA">
              <w:rPr>
                <w:rFonts w:asciiTheme="minorHAnsi" w:hAnsiTheme="minorHAnsi" w:cstheme="minorHAnsi"/>
                <w:szCs w:val="22"/>
              </w:rPr>
              <w:t>.</w:t>
            </w:r>
          </w:p>
        </w:tc>
        <w:tc>
          <w:tcPr>
            <w:tcW w:w="1058" w:type="dxa"/>
            <w:vAlign w:val="bottom"/>
          </w:tcPr>
          <w:p w:rsidR="008E4A1C" w:rsidRPr="001B1E83" w:rsidRDefault="008E4A1C" w:rsidP="00987128">
            <w:pPr>
              <w:pStyle w:val="TableFigText"/>
              <w:jc w:val="right"/>
              <w:rPr>
                <w:rFonts w:asciiTheme="minorHAnsi" w:hAnsiTheme="minorHAnsi" w:cstheme="minorHAnsi"/>
                <w:szCs w:val="22"/>
              </w:rPr>
            </w:pPr>
            <w:r>
              <w:rPr>
                <w:rFonts w:asciiTheme="minorHAnsi" w:hAnsiTheme="minorHAnsi" w:cstheme="minorHAnsi"/>
                <w:szCs w:val="22"/>
              </w:rPr>
              <w:t>0.0</w:t>
            </w:r>
          </w:p>
        </w:tc>
      </w:tr>
      <w:tr w:rsidR="008E4A1C" w:rsidRPr="001B1E83" w:rsidTr="00987128">
        <w:tc>
          <w:tcPr>
            <w:tcW w:w="2399" w:type="dxa"/>
          </w:tcPr>
          <w:p w:rsidR="008E4A1C" w:rsidRPr="001B1E83" w:rsidRDefault="008E4A1C" w:rsidP="00987128">
            <w:pPr>
              <w:pStyle w:val="TableFigText"/>
              <w:keepNext/>
              <w:rPr>
                <w:rFonts w:asciiTheme="minorHAnsi" w:hAnsiTheme="minorHAnsi" w:cstheme="minorHAnsi"/>
                <w:szCs w:val="22"/>
              </w:rPr>
            </w:pPr>
            <w:r w:rsidRPr="001B1E83">
              <w:rPr>
                <w:rFonts w:asciiTheme="minorHAnsi" w:hAnsiTheme="minorHAnsi" w:cstheme="minorHAnsi"/>
                <w:szCs w:val="22"/>
              </w:rPr>
              <w:t>Other personal care</w:t>
            </w:r>
            <w:r w:rsidRPr="001B1E83">
              <w:rPr>
                <w:rFonts w:asciiTheme="minorHAnsi" w:hAnsiTheme="minorHAnsi" w:cstheme="minorHAnsi"/>
                <w:szCs w:val="22"/>
                <w:vertAlign w:val="superscript"/>
              </w:rPr>
              <w:t>(e)</w:t>
            </w:r>
          </w:p>
        </w:tc>
        <w:tc>
          <w:tcPr>
            <w:tcW w:w="1157" w:type="dxa"/>
          </w:tcPr>
          <w:p w:rsidR="008E4A1C" w:rsidRPr="00F50EBF" w:rsidRDefault="008E4A1C" w:rsidP="00987128">
            <w:pPr>
              <w:pStyle w:val="TableFigText"/>
              <w:jc w:val="right"/>
              <w:rPr>
                <w:rFonts w:asciiTheme="minorHAnsi" w:hAnsiTheme="minorHAnsi" w:cstheme="minorHAnsi"/>
                <w:szCs w:val="22"/>
              </w:rPr>
            </w:pPr>
            <w:proofErr w:type="spellStart"/>
            <w:r w:rsidRPr="001262CA">
              <w:rPr>
                <w:rFonts w:asciiTheme="minorHAnsi" w:hAnsiTheme="minorHAnsi" w:cstheme="minorHAnsi"/>
                <w:szCs w:val="22"/>
              </w:rPr>
              <w:t>n.p</w:t>
            </w:r>
            <w:proofErr w:type="spellEnd"/>
            <w:r w:rsidRPr="001262CA">
              <w:rPr>
                <w:rFonts w:asciiTheme="minorHAnsi" w:hAnsiTheme="minorHAnsi" w:cstheme="minorHAnsi"/>
                <w:szCs w:val="22"/>
              </w:rPr>
              <w:t>.</w:t>
            </w:r>
          </w:p>
        </w:tc>
        <w:tc>
          <w:tcPr>
            <w:tcW w:w="1355" w:type="dxa"/>
          </w:tcPr>
          <w:p w:rsidR="008E4A1C" w:rsidRPr="00F50EBF" w:rsidRDefault="008E4A1C" w:rsidP="00987128">
            <w:pPr>
              <w:pStyle w:val="TableFigText"/>
              <w:jc w:val="right"/>
              <w:rPr>
                <w:rFonts w:asciiTheme="minorHAnsi" w:hAnsiTheme="minorHAnsi" w:cstheme="minorHAnsi"/>
                <w:szCs w:val="22"/>
              </w:rPr>
            </w:pPr>
            <w:proofErr w:type="spellStart"/>
            <w:r w:rsidRPr="001262CA">
              <w:rPr>
                <w:rFonts w:asciiTheme="minorHAnsi" w:hAnsiTheme="minorHAnsi" w:cstheme="minorHAnsi"/>
                <w:szCs w:val="22"/>
              </w:rPr>
              <w:t>n.p</w:t>
            </w:r>
            <w:proofErr w:type="spellEnd"/>
            <w:r w:rsidRPr="001262CA">
              <w:rPr>
                <w:rFonts w:asciiTheme="minorHAnsi" w:hAnsiTheme="minorHAnsi" w:cstheme="minorHAnsi"/>
                <w:szCs w:val="22"/>
              </w:rPr>
              <w:t>.</w:t>
            </w:r>
          </w:p>
        </w:tc>
        <w:tc>
          <w:tcPr>
            <w:tcW w:w="1224" w:type="dxa"/>
          </w:tcPr>
          <w:p w:rsidR="008E4A1C" w:rsidRPr="00F50EBF" w:rsidRDefault="008E4A1C" w:rsidP="00987128">
            <w:pPr>
              <w:pStyle w:val="TableFigText"/>
              <w:jc w:val="right"/>
              <w:rPr>
                <w:rFonts w:asciiTheme="minorHAnsi" w:hAnsiTheme="minorHAnsi" w:cstheme="minorHAnsi"/>
                <w:szCs w:val="22"/>
              </w:rPr>
            </w:pPr>
            <w:proofErr w:type="spellStart"/>
            <w:r w:rsidRPr="001262CA">
              <w:rPr>
                <w:rFonts w:asciiTheme="minorHAnsi" w:hAnsiTheme="minorHAnsi" w:cstheme="minorHAnsi"/>
                <w:szCs w:val="22"/>
              </w:rPr>
              <w:t>n.p</w:t>
            </w:r>
            <w:proofErr w:type="spellEnd"/>
            <w:r w:rsidRPr="001262CA">
              <w:rPr>
                <w:rFonts w:asciiTheme="minorHAnsi" w:hAnsiTheme="minorHAnsi" w:cstheme="minorHAnsi"/>
                <w:szCs w:val="22"/>
              </w:rPr>
              <w:t>.</w:t>
            </w:r>
          </w:p>
        </w:tc>
        <w:tc>
          <w:tcPr>
            <w:tcW w:w="1023" w:type="dxa"/>
          </w:tcPr>
          <w:p w:rsidR="008E4A1C" w:rsidRPr="00F50EBF" w:rsidRDefault="008E4A1C" w:rsidP="00987128">
            <w:pPr>
              <w:pStyle w:val="TableFigText"/>
              <w:jc w:val="right"/>
              <w:rPr>
                <w:rFonts w:asciiTheme="minorHAnsi" w:hAnsiTheme="minorHAnsi" w:cstheme="minorHAnsi"/>
                <w:szCs w:val="22"/>
              </w:rPr>
            </w:pPr>
            <w:proofErr w:type="spellStart"/>
            <w:r w:rsidRPr="001262CA">
              <w:rPr>
                <w:rFonts w:asciiTheme="minorHAnsi" w:hAnsiTheme="minorHAnsi" w:cstheme="minorHAnsi"/>
                <w:szCs w:val="22"/>
              </w:rPr>
              <w:t>n.p</w:t>
            </w:r>
            <w:proofErr w:type="spellEnd"/>
            <w:r w:rsidRPr="001262CA">
              <w:rPr>
                <w:rFonts w:asciiTheme="minorHAnsi" w:hAnsiTheme="minorHAnsi" w:cstheme="minorHAnsi"/>
                <w:szCs w:val="22"/>
              </w:rPr>
              <w:t>.</w:t>
            </w:r>
          </w:p>
        </w:tc>
        <w:tc>
          <w:tcPr>
            <w:tcW w:w="1070" w:type="dxa"/>
          </w:tcPr>
          <w:p w:rsidR="008E4A1C" w:rsidRPr="00F50EBF" w:rsidRDefault="008E4A1C" w:rsidP="00987128">
            <w:pPr>
              <w:pStyle w:val="TableFigText"/>
              <w:jc w:val="right"/>
              <w:rPr>
                <w:rFonts w:asciiTheme="minorHAnsi" w:hAnsiTheme="minorHAnsi" w:cstheme="minorHAnsi"/>
                <w:szCs w:val="22"/>
              </w:rPr>
            </w:pPr>
            <w:proofErr w:type="spellStart"/>
            <w:r w:rsidRPr="001262CA">
              <w:rPr>
                <w:rFonts w:asciiTheme="minorHAnsi" w:hAnsiTheme="minorHAnsi" w:cstheme="minorHAnsi"/>
                <w:szCs w:val="22"/>
              </w:rPr>
              <w:t>n.p</w:t>
            </w:r>
            <w:proofErr w:type="spellEnd"/>
            <w:r w:rsidRPr="001262CA">
              <w:rPr>
                <w:rFonts w:asciiTheme="minorHAnsi" w:hAnsiTheme="minorHAnsi" w:cstheme="minorHAnsi"/>
                <w:szCs w:val="22"/>
              </w:rPr>
              <w:t>.</w:t>
            </w:r>
          </w:p>
        </w:tc>
        <w:tc>
          <w:tcPr>
            <w:tcW w:w="1058" w:type="dxa"/>
            <w:vAlign w:val="bottom"/>
          </w:tcPr>
          <w:p w:rsidR="008E4A1C" w:rsidRPr="001B1E83" w:rsidRDefault="008E4A1C" w:rsidP="00987128">
            <w:pPr>
              <w:pStyle w:val="TableFigText"/>
              <w:jc w:val="right"/>
              <w:rPr>
                <w:rFonts w:asciiTheme="minorHAnsi" w:hAnsiTheme="minorHAnsi" w:cstheme="minorHAnsi"/>
                <w:szCs w:val="22"/>
              </w:rPr>
            </w:pPr>
            <w:r>
              <w:rPr>
                <w:rFonts w:asciiTheme="minorHAnsi" w:hAnsiTheme="minorHAnsi" w:cstheme="minorHAnsi"/>
                <w:szCs w:val="22"/>
              </w:rPr>
              <w:t>32.2</w:t>
            </w:r>
          </w:p>
        </w:tc>
      </w:tr>
      <w:tr w:rsidR="008E4A1C" w:rsidRPr="001B1E83" w:rsidTr="00987128">
        <w:tc>
          <w:tcPr>
            <w:tcW w:w="2399" w:type="dxa"/>
          </w:tcPr>
          <w:p w:rsidR="008E4A1C" w:rsidRPr="001B1E83" w:rsidRDefault="008E4A1C" w:rsidP="00987128">
            <w:pPr>
              <w:pStyle w:val="TableFigText"/>
              <w:keepNext/>
              <w:rPr>
                <w:rFonts w:asciiTheme="minorHAnsi" w:hAnsiTheme="minorHAnsi" w:cstheme="minorHAnsi"/>
                <w:szCs w:val="22"/>
              </w:rPr>
            </w:pPr>
            <w:r w:rsidRPr="001B1E83">
              <w:rPr>
                <w:rFonts w:asciiTheme="minorHAnsi" w:hAnsiTheme="minorHAnsi" w:cstheme="minorHAnsi"/>
                <w:szCs w:val="22"/>
              </w:rPr>
              <w:t>Other staffing categories</w:t>
            </w:r>
            <w:r w:rsidRPr="001B1E83">
              <w:rPr>
                <w:rFonts w:asciiTheme="minorHAnsi" w:hAnsiTheme="minorHAnsi" w:cstheme="minorHAnsi"/>
                <w:szCs w:val="22"/>
                <w:vertAlign w:val="superscript"/>
              </w:rPr>
              <w:t>(f)</w:t>
            </w:r>
          </w:p>
        </w:tc>
        <w:tc>
          <w:tcPr>
            <w:tcW w:w="1157" w:type="dxa"/>
          </w:tcPr>
          <w:p w:rsidR="008E4A1C" w:rsidRPr="00F50EBF" w:rsidRDefault="008E4A1C" w:rsidP="00987128">
            <w:pPr>
              <w:pStyle w:val="TableFigText"/>
              <w:jc w:val="right"/>
              <w:rPr>
                <w:rFonts w:asciiTheme="minorHAnsi" w:hAnsiTheme="minorHAnsi" w:cstheme="minorHAnsi"/>
                <w:szCs w:val="22"/>
              </w:rPr>
            </w:pPr>
            <w:proofErr w:type="spellStart"/>
            <w:r w:rsidRPr="001262CA">
              <w:rPr>
                <w:rFonts w:asciiTheme="minorHAnsi" w:hAnsiTheme="minorHAnsi" w:cstheme="minorHAnsi"/>
                <w:szCs w:val="22"/>
              </w:rPr>
              <w:t>n.p</w:t>
            </w:r>
            <w:proofErr w:type="spellEnd"/>
            <w:r w:rsidRPr="001262CA">
              <w:rPr>
                <w:rFonts w:asciiTheme="minorHAnsi" w:hAnsiTheme="minorHAnsi" w:cstheme="minorHAnsi"/>
                <w:szCs w:val="22"/>
              </w:rPr>
              <w:t>.</w:t>
            </w:r>
          </w:p>
        </w:tc>
        <w:tc>
          <w:tcPr>
            <w:tcW w:w="1355" w:type="dxa"/>
          </w:tcPr>
          <w:p w:rsidR="008E4A1C" w:rsidRPr="00F50EBF" w:rsidRDefault="008E4A1C" w:rsidP="00987128">
            <w:pPr>
              <w:pStyle w:val="TableFigText"/>
              <w:jc w:val="right"/>
              <w:rPr>
                <w:rFonts w:asciiTheme="minorHAnsi" w:hAnsiTheme="minorHAnsi" w:cstheme="minorHAnsi"/>
                <w:szCs w:val="22"/>
              </w:rPr>
            </w:pPr>
            <w:proofErr w:type="spellStart"/>
            <w:r w:rsidRPr="001262CA">
              <w:rPr>
                <w:rFonts w:asciiTheme="minorHAnsi" w:hAnsiTheme="minorHAnsi" w:cstheme="minorHAnsi"/>
                <w:szCs w:val="22"/>
              </w:rPr>
              <w:t>n.p</w:t>
            </w:r>
            <w:proofErr w:type="spellEnd"/>
            <w:r w:rsidRPr="001262CA">
              <w:rPr>
                <w:rFonts w:asciiTheme="minorHAnsi" w:hAnsiTheme="minorHAnsi" w:cstheme="minorHAnsi"/>
                <w:szCs w:val="22"/>
              </w:rPr>
              <w:t>.</w:t>
            </w:r>
          </w:p>
        </w:tc>
        <w:tc>
          <w:tcPr>
            <w:tcW w:w="1224" w:type="dxa"/>
          </w:tcPr>
          <w:p w:rsidR="008E4A1C" w:rsidRPr="00F50EBF" w:rsidRDefault="008E4A1C" w:rsidP="00987128">
            <w:pPr>
              <w:pStyle w:val="TableFigText"/>
              <w:jc w:val="right"/>
              <w:rPr>
                <w:rFonts w:asciiTheme="minorHAnsi" w:hAnsiTheme="minorHAnsi" w:cstheme="minorHAnsi"/>
                <w:szCs w:val="22"/>
              </w:rPr>
            </w:pPr>
            <w:proofErr w:type="spellStart"/>
            <w:r w:rsidRPr="001262CA">
              <w:rPr>
                <w:rFonts w:asciiTheme="minorHAnsi" w:hAnsiTheme="minorHAnsi" w:cstheme="minorHAnsi"/>
                <w:szCs w:val="22"/>
              </w:rPr>
              <w:t>n.p</w:t>
            </w:r>
            <w:proofErr w:type="spellEnd"/>
            <w:r w:rsidRPr="001262CA">
              <w:rPr>
                <w:rFonts w:asciiTheme="minorHAnsi" w:hAnsiTheme="minorHAnsi" w:cstheme="minorHAnsi"/>
                <w:szCs w:val="22"/>
              </w:rPr>
              <w:t>.</w:t>
            </w:r>
          </w:p>
        </w:tc>
        <w:tc>
          <w:tcPr>
            <w:tcW w:w="1023" w:type="dxa"/>
          </w:tcPr>
          <w:p w:rsidR="008E4A1C" w:rsidRPr="00F50EBF" w:rsidRDefault="008E4A1C" w:rsidP="00987128">
            <w:pPr>
              <w:pStyle w:val="TableFigText"/>
              <w:jc w:val="right"/>
              <w:rPr>
                <w:rFonts w:asciiTheme="minorHAnsi" w:hAnsiTheme="minorHAnsi" w:cstheme="minorHAnsi"/>
                <w:szCs w:val="22"/>
              </w:rPr>
            </w:pPr>
            <w:proofErr w:type="spellStart"/>
            <w:r w:rsidRPr="001262CA">
              <w:rPr>
                <w:rFonts w:asciiTheme="minorHAnsi" w:hAnsiTheme="minorHAnsi" w:cstheme="minorHAnsi"/>
                <w:szCs w:val="22"/>
              </w:rPr>
              <w:t>n.p</w:t>
            </w:r>
            <w:proofErr w:type="spellEnd"/>
            <w:r w:rsidRPr="001262CA">
              <w:rPr>
                <w:rFonts w:asciiTheme="minorHAnsi" w:hAnsiTheme="minorHAnsi" w:cstheme="minorHAnsi"/>
                <w:szCs w:val="22"/>
              </w:rPr>
              <w:t>.</w:t>
            </w:r>
          </w:p>
        </w:tc>
        <w:tc>
          <w:tcPr>
            <w:tcW w:w="1070" w:type="dxa"/>
          </w:tcPr>
          <w:p w:rsidR="008E4A1C" w:rsidRPr="00F50EBF" w:rsidRDefault="008E4A1C" w:rsidP="00987128">
            <w:pPr>
              <w:pStyle w:val="TableFigText"/>
              <w:jc w:val="right"/>
              <w:rPr>
                <w:rFonts w:asciiTheme="minorHAnsi" w:hAnsiTheme="minorHAnsi" w:cstheme="minorHAnsi"/>
                <w:szCs w:val="22"/>
              </w:rPr>
            </w:pPr>
            <w:proofErr w:type="spellStart"/>
            <w:r w:rsidRPr="001262CA">
              <w:rPr>
                <w:rFonts w:asciiTheme="minorHAnsi" w:hAnsiTheme="minorHAnsi" w:cstheme="minorHAnsi"/>
                <w:szCs w:val="22"/>
              </w:rPr>
              <w:t>n.p</w:t>
            </w:r>
            <w:proofErr w:type="spellEnd"/>
            <w:r w:rsidRPr="001262CA">
              <w:rPr>
                <w:rFonts w:asciiTheme="minorHAnsi" w:hAnsiTheme="minorHAnsi" w:cstheme="minorHAnsi"/>
                <w:szCs w:val="22"/>
              </w:rPr>
              <w:t>.</w:t>
            </w:r>
          </w:p>
        </w:tc>
        <w:tc>
          <w:tcPr>
            <w:tcW w:w="1058" w:type="dxa"/>
            <w:vAlign w:val="bottom"/>
          </w:tcPr>
          <w:p w:rsidR="008E4A1C" w:rsidRPr="001B1E83" w:rsidRDefault="008E4A1C" w:rsidP="00987128">
            <w:pPr>
              <w:pStyle w:val="TableFigText"/>
              <w:jc w:val="right"/>
              <w:rPr>
                <w:rFonts w:asciiTheme="minorHAnsi" w:hAnsiTheme="minorHAnsi" w:cstheme="minorHAnsi"/>
                <w:szCs w:val="22"/>
              </w:rPr>
            </w:pPr>
            <w:r>
              <w:rPr>
                <w:rFonts w:asciiTheme="minorHAnsi" w:hAnsiTheme="minorHAnsi" w:cstheme="minorHAnsi"/>
                <w:szCs w:val="22"/>
              </w:rPr>
              <w:t>62.3</w:t>
            </w:r>
          </w:p>
        </w:tc>
      </w:tr>
      <w:tr w:rsidR="008E4A1C" w:rsidRPr="001B1E83" w:rsidTr="00987128">
        <w:tc>
          <w:tcPr>
            <w:tcW w:w="2399" w:type="dxa"/>
          </w:tcPr>
          <w:p w:rsidR="008E4A1C" w:rsidRPr="001B1E83" w:rsidRDefault="008E4A1C" w:rsidP="00987128">
            <w:pPr>
              <w:pStyle w:val="TableFigText"/>
              <w:keepNext/>
              <w:rPr>
                <w:rFonts w:asciiTheme="minorHAnsi" w:hAnsiTheme="minorHAnsi" w:cstheme="minorHAnsi"/>
                <w:b/>
                <w:szCs w:val="22"/>
              </w:rPr>
            </w:pPr>
            <w:r w:rsidRPr="001B1E83">
              <w:rPr>
                <w:rFonts w:asciiTheme="minorHAnsi" w:hAnsiTheme="minorHAnsi" w:cstheme="minorHAnsi"/>
                <w:b/>
                <w:szCs w:val="22"/>
              </w:rPr>
              <w:t>Total</w:t>
            </w:r>
            <w:r w:rsidRPr="001B1E83">
              <w:rPr>
                <w:rFonts w:asciiTheme="minorHAnsi" w:hAnsiTheme="minorHAnsi" w:cstheme="minorHAnsi"/>
                <w:b/>
                <w:szCs w:val="22"/>
                <w:vertAlign w:val="superscript"/>
              </w:rPr>
              <w:t>(a)</w:t>
            </w:r>
          </w:p>
        </w:tc>
        <w:tc>
          <w:tcPr>
            <w:tcW w:w="1157" w:type="dxa"/>
          </w:tcPr>
          <w:p w:rsidR="008E4A1C" w:rsidRPr="00A83097" w:rsidRDefault="008E4A1C" w:rsidP="00987128">
            <w:pPr>
              <w:pStyle w:val="TableFigText"/>
              <w:jc w:val="right"/>
              <w:rPr>
                <w:rFonts w:asciiTheme="minorHAnsi" w:hAnsiTheme="minorHAnsi" w:cstheme="minorHAnsi"/>
                <w:b/>
                <w:szCs w:val="22"/>
              </w:rPr>
            </w:pPr>
            <w:proofErr w:type="spellStart"/>
            <w:r w:rsidRPr="00A83097">
              <w:rPr>
                <w:rFonts w:asciiTheme="minorHAnsi" w:hAnsiTheme="minorHAnsi" w:cstheme="minorHAnsi"/>
                <w:b/>
                <w:szCs w:val="22"/>
              </w:rPr>
              <w:t>n.p</w:t>
            </w:r>
            <w:proofErr w:type="spellEnd"/>
            <w:r w:rsidRPr="00A83097">
              <w:rPr>
                <w:rFonts w:asciiTheme="minorHAnsi" w:hAnsiTheme="minorHAnsi" w:cstheme="minorHAnsi"/>
                <w:b/>
                <w:szCs w:val="22"/>
              </w:rPr>
              <w:t>.</w:t>
            </w:r>
          </w:p>
        </w:tc>
        <w:tc>
          <w:tcPr>
            <w:tcW w:w="1355" w:type="dxa"/>
          </w:tcPr>
          <w:p w:rsidR="008E4A1C" w:rsidRPr="00A83097" w:rsidRDefault="008E4A1C" w:rsidP="00987128">
            <w:pPr>
              <w:pStyle w:val="TableFigText"/>
              <w:jc w:val="right"/>
              <w:rPr>
                <w:rFonts w:asciiTheme="minorHAnsi" w:hAnsiTheme="minorHAnsi" w:cstheme="minorHAnsi"/>
                <w:b/>
                <w:szCs w:val="22"/>
              </w:rPr>
            </w:pPr>
            <w:proofErr w:type="spellStart"/>
            <w:r w:rsidRPr="00A83097">
              <w:rPr>
                <w:rFonts w:asciiTheme="minorHAnsi" w:hAnsiTheme="minorHAnsi" w:cstheme="minorHAnsi"/>
                <w:b/>
                <w:szCs w:val="22"/>
              </w:rPr>
              <w:t>n.p</w:t>
            </w:r>
            <w:proofErr w:type="spellEnd"/>
            <w:r w:rsidRPr="00A83097">
              <w:rPr>
                <w:rFonts w:asciiTheme="minorHAnsi" w:hAnsiTheme="minorHAnsi" w:cstheme="minorHAnsi"/>
                <w:b/>
                <w:szCs w:val="22"/>
              </w:rPr>
              <w:t>.</w:t>
            </w:r>
          </w:p>
        </w:tc>
        <w:tc>
          <w:tcPr>
            <w:tcW w:w="1224" w:type="dxa"/>
          </w:tcPr>
          <w:p w:rsidR="008E4A1C" w:rsidRPr="00A83097" w:rsidRDefault="008E4A1C" w:rsidP="00987128">
            <w:pPr>
              <w:pStyle w:val="TableFigText"/>
              <w:jc w:val="right"/>
              <w:rPr>
                <w:rFonts w:asciiTheme="minorHAnsi" w:hAnsiTheme="minorHAnsi" w:cstheme="minorHAnsi"/>
                <w:b/>
                <w:szCs w:val="22"/>
              </w:rPr>
            </w:pPr>
            <w:proofErr w:type="spellStart"/>
            <w:r w:rsidRPr="00A83097">
              <w:rPr>
                <w:rFonts w:asciiTheme="minorHAnsi" w:hAnsiTheme="minorHAnsi" w:cstheme="minorHAnsi"/>
                <w:b/>
                <w:szCs w:val="22"/>
              </w:rPr>
              <w:t>n.p</w:t>
            </w:r>
            <w:proofErr w:type="spellEnd"/>
            <w:r w:rsidRPr="00A83097">
              <w:rPr>
                <w:rFonts w:asciiTheme="minorHAnsi" w:hAnsiTheme="minorHAnsi" w:cstheme="minorHAnsi"/>
                <w:b/>
                <w:szCs w:val="22"/>
              </w:rPr>
              <w:t>.</w:t>
            </w:r>
          </w:p>
        </w:tc>
        <w:tc>
          <w:tcPr>
            <w:tcW w:w="1023" w:type="dxa"/>
          </w:tcPr>
          <w:p w:rsidR="008E4A1C" w:rsidRPr="00A83097" w:rsidRDefault="008E4A1C" w:rsidP="00987128">
            <w:pPr>
              <w:pStyle w:val="TableFigText"/>
              <w:jc w:val="right"/>
              <w:rPr>
                <w:rFonts w:asciiTheme="minorHAnsi" w:hAnsiTheme="minorHAnsi" w:cstheme="minorHAnsi"/>
                <w:b/>
                <w:szCs w:val="22"/>
              </w:rPr>
            </w:pPr>
            <w:proofErr w:type="spellStart"/>
            <w:r w:rsidRPr="00A83097">
              <w:rPr>
                <w:rFonts w:asciiTheme="minorHAnsi" w:hAnsiTheme="minorHAnsi" w:cstheme="minorHAnsi"/>
                <w:b/>
                <w:szCs w:val="22"/>
              </w:rPr>
              <w:t>n.p</w:t>
            </w:r>
            <w:proofErr w:type="spellEnd"/>
            <w:r w:rsidRPr="00A83097">
              <w:rPr>
                <w:rFonts w:asciiTheme="minorHAnsi" w:hAnsiTheme="minorHAnsi" w:cstheme="minorHAnsi"/>
                <w:b/>
                <w:szCs w:val="22"/>
              </w:rPr>
              <w:t>.</w:t>
            </w:r>
          </w:p>
        </w:tc>
        <w:tc>
          <w:tcPr>
            <w:tcW w:w="1070" w:type="dxa"/>
          </w:tcPr>
          <w:p w:rsidR="008E4A1C" w:rsidRPr="00A83097" w:rsidRDefault="008E4A1C" w:rsidP="00987128">
            <w:pPr>
              <w:pStyle w:val="TableFigText"/>
              <w:jc w:val="right"/>
              <w:rPr>
                <w:rFonts w:asciiTheme="minorHAnsi" w:hAnsiTheme="minorHAnsi" w:cstheme="minorHAnsi"/>
                <w:b/>
                <w:szCs w:val="22"/>
              </w:rPr>
            </w:pPr>
            <w:proofErr w:type="spellStart"/>
            <w:r w:rsidRPr="00A83097">
              <w:rPr>
                <w:rFonts w:asciiTheme="minorHAnsi" w:hAnsiTheme="minorHAnsi" w:cstheme="minorHAnsi"/>
                <w:b/>
                <w:szCs w:val="22"/>
              </w:rPr>
              <w:t>n.p</w:t>
            </w:r>
            <w:proofErr w:type="spellEnd"/>
            <w:r w:rsidRPr="00A83097">
              <w:rPr>
                <w:rFonts w:asciiTheme="minorHAnsi" w:hAnsiTheme="minorHAnsi" w:cstheme="minorHAnsi"/>
                <w:b/>
                <w:szCs w:val="22"/>
              </w:rPr>
              <w:t>.</w:t>
            </w:r>
          </w:p>
        </w:tc>
        <w:tc>
          <w:tcPr>
            <w:tcW w:w="1058" w:type="dxa"/>
            <w:vAlign w:val="bottom"/>
          </w:tcPr>
          <w:p w:rsidR="008E4A1C" w:rsidRPr="00A83097" w:rsidRDefault="008E4A1C" w:rsidP="00987128">
            <w:pPr>
              <w:pStyle w:val="TableFigText"/>
              <w:jc w:val="right"/>
              <w:rPr>
                <w:rFonts w:asciiTheme="minorHAnsi" w:hAnsiTheme="minorHAnsi" w:cstheme="minorHAnsi"/>
                <w:b/>
                <w:szCs w:val="22"/>
              </w:rPr>
            </w:pPr>
            <w:r w:rsidRPr="00A83097">
              <w:rPr>
                <w:rFonts w:asciiTheme="minorHAnsi" w:hAnsiTheme="minorHAnsi" w:cstheme="minorHAnsi"/>
                <w:b/>
                <w:szCs w:val="22"/>
              </w:rPr>
              <w:t>377.0</w:t>
            </w:r>
          </w:p>
        </w:tc>
      </w:tr>
    </w:tbl>
    <w:p w:rsidR="008E4A1C" w:rsidRPr="00CC76C9" w:rsidRDefault="008E4A1C" w:rsidP="008E4A1C">
      <w:pPr>
        <w:pStyle w:val="TableFigNotesnumbered"/>
        <w:rPr>
          <w:rStyle w:val="table-note"/>
        </w:rPr>
      </w:pPr>
      <w:proofErr w:type="spellStart"/>
      <w:proofErr w:type="gramStart"/>
      <w:r w:rsidRPr="00CC76C9">
        <w:rPr>
          <w:rStyle w:val="table-note"/>
        </w:rPr>
        <w:t>n.p</w:t>
      </w:r>
      <w:proofErr w:type="spellEnd"/>
      <w:r w:rsidRPr="00CC76C9">
        <w:rPr>
          <w:rStyle w:val="table-note"/>
        </w:rPr>
        <w:t>.</w:t>
      </w:r>
      <w:proofErr w:type="gramEnd"/>
      <w:r w:rsidRPr="00CC76C9">
        <w:rPr>
          <w:rStyle w:val="table-note"/>
        </w:rPr>
        <w:t xml:space="preserve"> Not published.</w:t>
      </w:r>
    </w:p>
    <w:p w:rsidR="008E4A1C" w:rsidRPr="00CC76C9" w:rsidRDefault="008E4A1C" w:rsidP="00CC76C9">
      <w:pPr>
        <w:pStyle w:val="TableFigNotesnumbered"/>
        <w:numPr>
          <w:ilvl w:val="0"/>
          <w:numId w:val="109"/>
        </w:numPr>
        <w:rPr>
          <w:rStyle w:val="table-note"/>
        </w:rPr>
      </w:pPr>
      <w:r w:rsidRPr="00CC76C9">
        <w:rPr>
          <w:rStyle w:val="table-note"/>
        </w:rPr>
        <w:t>Totals may not add due to rounding.</w:t>
      </w:r>
    </w:p>
    <w:p w:rsidR="008E4A1C" w:rsidRPr="00CC76C9" w:rsidRDefault="008E4A1C" w:rsidP="00CC76C9">
      <w:pPr>
        <w:pStyle w:val="TableFigNotesnumbered"/>
        <w:numPr>
          <w:ilvl w:val="0"/>
          <w:numId w:val="109"/>
        </w:numPr>
        <w:rPr>
          <w:rStyle w:val="table-note"/>
        </w:rPr>
      </w:pPr>
      <w:r w:rsidRPr="00CC76C9">
        <w:rPr>
          <w:rStyle w:val="table-note"/>
        </w:rPr>
        <w:t>Diagnostic and health professionals includes qualified staff (other than qualified medical or nursing staff) engaged in duties of a diagnostic, professional or technical nature and covers all allied health professionals and laboratory technicians, including Social Workers, Occupational Therapists and others  (</w:t>
      </w:r>
      <w:proofErr w:type="spellStart"/>
      <w:r w:rsidRPr="00CC76C9">
        <w:rPr>
          <w:rStyle w:val="table-note"/>
        </w:rPr>
        <w:t>METeOR</w:t>
      </w:r>
      <w:proofErr w:type="spellEnd"/>
      <w:r w:rsidRPr="00CC76C9">
        <w:rPr>
          <w:rStyle w:val="table-note"/>
        </w:rPr>
        <w:t xml:space="preserve"> identifier 287611).</w:t>
      </w:r>
    </w:p>
    <w:p w:rsidR="008E4A1C" w:rsidRPr="00CC76C9" w:rsidRDefault="008E4A1C" w:rsidP="00CC76C9">
      <w:pPr>
        <w:pStyle w:val="TableFigNotesnumbered"/>
        <w:numPr>
          <w:ilvl w:val="0"/>
          <w:numId w:val="109"/>
        </w:numPr>
        <w:rPr>
          <w:rStyle w:val="table-note"/>
        </w:rPr>
      </w:pPr>
      <w:r w:rsidRPr="00CC76C9">
        <w:rPr>
          <w:rStyle w:val="table-note"/>
        </w:rPr>
        <w:t>Includes registered and enrolled nurses.</w:t>
      </w:r>
    </w:p>
    <w:p w:rsidR="008E4A1C" w:rsidRPr="00CC76C9" w:rsidRDefault="008E4A1C" w:rsidP="00CC76C9">
      <w:pPr>
        <w:pStyle w:val="TableFigNotesnumbered"/>
        <w:numPr>
          <w:ilvl w:val="0"/>
          <w:numId w:val="109"/>
        </w:numPr>
        <w:rPr>
          <w:rStyle w:val="table-note"/>
        </w:rPr>
      </w:pPr>
      <w:r w:rsidRPr="00CC76C9">
        <w:rPr>
          <w:rStyle w:val="table-note"/>
        </w:rPr>
        <w:t xml:space="preserve">The definition of these categories was modified from 'consultants' to 'mental health workers' for the 2010–11 collection, in order to capture a variety of contemporary roles. </w:t>
      </w:r>
    </w:p>
    <w:p w:rsidR="008E4A1C" w:rsidRPr="00CC76C9" w:rsidRDefault="008E4A1C" w:rsidP="00CC76C9">
      <w:pPr>
        <w:pStyle w:val="TableFigNotesnumbered"/>
        <w:numPr>
          <w:ilvl w:val="0"/>
          <w:numId w:val="109"/>
        </w:numPr>
        <w:rPr>
          <w:rStyle w:val="table-note"/>
        </w:rPr>
      </w:pPr>
      <w:r w:rsidRPr="00CC76C9">
        <w:rPr>
          <w:rStyle w:val="table-note"/>
        </w:rPr>
        <w:t>Other personal care staff includes staff engaged primarily in the provision of personal care to patients or residents, not formally qualified, for example attendants, assistants of home assistance, home companions, family aides, ward helpers, warders, orderlies, ward assistants and nursing assistants (</w:t>
      </w:r>
      <w:proofErr w:type="spellStart"/>
      <w:r w:rsidRPr="00CC76C9">
        <w:rPr>
          <w:rStyle w:val="table-note"/>
        </w:rPr>
        <w:t>METeOR</w:t>
      </w:r>
      <w:proofErr w:type="spellEnd"/>
      <w:r w:rsidRPr="00CC76C9">
        <w:rPr>
          <w:rStyle w:val="table-note"/>
        </w:rPr>
        <w:t xml:space="preserve"> 270171).</w:t>
      </w:r>
    </w:p>
    <w:p w:rsidR="008E4A1C" w:rsidRPr="00CC76C9" w:rsidRDefault="008E4A1C" w:rsidP="00CC76C9">
      <w:pPr>
        <w:pStyle w:val="TableFigNotesnumbered"/>
        <w:numPr>
          <w:ilvl w:val="0"/>
          <w:numId w:val="109"/>
        </w:numPr>
        <w:rPr>
          <w:rStyle w:val="table-note"/>
        </w:rPr>
      </w:pPr>
      <w:r w:rsidRPr="00CC76C9">
        <w:rPr>
          <w:rStyle w:val="table-note"/>
        </w:rPr>
        <w:t xml:space="preserve">Other </w:t>
      </w:r>
      <w:proofErr w:type="gramStart"/>
      <w:r w:rsidRPr="00CC76C9">
        <w:rPr>
          <w:rStyle w:val="table-note"/>
        </w:rPr>
        <w:t>staff</w:t>
      </w:r>
      <w:proofErr w:type="gramEnd"/>
      <w:r w:rsidRPr="00CC76C9">
        <w:rPr>
          <w:rStyle w:val="table-note"/>
        </w:rPr>
        <w:t xml:space="preserve"> includes administrative and clerical and domestic and other staff categories. </w:t>
      </w:r>
    </w:p>
    <w:p w:rsidR="008E4A1C" w:rsidRPr="001B1E83" w:rsidRDefault="008E4A1C" w:rsidP="008E4A1C">
      <w:pPr>
        <w:spacing w:before="0" w:after="0" w:line="240" w:lineRule="auto"/>
        <w:rPr>
          <w:rFonts w:asciiTheme="minorHAnsi" w:hAnsiTheme="minorHAnsi" w:cstheme="minorHAnsi"/>
        </w:rPr>
      </w:pPr>
    </w:p>
    <w:p w:rsidR="008E4A1C" w:rsidRPr="00CC76C9" w:rsidRDefault="008E4A1C" w:rsidP="008E4A1C">
      <w:pPr>
        <w:spacing w:before="0" w:after="0" w:line="240" w:lineRule="auto"/>
        <w:rPr>
          <w:rStyle w:val="table-note"/>
          <w:rFonts w:ascii="Arial" w:hAnsi="Arial"/>
        </w:rPr>
      </w:pPr>
      <w:r w:rsidRPr="00CC76C9">
        <w:rPr>
          <w:rStyle w:val="table-note"/>
          <w:rFonts w:ascii="Arial" w:hAnsi="Arial"/>
          <w:sz w:val="14"/>
          <w:szCs w:val="20"/>
          <w:lang w:eastAsia="en-US"/>
        </w:rPr>
        <w:t>Notes:</w:t>
      </w:r>
      <w:r w:rsidRPr="00CC76C9">
        <w:rPr>
          <w:rStyle w:val="table-note"/>
          <w:rFonts w:ascii="Arial" w:hAnsi="Arial"/>
        </w:rPr>
        <w:tab/>
      </w:r>
    </w:p>
    <w:p w:rsidR="008E4A1C" w:rsidRPr="00CC76C9" w:rsidRDefault="008E4A1C" w:rsidP="00540186">
      <w:pPr>
        <w:pStyle w:val="ListParagraph"/>
        <w:numPr>
          <w:ilvl w:val="0"/>
          <w:numId w:val="54"/>
        </w:numPr>
        <w:spacing w:after="0" w:line="240" w:lineRule="auto"/>
        <w:rPr>
          <w:rStyle w:val="table-note"/>
          <w:rFonts w:ascii="Arial" w:eastAsia="Times New Roman" w:hAnsi="Arial" w:cs="Times New Roman"/>
          <w:sz w:val="14"/>
          <w:szCs w:val="20"/>
          <w:lang w:eastAsia="en-US"/>
        </w:rPr>
      </w:pPr>
      <w:r w:rsidRPr="00CC76C9">
        <w:rPr>
          <w:rStyle w:val="table-note"/>
          <w:rFonts w:ascii="Arial" w:eastAsia="Times New Roman" w:hAnsi="Arial" w:cs="Times New Roman"/>
          <w:sz w:val="14"/>
          <w:szCs w:val="20"/>
          <w:lang w:eastAsia="en-US"/>
        </w:rPr>
        <w:t xml:space="preserve">Includes consumer and carer workers and staff employed at a higher organisational level. Excludes staff employed at regional or state level in mental health policy units of the associated relevant health department or equivalent. </w:t>
      </w:r>
    </w:p>
    <w:p w:rsidR="008E4A1C" w:rsidRPr="00CC76C9" w:rsidRDefault="008E4A1C" w:rsidP="008E4A1C">
      <w:pPr>
        <w:pStyle w:val="TableFigNotesnumbered"/>
        <w:ind w:left="0" w:firstLine="0"/>
        <w:rPr>
          <w:rStyle w:val="table-note"/>
        </w:rPr>
      </w:pPr>
      <w:r w:rsidRPr="00CC76C9">
        <w:rPr>
          <w:rStyle w:val="table-note"/>
        </w:rPr>
        <w:t>Source: National Mental Health Establishments Database.</w:t>
      </w:r>
    </w:p>
    <w:p w:rsidR="008E4A1C" w:rsidRPr="0056720B" w:rsidRDefault="008E4A1C" w:rsidP="008E4A1C">
      <w:pPr>
        <w:spacing w:after="0" w:line="240" w:lineRule="auto"/>
        <w:rPr>
          <w:rFonts w:cs="Arial"/>
          <w:sz w:val="14"/>
          <w:szCs w:val="14"/>
        </w:rPr>
      </w:pPr>
    </w:p>
    <w:p w:rsidR="008E4A1C" w:rsidRPr="008A3F74" w:rsidRDefault="008A3F74" w:rsidP="008E4A1C">
      <w:pPr>
        <w:pStyle w:val="TableCaption"/>
        <w:rPr>
          <w:rStyle w:val="table-note"/>
        </w:rPr>
      </w:pPr>
      <w:r w:rsidRPr="008A3F74">
        <w:rPr>
          <w:rStyle w:val="table-note"/>
        </w:rPr>
        <w:lastRenderedPageBreak/>
        <w:t xml:space="preserve">Table 79: </w:t>
      </w:r>
      <w:r w:rsidR="008E4A1C" w:rsidRPr="008A3F74">
        <w:rPr>
          <w:rStyle w:val="table-note"/>
        </w:rPr>
        <w:t>ACT: Full-time-equivalent staff, state and territory specialised mental health care facilities, by staffing category, 2011–12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CT: Full-time-equivalent staff, state and territory specialised mental health care facilities, by staffing category, 2011–12"/>
        <w:tblDescription w:val="Table showing that, in 2011-2012, in the ACT nurses were the most commonly employed in specialised mental health care facilities with an FTE rate of 171.9. "/>
      </w:tblPr>
      <w:tblGrid>
        <w:gridCol w:w="2399"/>
        <w:gridCol w:w="1157"/>
        <w:gridCol w:w="1354"/>
        <w:gridCol w:w="1223"/>
        <w:gridCol w:w="1022"/>
        <w:gridCol w:w="1069"/>
        <w:gridCol w:w="1062"/>
      </w:tblGrid>
      <w:tr w:rsidR="008E4A1C" w:rsidRPr="001B1E83" w:rsidTr="000C3DEA">
        <w:trPr>
          <w:tblHeader/>
        </w:trPr>
        <w:tc>
          <w:tcPr>
            <w:tcW w:w="2399" w:type="dxa"/>
          </w:tcPr>
          <w:p w:rsidR="008E4A1C" w:rsidRPr="001B1E83" w:rsidRDefault="008E4A1C" w:rsidP="00987128">
            <w:pPr>
              <w:pStyle w:val="TableFigText"/>
              <w:keepNext/>
              <w:rPr>
                <w:rFonts w:asciiTheme="minorHAnsi" w:hAnsiTheme="minorHAnsi" w:cstheme="minorHAnsi"/>
                <w:szCs w:val="22"/>
              </w:rPr>
            </w:pPr>
          </w:p>
        </w:tc>
        <w:tc>
          <w:tcPr>
            <w:tcW w:w="1157" w:type="dxa"/>
          </w:tcPr>
          <w:p w:rsidR="008E4A1C" w:rsidRPr="001B1E83" w:rsidRDefault="008E4A1C" w:rsidP="00987128">
            <w:pPr>
              <w:pStyle w:val="TableFigText"/>
              <w:keepNext/>
              <w:jc w:val="right"/>
              <w:rPr>
                <w:rFonts w:asciiTheme="minorHAnsi" w:hAnsiTheme="minorHAnsi" w:cstheme="minorHAnsi"/>
                <w:b/>
                <w:szCs w:val="22"/>
              </w:rPr>
            </w:pPr>
            <w:r w:rsidRPr="001B1E83">
              <w:rPr>
                <w:rFonts w:asciiTheme="minorHAnsi" w:hAnsiTheme="minorHAnsi" w:cstheme="minorHAnsi"/>
                <w:b/>
                <w:szCs w:val="22"/>
              </w:rPr>
              <w:t>Major cities</w:t>
            </w:r>
          </w:p>
        </w:tc>
        <w:tc>
          <w:tcPr>
            <w:tcW w:w="1354" w:type="dxa"/>
          </w:tcPr>
          <w:p w:rsidR="008E4A1C" w:rsidRPr="001B1E83" w:rsidRDefault="008E4A1C" w:rsidP="00987128">
            <w:pPr>
              <w:pStyle w:val="TableFigText"/>
              <w:keepNext/>
              <w:jc w:val="right"/>
              <w:rPr>
                <w:rFonts w:asciiTheme="minorHAnsi" w:hAnsiTheme="minorHAnsi" w:cstheme="minorHAnsi"/>
                <w:b/>
                <w:szCs w:val="22"/>
              </w:rPr>
            </w:pPr>
            <w:r w:rsidRPr="001B1E83">
              <w:rPr>
                <w:rFonts w:asciiTheme="minorHAnsi" w:hAnsiTheme="minorHAnsi" w:cstheme="minorHAnsi"/>
                <w:b/>
                <w:szCs w:val="22"/>
              </w:rPr>
              <w:t>Inner regional</w:t>
            </w:r>
          </w:p>
        </w:tc>
        <w:tc>
          <w:tcPr>
            <w:tcW w:w="1223" w:type="dxa"/>
          </w:tcPr>
          <w:p w:rsidR="008E4A1C" w:rsidRPr="001B1E83" w:rsidRDefault="008E4A1C" w:rsidP="00987128">
            <w:pPr>
              <w:pStyle w:val="TableFigText"/>
              <w:keepNext/>
              <w:jc w:val="right"/>
              <w:rPr>
                <w:rFonts w:asciiTheme="minorHAnsi" w:hAnsiTheme="minorHAnsi" w:cstheme="minorHAnsi"/>
                <w:b/>
                <w:szCs w:val="22"/>
              </w:rPr>
            </w:pPr>
            <w:r w:rsidRPr="001B1E83">
              <w:rPr>
                <w:rFonts w:asciiTheme="minorHAnsi" w:hAnsiTheme="minorHAnsi" w:cstheme="minorHAnsi"/>
                <w:b/>
                <w:szCs w:val="22"/>
              </w:rPr>
              <w:t>Outer regional</w:t>
            </w:r>
          </w:p>
        </w:tc>
        <w:tc>
          <w:tcPr>
            <w:tcW w:w="1022" w:type="dxa"/>
          </w:tcPr>
          <w:p w:rsidR="008E4A1C" w:rsidRPr="001B1E83" w:rsidRDefault="008E4A1C" w:rsidP="00987128">
            <w:pPr>
              <w:pStyle w:val="TableFigText"/>
              <w:keepNext/>
              <w:jc w:val="right"/>
              <w:rPr>
                <w:rFonts w:asciiTheme="minorHAnsi" w:hAnsiTheme="minorHAnsi" w:cstheme="minorHAnsi"/>
                <w:b/>
                <w:szCs w:val="22"/>
              </w:rPr>
            </w:pPr>
            <w:r w:rsidRPr="001B1E83">
              <w:rPr>
                <w:rFonts w:asciiTheme="minorHAnsi" w:hAnsiTheme="minorHAnsi" w:cstheme="minorHAnsi"/>
                <w:b/>
                <w:szCs w:val="22"/>
              </w:rPr>
              <w:t>Remote</w:t>
            </w:r>
          </w:p>
        </w:tc>
        <w:tc>
          <w:tcPr>
            <w:tcW w:w="1069" w:type="dxa"/>
          </w:tcPr>
          <w:p w:rsidR="008E4A1C" w:rsidRPr="001B1E83" w:rsidRDefault="008E4A1C" w:rsidP="00987128">
            <w:pPr>
              <w:pStyle w:val="TableFigText"/>
              <w:keepNext/>
              <w:jc w:val="right"/>
              <w:rPr>
                <w:rFonts w:asciiTheme="minorHAnsi" w:hAnsiTheme="minorHAnsi" w:cstheme="minorHAnsi"/>
                <w:b/>
                <w:szCs w:val="22"/>
              </w:rPr>
            </w:pPr>
            <w:r w:rsidRPr="001B1E83">
              <w:rPr>
                <w:rFonts w:asciiTheme="minorHAnsi" w:hAnsiTheme="minorHAnsi" w:cstheme="minorHAnsi"/>
                <w:b/>
                <w:szCs w:val="22"/>
              </w:rPr>
              <w:t>Very remote</w:t>
            </w:r>
          </w:p>
        </w:tc>
        <w:tc>
          <w:tcPr>
            <w:tcW w:w="1062" w:type="dxa"/>
          </w:tcPr>
          <w:p w:rsidR="008E4A1C" w:rsidRPr="001B1E83" w:rsidRDefault="008E4A1C" w:rsidP="00987128">
            <w:pPr>
              <w:pStyle w:val="TableFigText"/>
              <w:keepNext/>
              <w:jc w:val="right"/>
              <w:rPr>
                <w:rFonts w:asciiTheme="minorHAnsi" w:hAnsiTheme="minorHAnsi" w:cstheme="minorHAnsi"/>
                <w:b/>
                <w:szCs w:val="22"/>
              </w:rPr>
            </w:pPr>
            <w:r w:rsidRPr="001B1E83">
              <w:rPr>
                <w:rFonts w:asciiTheme="minorHAnsi" w:hAnsiTheme="minorHAnsi" w:cstheme="minorHAnsi"/>
                <w:b/>
                <w:szCs w:val="22"/>
              </w:rPr>
              <w:t>Total</w:t>
            </w:r>
            <w:r w:rsidRPr="001B1E83">
              <w:rPr>
                <w:rFonts w:asciiTheme="minorHAnsi" w:hAnsiTheme="minorHAnsi" w:cstheme="minorHAnsi"/>
                <w:b/>
                <w:szCs w:val="22"/>
                <w:vertAlign w:val="superscript"/>
              </w:rPr>
              <w:t>(a)</w:t>
            </w:r>
          </w:p>
        </w:tc>
      </w:tr>
      <w:tr w:rsidR="008E4A1C" w:rsidRPr="001B1E83" w:rsidTr="00987128">
        <w:tc>
          <w:tcPr>
            <w:tcW w:w="2399" w:type="dxa"/>
          </w:tcPr>
          <w:p w:rsidR="008E4A1C" w:rsidRPr="001B1E83" w:rsidRDefault="008E4A1C" w:rsidP="00987128">
            <w:pPr>
              <w:pStyle w:val="TableFigText"/>
              <w:keepNext/>
              <w:rPr>
                <w:rFonts w:asciiTheme="minorHAnsi" w:hAnsiTheme="minorHAnsi" w:cstheme="minorHAnsi"/>
                <w:szCs w:val="22"/>
              </w:rPr>
            </w:pPr>
            <w:r w:rsidRPr="001B1E83">
              <w:rPr>
                <w:rFonts w:asciiTheme="minorHAnsi" w:hAnsiTheme="minorHAnsi" w:cstheme="minorHAnsi"/>
                <w:szCs w:val="22"/>
              </w:rPr>
              <w:t>Consultant psychiatrists and psychiatrists</w:t>
            </w:r>
          </w:p>
        </w:tc>
        <w:tc>
          <w:tcPr>
            <w:tcW w:w="1157" w:type="dxa"/>
          </w:tcPr>
          <w:p w:rsidR="008E4A1C" w:rsidRPr="00F50EBF" w:rsidRDefault="008E4A1C" w:rsidP="00987128">
            <w:pPr>
              <w:pStyle w:val="TableFigText"/>
              <w:jc w:val="right"/>
              <w:rPr>
                <w:rFonts w:asciiTheme="minorHAnsi" w:hAnsiTheme="minorHAnsi" w:cstheme="minorHAnsi"/>
                <w:szCs w:val="22"/>
              </w:rPr>
            </w:pPr>
            <w:proofErr w:type="spellStart"/>
            <w:r w:rsidRPr="00CD59EA">
              <w:rPr>
                <w:rFonts w:asciiTheme="minorHAnsi" w:hAnsiTheme="minorHAnsi" w:cstheme="minorHAnsi"/>
                <w:szCs w:val="22"/>
              </w:rPr>
              <w:t>n.p</w:t>
            </w:r>
            <w:proofErr w:type="spellEnd"/>
            <w:r w:rsidRPr="00CD59EA">
              <w:rPr>
                <w:rFonts w:asciiTheme="minorHAnsi" w:hAnsiTheme="minorHAnsi" w:cstheme="minorHAnsi"/>
                <w:szCs w:val="22"/>
              </w:rPr>
              <w:t>.</w:t>
            </w:r>
          </w:p>
        </w:tc>
        <w:tc>
          <w:tcPr>
            <w:tcW w:w="1354" w:type="dxa"/>
          </w:tcPr>
          <w:p w:rsidR="008E4A1C" w:rsidRPr="00F50EBF" w:rsidRDefault="008E4A1C" w:rsidP="00987128">
            <w:pPr>
              <w:pStyle w:val="TableFigText"/>
              <w:jc w:val="right"/>
              <w:rPr>
                <w:rFonts w:asciiTheme="minorHAnsi" w:hAnsiTheme="minorHAnsi" w:cstheme="minorHAnsi"/>
                <w:szCs w:val="22"/>
              </w:rPr>
            </w:pPr>
            <w:proofErr w:type="spellStart"/>
            <w:r w:rsidRPr="00CD59EA">
              <w:rPr>
                <w:rFonts w:asciiTheme="minorHAnsi" w:hAnsiTheme="minorHAnsi" w:cstheme="minorHAnsi"/>
                <w:szCs w:val="22"/>
              </w:rPr>
              <w:t>n.p</w:t>
            </w:r>
            <w:proofErr w:type="spellEnd"/>
            <w:r w:rsidRPr="00CD59EA">
              <w:rPr>
                <w:rFonts w:asciiTheme="minorHAnsi" w:hAnsiTheme="minorHAnsi" w:cstheme="minorHAnsi"/>
                <w:szCs w:val="22"/>
              </w:rPr>
              <w:t>.</w:t>
            </w:r>
          </w:p>
        </w:tc>
        <w:tc>
          <w:tcPr>
            <w:tcW w:w="1223" w:type="dxa"/>
          </w:tcPr>
          <w:p w:rsidR="008E4A1C" w:rsidRPr="00F50EBF" w:rsidRDefault="008E4A1C" w:rsidP="00987128">
            <w:pPr>
              <w:pStyle w:val="TableFigText"/>
              <w:jc w:val="right"/>
              <w:rPr>
                <w:rFonts w:asciiTheme="minorHAnsi" w:hAnsiTheme="minorHAnsi" w:cstheme="minorHAnsi"/>
                <w:szCs w:val="22"/>
              </w:rPr>
            </w:pPr>
            <w:proofErr w:type="spellStart"/>
            <w:r w:rsidRPr="00CD59EA">
              <w:rPr>
                <w:rFonts w:asciiTheme="minorHAnsi" w:hAnsiTheme="minorHAnsi" w:cstheme="minorHAnsi"/>
                <w:szCs w:val="22"/>
              </w:rPr>
              <w:t>n.p</w:t>
            </w:r>
            <w:proofErr w:type="spellEnd"/>
            <w:r w:rsidRPr="00CD59EA">
              <w:rPr>
                <w:rFonts w:asciiTheme="minorHAnsi" w:hAnsiTheme="minorHAnsi" w:cstheme="minorHAnsi"/>
                <w:szCs w:val="22"/>
              </w:rPr>
              <w:t>.</w:t>
            </w:r>
          </w:p>
        </w:tc>
        <w:tc>
          <w:tcPr>
            <w:tcW w:w="1022" w:type="dxa"/>
          </w:tcPr>
          <w:p w:rsidR="008E4A1C" w:rsidRPr="00F50EBF" w:rsidRDefault="008E4A1C" w:rsidP="00987128">
            <w:pPr>
              <w:pStyle w:val="TableFigText"/>
              <w:jc w:val="right"/>
              <w:rPr>
                <w:rFonts w:asciiTheme="minorHAnsi" w:hAnsiTheme="minorHAnsi" w:cstheme="minorHAnsi"/>
                <w:szCs w:val="22"/>
              </w:rPr>
            </w:pPr>
            <w:proofErr w:type="spellStart"/>
            <w:r w:rsidRPr="00CD59EA">
              <w:rPr>
                <w:rFonts w:asciiTheme="minorHAnsi" w:hAnsiTheme="minorHAnsi" w:cstheme="minorHAnsi"/>
                <w:szCs w:val="22"/>
              </w:rPr>
              <w:t>n.p</w:t>
            </w:r>
            <w:proofErr w:type="spellEnd"/>
            <w:r w:rsidRPr="00CD59EA">
              <w:rPr>
                <w:rFonts w:asciiTheme="minorHAnsi" w:hAnsiTheme="minorHAnsi" w:cstheme="minorHAnsi"/>
                <w:szCs w:val="22"/>
              </w:rPr>
              <w:t>.</w:t>
            </w:r>
          </w:p>
        </w:tc>
        <w:tc>
          <w:tcPr>
            <w:tcW w:w="1069" w:type="dxa"/>
          </w:tcPr>
          <w:p w:rsidR="008E4A1C" w:rsidRPr="00F50EBF" w:rsidRDefault="008E4A1C" w:rsidP="00987128">
            <w:pPr>
              <w:pStyle w:val="TableFigText"/>
              <w:jc w:val="right"/>
              <w:rPr>
                <w:rFonts w:asciiTheme="minorHAnsi" w:hAnsiTheme="minorHAnsi" w:cstheme="minorHAnsi"/>
                <w:szCs w:val="22"/>
              </w:rPr>
            </w:pPr>
            <w:proofErr w:type="spellStart"/>
            <w:r w:rsidRPr="00CD59EA">
              <w:rPr>
                <w:rFonts w:asciiTheme="minorHAnsi" w:hAnsiTheme="minorHAnsi" w:cstheme="minorHAnsi"/>
                <w:szCs w:val="22"/>
              </w:rPr>
              <w:t>n.p</w:t>
            </w:r>
            <w:proofErr w:type="spellEnd"/>
            <w:r w:rsidRPr="00CD59EA">
              <w:rPr>
                <w:rFonts w:asciiTheme="minorHAnsi" w:hAnsiTheme="minorHAnsi" w:cstheme="minorHAnsi"/>
                <w:szCs w:val="22"/>
              </w:rPr>
              <w:t>.</w:t>
            </w:r>
          </w:p>
        </w:tc>
        <w:tc>
          <w:tcPr>
            <w:tcW w:w="1062" w:type="dxa"/>
          </w:tcPr>
          <w:p w:rsidR="008E4A1C" w:rsidRPr="00EB65E0" w:rsidRDefault="008E4A1C" w:rsidP="00987128">
            <w:pPr>
              <w:pStyle w:val="TableFigText"/>
              <w:jc w:val="right"/>
              <w:rPr>
                <w:rFonts w:asciiTheme="minorHAnsi" w:hAnsiTheme="minorHAnsi" w:cstheme="minorHAnsi"/>
                <w:szCs w:val="22"/>
              </w:rPr>
            </w:pPr>
            <w:r w:rsidRPr="00EB65E0">
              <w:rPr>
                <w:rFonts w:asciiTheme="minorHAnsi" w:hAnsiTheme="minorHAnsi" w:cstheme="minorHAnsi"/>
                <w:szCs w:val="22"/>
              </w:rPr>
              <w:t>30.4</w:t>
            </w:r>
          </w:p>
        </w:tc>
      </w:tr>
      <w:tr w:rsidR="008E4A1C" w:rsidRPr="001B1E83" w:rsidTr="00987128">
        <w:tc>
          <w:tcPr>
            <w:tcW w:w="2399" w:type="dxa"/>
          </w:tcPr>
          <w:p w:rsidR="008E4A1C" w:rsidRPr="001B1E83" w:rsidRDefault="008E4A1C" w:rsidP="00987128">
            <w:pPr>
              <w:pStyle w:val="TableFigText"/>
              <w:keepNext/>
              <w:rPr>
                <w:rFonts w:asciiTheme="minorHAnsi" w:hAnsiTheme="minorHAnsi" w:cstheme="minorHAnsi"/>
                <w:szCs w:val="22"/>
              </w:rPr>
            </w:pPr>
            <w:r w:rsidRPr="001B1E83">
              <w:rPr>
                <w:rFonts w:asciiTheme="minorHAnsi" w:hAnsiTheme="minorHAnsi" w:cstheme="minorHAnsi"/>
                <w:szCs w:val="22"/>
              </w:rPr>
              <w:t>Psychiatry registrars and trainees</w:t>
            </w:r>
          </w:p>
        </w:tc>
        <w:tc>
          <w:tcPr>
            <w:tcW w:w="1157" w:type="dxa"/>
          </w:tcPr>
          <w:p w:rsidR="008E4A1C" w:rsidRPr="00F50EBF" w:rsidRDefault="008E4A1C" w:rsidP="00987128">
            <w:pPr>
              <w:pStyle w:val="TableFigText"/>
              <w:jc w:val="right"/>
              <w:rPr>
                <w:rFonts w:asciiTheme="minorHAnsi" w:hAnsiTheme="minorHAnsi" w:cstheme="minorHAnsi"/>
                <w:szCs w:val="22"/>
              </w:rPr>
            </w:pPr>
            <w:proofErr w:type="spellStart"/>
            <w:r w:rsidRPr="00CD59EA">
              <w:rPr>
                <w:rFonts w:asciiTheme="minorHAnsi" w:hAnsiTheme="minorHAnsi" w:cstheme="minorHAnsi"/>
                <w:szCs w:val="22"/>
              </w:rPr>
              <w:t>n.p</w:t>
            </w:r>
            <w:proofErr w:type="spellEnd"/>
            <w:r w:rsidRPr="00CD59EA">
              <w:rPr>
                <w:rFonts w:asciiTheme="minorHAnsi" w:hAnsiTheme="minorHAnsi" w:cstheme="minorHAnsi"/>
                <w:szCs w:val="22"/>
              </w:rPr>
              <w:t>.</w:t>
            </w:r>
          </w:p>
        </w:tc>
        <w:tc>
          <w:tcPr>
            <w:tcW w:w="1354" w:type="dxa"/>
          </w:tcPr>
          <w:p w:rsidR="008E4A1C" w:rsidRPr="00F50EBF" w:rsidRDefault="008E4A1C" w:rsidP="00987128">
            <w:pPr>
              <w:pStyle w:val="TableFigText"/>
              <w:jc w:val="right"/>
              <w:rPr>
                <w:rFonts w:asciiTheme="minorHAnsi" w:hAnsiTheme="minorHAnsi" w:cstheme="minorHAnsi"/>
                <w:szCs w:val="22"/>
              </w:rPr>
            </w:pPr>
            <w:proofErr w:type="spellStart"/>
            <w:r w:rsidRPr="00CD59EA">
              <w:rPr>
                <w:rFonts w:asciiTheme="minorHAnsi" w:hAnsiTheme="minorHAnsi" w:cstheme="minorHAnsi"/>
                <w:szCs w:val="22"/>
              </w:rPr>
              <w:t>n.p</w:t>
            </w:r>
            <w:proofErr w:type="spellEnd"/>
            <w:r w:rsidRPr="00CD59EA">
              <w:rPr>
                <w:rFonts w:asciiTheme="minorHAnsi" w:hAnsiTheme="minorHAnsi" w:cstheme="minorHAnsi"/>
                <w:szCs w:val="22"/>
              </w:rPr>
              <w:t>.</w:t>
            </w:r>
          </w:p>
        </w:tc>
        <w:tc>
          <w:tcPr>
            <w:tcW w:w="1223" w:type="dxa"/>
          </w:tcPr>
          <w:p w:rsidR="008E4A1C" w:rsidRPr="00F50EBF" w:rsidRDefault="008E4A1C" w:rsidP="00987128">
            <w:pPr>
              <w:pStyle w:val="TableFigText"/>
              <w:jc w:val="right"/>
              <w:rPr>
                <w:rFonts w:asciiTheme="minorHAnsi" w:hAnsiTheme="minorHAnsi" w:cstheme="minorHAnsi"/>
                <w:szCs w:val="22"/>
              </w:rPr>
            </w:pPr>
            <w:proofErr w:type="spellStart"/>
            <w:r w:rsidRPr="00CD59EA">
              <w:rPr>
                <w:rFonts w:asciiTheme="minorHAnsi" w:hAnsiTheme="minorHAnsi" w:cstheme="minorHAnsi"/>
                <w:szCs w:val="22"/>
              </w:rPr>
              <w:t>n.p</w:t>
            </w:r>
            <w:proofErr w:type="spellEnd"/>
            <w:r w:rsidRPr="00CD59EA">
              <w:rPr>
                <w:rFonts w:asciiTheme="minorHAnsi" w:hAnsiTheme="minorHAnsi" w:cstheme="minorHAnsi"/>
                <w:szCs w:val="22"/>
              </w:rPr>
              <w:t>.</w:t>
            </w:r>
          </w:p>
        </w:tc>
        <w:tc>
          <w:tcPr>
            <w:tcW w:w="1022" w:type="dxa"/>
          </w:tcPr>
          <w:p w:rsidR="008E4A1C" w:rsidRPr="00F50EBF" w:rsidRDefault="008E4A1C" w:rsidP="00987128">
            <w:pPr>
              <w:pStyle w:val="TableFigText"/>
              <w:jc w:val="right"/>
              <w:rPr>
                <w:rFonts w:asciiTheme="minorHAnsi" w:hAnsiTheme="minorHAnsi" w:cstheme="minorHAnsi"/>
                <w:szCs w:val="22"/>
              </w:rPr>
            </w:pPr>
            <w:proofErr w:type="spellStart"/>
            <w:r w:rsidRPr="00CD59EA">
              <w:rPr>
                <w:rFonts w:asciiTheme="minorHAnsi" w:hAnsiTheme="minorHAnsi" w:cstheme="minorHAnsi"/>
                <w:szCs w:val="22"/>
              </w:rPr>
              <w:t>n.p</w:t>
            </w:r>
            <w:proofErr w:type="spellEnd"/>
            <w:r w:rsidRPr="00CD59EA">
              <w:rPr>
                <w:rFonts w:asciiTheme="minorHAnsi" w:hAnsiTheme="minorHAnsi" w:cstheme="minorHAnsi"/>
                <w:szCs w:val="22"/>
              </w:rPr>
              <w:t>.</w:t>
            </w:r>
          </w:p>
        </w:tc>
        <w:tc>
          <w:tcPr>
            <w:tcW w:w="1069" w:type="dxa"/>
          </w:tcPr>
          <w:p w:rsidR="008E4A1C" w:rsidRPr="00F50EBF" w:rsidRDefault="008E4A1C" w:rsidP="00987128">
            <w:pPr>
              <w:pStyle w:val="TableFigText"/>
              <w:jc w:val="right"/>
              <w:rPr>
                <w:rFonts w:asciiTheme="minorHAnsi" w:hAnsiTheme="minorHAnsi" w:cstheme="minorHAnsi"/>
                <w:szCs w:val="22"/>
              </w:rPr>
            </w:pPr>
            <w:proofErr w:type="spellStart"/>
            <w:r w:rsidRPr="00CD59EA">
              <w:rPr>
                <w:rFonts w:asciiTheme="minorHAnsi" w:hAnsiTheme="minorHAnsi" w:cstheme="minorHAnsi"/>
                <w:szCs w:val="22"/>
              </w:rPr>
              <w:t>n.p</w:t>
            </w:r>
            <w:proofErr w:type="spellEnd"/>
            <w:r w:rsidRPr="00CD59EA">
              <w:rPr>
                <w:rFonts w:asciiTheme="minorHAnsi" w:hAnsiTheme="minorHAnsi" w:cstheme="minorHAnsi"/>
                <w:szCs w:val="22"/>
              </w:rPr>
              <w:t>.</w:t>
            </w:r>
          </w:p>
        </w:tc>
        <w:tc>
          <w:tcPr>
            <w:tcW w:w="1062" w:type="dxa"/>
          </w:tcPr>
          <w:p w:rsidR="008E4A1C" w:rsidRPr="00EB65E0" w:rsidRDefault="008E4A1C" w:rsidP="00987128">
            <w:pPr>
              <w:pStyle w:val="TableFigText"/>
              <w:jc w:val="right"/>
              <w:rPr>
                <w:rFonts w:asciiTheme="minorHAnsi" w:hAnsiTheme="minorHAnsi" w:cstheme="minorHAnsi"/>
                <w:szCs w:val="22"/>
              </w:rPr>
            </w:pPr>
            <w:r w:rsidRPr="00EB65E0">
              <w:rPr>
                <w:rFonts w:asciiTheme="minorHAnsi" w:hAnsiTheme="minorHAnsi" w:cstheme="minorHAnsi"/>
                <w:szCs w:val="22"/>
              </w:rPr>
              <w:t>17.2</w:t>
            </w:r>
          </w:p>
        </w:tc>
      </w:tr>
      <w:tr w:rsidR="008E4A1C" w:rsidRPr="001B1E83" w:rsidTr="00987128">
        <w:tc>
          <w:tcPr>
            <w:tcW w:w="2399" w:type="dxa"/>
          </w:tcPr>
          <w:p w:rsidR="008E4A1C" w:rsidRPr="001B1E83" w:rsidRDefault="008E4A1C" w:rsidP="00987128">
            <w:pPr>
              <w:pStyle w:val="TableFigText"/>
              <w:keepNext/>
              <w:rPr>
                <w:rFonts w:asciiTheme="minorHAnsi" w:hAnsiTheme="minorHAnsi" w:cstheme="minorHAnsi"/>
                <w:szCs w:val="22"/>
              </w:rPr>
            </w:pPr>
            <w:r w:rsidRPr="001B1E83">
              <w:rPr>
                <w:rFonts w:asciiTheme="minorHAnsi" w:hAnsiTheme="minorHAnsi" w:cstheme="minorHAnsi"/>
                <w:szCs w:val="22"/>
              </w:rPr>
              <w:t>Other medical officers</w:t>
            </w:r>
          </w:p>
        </w:tc>
        <w:tc>
          <w:tcPr>
            <w:tcW w:w="1157" w:type="dxa"/>
          </w:tcPr>
          <w:p w:rsidR="008E4A1C" w:rsidRPr="00F50EBF" w:rsidRDefault="008E4A1C" w:rsidP="00987128">
            <w:pPr>
              <w:pStyle w:val="TableFigText"/>
              <w:jc w:val="right"/>
              <w:rPr>
                <w:rFonts w:asciiTheme="minorHAnsi" w:hAnsiTheme="minorHAnsi" w:cstheme="minorHAnsi"/>
                <w:szCs w:val="22"/>
              </w:rPr>
            </w:pPr>
            <w:proofErr w:type="spellStart"/>
            <w:r w:rsidRPr="00CD59EA">
              <w:rPr>
                <w:rFonts w:asciiTheme="minorHAnsi" w:hAnsiTheme="minorHAnsi" w:cstheme="minorHAnsi"/>
                <w:szCs w:val="22"/>
              </w:rPr>
              <w:t>n.p</w:t>
            </w:r>
            <w:proofErr w:type="spellEnd"/>
            <w:r w:rsidRPr="00CD59EA">
              <w:rPr>
                <w:rFonts w:asciiTheme="minorHAnsi" w:hAnsiTheme="minorHAnsi" w:cstheme="minorHAnsi"/>
                <w:szCs w:val="22"/>
              </w:rPr>
              <w:t>.</w:t>
            </w:r>
          </w:p>
        </w:tc>
        <w:tc>
          <w:tcPr>
            <w:tcW w:w="1354" w:type="dxa"/>
          </w:tcPr>
          <w:p w:rsidR="008E4A1C" w:rsidRPr="00F50EBF" w:rsidRDefault="008E4A1C" w:rsidP="00987128">
            <w:pPr>
              <w:pStyle w:val="TableFigText"/>
              <w:jc w:val="right"/>
              <w:rPr>
                <w:rFonts w:asciiTheme="minorHAnsi" w:hAnsiTheme="minorHAnsi" w:cstheme="minorHAnsi"/>
                <w:szCs w:val="22"/>
              </w:rPr>
            </w:pPr>
            <w:proofErr w:type="spellStart"/>
            <w:r w:rsidRPr="00CD59EA">
              <w:rPr>
                <w:rFonts w:asciiTheme="minorHAnsi" w:hAnsiTheme="minorHAnsi" w:cstheme="minorHAnsi"/>
                <w:szCs w:val="22"/>
              </w:rPr>
              <w:t>n.p</w:t>
            </w:r>
            <w:proofErr w:type="spellEnd"/>
            <w:r w:rsidRPr="00CD59EA">
              <w:rPr>
                <w:rFonts w:asciiTheme="minorHAnsi" w:hAnsiTheme="minorHAnsi" w:cstheme="minorHAnsi"/>
                <w:szCs w:val="22"/>
              </w:rPr>
              <w:t>.</w:t>
            </w:r>
          </w:p>
        </w:tc>
        <w:tc>
          <w:tcPr>
            <w:tcW w:w="1223" w:type="dxa"/>
          </w:tcPr>
          <w:p w:rsidR="008E4A1C" w:rsidRPr="00F50EBF" w:rsidRDefault="008E4A1C" w:rsidP="00987128">
            <w:pPr>
              <w:pStyle w:val="TableFigText"/>
              <w:jc w:val="right"/>
              <w:rPr>
                <w:rFonts w:asciiTheme="minorHAnsi" w:hAnsiTheme="minorHAnsi" w:cstheme="minorHAnsi"/>
                <w:szCs w:val="22"/>
              </w:rPr>
            </w:pPr>
            <w:proofErr w:type="spellStart"/>
            <w:r w:rsidRPr="00CD59EA">
              <w:rPr>
                <w:rFonts w:asciiTheme="minorHAnsi" w:hAnsiTheme="minorHAnsi" w:cstheme="minorHAnsi"/>
                <w:szCs w:val="22"/>
              </w:rPr>
              <w:t>n.p</w:t>
            </w:r>
            <w:proofErr w:type="spellEnd"/>
            <w:r w:rsidRPr="00CD59EA">
              <w:rPr>
                <w:rFonts w:asciiTheme="minorHAnsi" w:hAnsiTheme="minorHAnsi" w:cstheme="minorHAnsi"/>
                <w:szCs w:val="22"/>
              </w:rPr>
              <w:t>.</w:t>
            </w:r>
          </w:p>
        </w:tc>
        <w:tc>
          <w:tcPr>
            <w:tcW w:w="1022" w:type="dxa"/>
          </w:tcPr>
          <w:p w:rsidR="008E4A1C" w:rsidRPr="00F50EBF" w:rsidRDefault="008E4A1C" w:rsidP="00987128">
            <w:pPr>
              <w:pStyle w:val="TableFigText"/>
              <w:jc w:val="right"/>
              <w:rPr>
                <w:rFonts w:asciiTheme="minorHAnsi" w:hAnsiTheme="minorHAnsi" w:cstheme="minorHAnsi"/>
                <w:szCs w:val="22"/>
              </w:rPr>
            </w:pPr>
            <w:proofErr w:type="spellStart"/>
            <w:r w:rsidRPr="00CD59EA">
              <w:rPr>
                <w:rFonts w:asciiTheme="minorHAnsi" w:hAnsiTheme="minorHAnsi" w:cstheme="minorHAnsi"/>
                <w:szCs w:val="22"/>
              </w:rPr>
              <w:t>n.p</w:t>
            </w:r>
            <w:proofErr w:type="spellEnd"/>
            <w:r w:rsidRPr="00CD59EA">
              <w:rPr>
                <w:rFonts w:asciiTheme="minorHAnsi" w:hAnsiTheme="minorHAnsi" w:cstheme="minorHAnsi"/>
                <w:szCs w:val="22"/>
              </w:rPr>
              <w:t>.</w:t>
            </w:r>
          </w:p>
        </w:tc>
        <w:tc>
          <w:tcPr>
            <w:tcW w:w="1069" w:type="dxa"/>
          </w:tcPr>
          <w:p w:rsidR="008E4A1C" w:rsidRPr="00F50EBF" w:rsidRDefault="008E4A1C" w:rsidP="00987128">
            <w:pPr>
              <w:pStyle w:val="TableFigText"/>
              <w:jc w:val="right"/>
              <w:rPr>
                <w:rFonts w:asciiTheme="minorHAnsi" w:hAnsiTheme="minorHAnsi" w:cstheme="minorHAnsi"/>
                <w:szCs w:val="22"/>
              </w:rPr>
            </w:pPr>
            <w:proofErr w:type="spellStart"/>
            <w:r w:rsidRPr="00CD59EA">
              <w:rPr>
                <w:rFonts w:asciiTheme="minorHAnsi" w:hAnsiTheme="minorHAnsi" w:cstheme="minorHAnsi"/>
                <w:szCs w:val="22"/>
              </w:rPr>
              <w:t>n.p</w:t>
            </w:r>
            <w:proofErr w:type="spellEnd"/>
            <w:r w:rsidRPr="00CD59EA">
              <w:rPr>
                <w:rFonts w:asciiTheme="minorHAnsi" w:hAnsiTheme="minorHAnsi" w:cstheme="minorHAnsi"/>
                <w:szCs w:val="22"/>
              </w:rPr>
              <w:t>.</w:t>
            </w:r>
          </w:p>
        </w:tc>
        <w:tc>
          <w:tcPr>
            <w:tcW w:w="1062" w:type="dxa"/>
          </w:tcPr>
          <w:p w:rsidR="008E4A1C" w:rsidRPr="00EB65E0" w:rsidRDefault="008E4A1C" w:rsidP="00987128">
            <w:pPr>
              <w:pStyle w:val="TableFigText"/>
              <w:jc w:val="right"/>
              <w:rPr>
                <w:rFonts w:asciiTheme="minorHAnsi" w:hAnsiTheme="minorHAnsi" w:cstheme="minorHAnsi"/>
                <w:szCs w:val="22"/>
              </w:rPr>
            </w:pPr>
            <w:r w:rsidRPr="00EB65E0">
              <w:rPr>
                <w:rFonts w:asciiTheme="minorHAnsi" w:hAnsiTheme="minorHAnsi" w:cstheme="minorHAnsi"/>
                <w:szCs w:val="22"/>
              </w:rPr>
              <w:t>0.8</w:t>
            </w:r>
          </w:p>
        </w:tc>
      </w:tr>
      <w:tr w:rsidR="008E4A1C" w:rsidRPr="001B1E83" w:rsidTr="00987128">
        <w:tc>
          <w:tcPr>
            <w:tcW w:w="2399" w:type="dxa"/>
          </w:tcPr>
          <w:p w:rsidR="008E4A1C" w:rsidRPr="001B1E83" w:rsidRDefault="008E4A1C" w:rsidP="00987128">
            <w:pPr>
              <w:pStyle w:val="TableFigText"/>
              <w:keepNext/>
              <w:rPr>
                <w:rFonts w:asciiTheme="minorHAnsi" w:hAnsiTheme="minorHAnsi" w:cstheme="minorHAnsi"/>
                <w:szCs w:val="22"/>
              </w:rPr>
            </w:pPr>
            <w:r w:rsidRPr="001B1E83">
              <w:rPr>
                <w:rFonts w:asciiTheme="minorHAnsi" w:hAnsiTheme="minorHAnsi" w:cstheme="minorHAnsi"/>
                <w:szCs w:val="22"/>
              </w:rPr>
              <w:t>Psychologists</w:t>
            </w:r>
          </w:p>
        </w:tc>
        <w:tc>
          <w:tcPr>
            <w:tcW w:w="1157" w:type="dxa"/>
          </w:tcPr>
          <w:p w:rsidR="008E4A1C" w:rsidRPr="00F50EBF" w:rsidRDefault="008E4A1C" w:rsidP="00987128">
            <w:pPr>
              <w:pStyle w:val="TableFigText"/>
              <w:jc w:val="right"/>
              <w:rPr>
                <w:rFonts w:asciiTheme="minorHAnsi" w:hAnsiTheme="minorHAnsi" w:cstheme="minorHAnsi"/>
                <w:szCs w:val="22"/>
              </w:rPr>
            </w:pPr>
            <w:proofErr w:type="spellStart"/>
            <w:r w:rsidRPr="00CD59EA">
              <w:rPr>
                <w:rFonts w:asciiTheme="minorHAnsi" w:hAnsiTheme="minorHAnsi" w:cstheme="minorHAnsi"/>
                <w:szCs w:val="22"/>
              </w:rPr>
              <w:t>n.p</w:t>
            </w:r>
            <w:proofErr w:type="spellEnd"/>
            <w:r w:rsidRPr="00CD59EA">
              <w:rPr>
                <w:rFonts w:asciiTheme="minorHAnsi" w:hAnsiTheme="minorHAnsi" w:cstheme="minorHAnsi"/>
                <w:szCs w:val="22"/>
              </w:rPr>
              <w:t>.</w:t>
            </w:r>
          </w:p>
        </w:tc>
        <w:tc>
          <w:tcPr>
            <w:tcW w:w="1354" w:type="dxa"/>
          </w:tcPr>
          <w:p w:rsidR="008E4A1C" w:rsidRPr="00F50EBF" w:rsidRDefault="008E4A1C" w:rsidP="00987128">
            <w:pPr>
              <w:pStyle w:val="TableFigText"/>
              <w:jc w:val="right"/>
              <w:rPr>
                <w:rFonts w:asciiTheme="minorHAnsi" w:hAnsiTheme="minorHAnsi" w:cstheme="minorHAnsi"/>
                <w:szCs w:val="22"/>
              </w:rPr>
            </w:pPr>
            <w:proofErr w:type="spellStart"/>
            <w:r w:rsidRPr="00CD59EA">
              <w:rPr>
                <w:rFonts w:asciiTheme="minorHAnsi" w:hAnsiTheme="minorHAnsi" w:cstheme="minorHAnsi"/>
                <w:szCs w:val="22"/>
              </w:rPr>
              <w:t>n.p</w:t>
            </w:r>
            <w:proofErr w:type="spellEnd"/>
            <w:r w:rsidRPr="00CD59EA">
              <w:rPr>
                <w:rFonts w:asciiTheme="minorHAnsi" w:hAnsiTheme="minorHAnsi" w:cstheme="minorHAnsi"/>
                <w:szCs w:val="22"/>
              </w:rPr>
              <w:t>.</w:t>
            </w:r>
          </w:p>
        </w:tc>
        <w:tc>
          <w:tcPr>
            <w:tcW w:w="1223" w:type="dxa"/>
          </w:tcPr>
          <w:p w:rsidR="008E4A1C" w:rsidRPr="00F50EBF" w:rsidRDefault="008E4A1C" w:rsidP="00987128">
            <w:pPr>
              <w:pStyle w:val="TableFigText"/>
              <w:jc w:val="right"/>
              <w:rPr>
                <w:rFonts w:asciiTheme="minorHAnsi" w:hAnsiTheme="minorHAnsi" w:cstheme="minorHAnsi"/>
                <w:szCs w:val="22"/>
              </w:rPr>
            </w:pPr>
            <w:proofErr w:type="spellStart"/>
            <w:r w:rsidRPr="00CD59EA">
              <w:rPr>
                <w:rFonts w:asciiTheme="minorHAnsi" w:hAnsiTheme="minorHAnsi" w:cstheme="minorHAnsi"/>
                <w:szCs w:val="22"/>
              </w:rPr>
              <w:t>n.p</w:t>
            </w:r>
            <w:proofErr w:type="spellEnd"/>
            <w:r w:rsidRPr="00CD59EA">
              <w:rPr>
                <w:rFonts w:asciiTheme="minorHAnsi" w:hAnsiTheme="minorHAnsi" w:cstheme="minorHAnsi"/>
                <w:szCs w:val="22"/>
              </w:rPr>
              <w:t>.</w:t>
            </w:r>
          </w:p>
        </w:tc>
        <w:tc>
          <w:tcPr>
            <w:tcW w:w="1022" w:type="dxa"/>
          </w:tcPr>
          <w:p w:rsidR="008E4A1C" w:rsidRPr="00F50EBF" w:rsidRDefault="008E4A1C" w:rsidP="00987128">
            <w:pPr>
              <w:pStyle w:val="TableFigText"/>
              <w:jc w:val="right"/>
              <w:rPr>
                <w:rFonts w:asciiTheme="minorHAnsi" w:hAnsiTheme="minorHAnsi" w:cstheme="minorHAnsi"/>
                <w:szCs w:val="22"/>
              </w:rPr>
            </w:pPr>
            <w:proofErr w:type="spellStart"/>
            <w:r w:rsidRPr="00CD59EA">
              <w:rPr>
                <w:rFonts w:asciiTheme="minorHAnsi" w:hAnsiTheme="minorHAnsi" w:cstheme="minorHAnsi"/>
                <w:szCs w:val="22"/>
              </w:rPr>
              <w:t>n.p</w:t>
            </w:r>
            <w:proofErr w:type="spellEnd"/>
            <w:r w:rsidRPr="00CD59EA">
              <w:rPr>
                <w:rFonts w:asciiTheme="minorHAnsi" w:hAnsiTheme="minorHAnsi" w:cstheme="minorHAnsi"/>
                <w:szCs w:val="22"/>
              </w:rPr>
              <w:t>.</w:t>
            </w:r>
          </w:p>
        </w:tc>
        <w:tc>
          <w:tcPr>
            <w:tcW w:w="1069" w:type="dxa"/>
          </w:tcPr>
          <w:p w:rsidR="008E4A1C" w:rsidRPr="00F50EBF" w:rsidRDefault="008E4A1C" w:rsidP="00987128">
            <w:pPr>
              <w:pStyle w:val="TableFigText"/>
              <w:jc w:val="right"/>
              <w:rPr>
                <w:rFonts w:asciiTheme="minorHAnsi" w:hAnsiTheme="minorHAnsi" w:cstheme="minorHAnsi"/>
                <w:szCs w:val="22"/>
              </w:rPr>
            </w:pPr>
            <w:proofErr w:type="spellStart"/>
            <w:r w:rsidRPr="00CD59EA">
              <w:rPr>
                <w:rFonts w:asciiTheme="minorHAnsi" w:hAnsiTheme="minorHAnsi" w:cstheme="minorHAnsi"/>
                <w:szCs w:val="22"/>
              </w:rPr>
              <w:t>n.p</w:t>
            </w:r>
            <w:proofErr w:type="spellEnd"/>
            <w:r w:rsidRPr="00CD59EA">
              <w:rPr>
                <w:rFonts w:asciiTheme="minorHAnsi" w:hAnsiTheme="minorHAnsi" w:cstheme="minorHAnsi"/>
                <w:szCs w:val="22"/>
              </w:rPr>
              <w:t>.</w:t>
            </w:r>
          </w:p>
        </w:tc>
        <w:tc>
          <w:tcPr>
            <w:tcW w:w="1062" w:type="dxa"/>
            <w:vAlign w:val="bottom"/>
          </w:tcPr>
          <w:p w:rsidR="008E4A1C" w:rsidRPr="001B1E83" w:rsidRDefault="008E4A1C" w:rsidP="00987128">
            <w:pPr>
              <w:pStyle w:val="TableFigText"/>
              <w:jc w:val="right"/>
              <w:rPr>
                <w:rFonts w:asciiTheme="minorHAnsi" w:hAnsiTheme="minorHAnsi" w:cstheme="minorHAnsi"/>
                <w:szCs w:val="22"/>
              </w:rPr>
            </w:pPr>
            <w:r w:rsidRPr="00EB65E0">
              <w:rPr>
                <w:rFonts w:asciiTheme="minorHAnsi" w:hAnsiTheme="minorHAnsi" w:cstheme="minorHAnsi"/>
                <w:szCs w:val="22"/>
              </w:rPr>
              <w:t>59.6</w:t>
            </w:r>
          </w:p>
        </w:tc>
      </w:tr>
      <w:tr w:rsidR="008E4A1C" w:rsidRPr="001B1E83" w:rsidTr="00987128">
        <w:tc>
          <w:tcPr>
            <w:tcW w:w="2399" w:type="dxa"/>
          </w:tcPr>
          <w:p w:rsidR="008E4A1C" w:rsidRPr="001B1E83" w:rsidRDefault="008E4A1C" w:rsidP="00987128">
            <w:pPr>
              <w:pStyle w:val="TableFigText"/>
              <w:keepNext/>
              <w:rPr>
                <w:rFonts w:asciiTheme="minorHAnsi" w:hAnsiTheme="minorHAnsi" w:cstheme="minorHAnsi"/>
                <w:szCs w:val="22"/>
              </w:rPr>
            </w:pPr>
            <w:r w:rsidRPr="001B1E83">
              <w:rPr>
                <w:rFonts w:asciiTheme="minorHAnsi" w:hAnsiTheme="minorHAnsi" w:cstheme="minorHAnsi"/>
                <w:szCs w:val="22"/>
              </w:rPr>
              <w:t>Diagnostic and health professionals</w:t>
            </w:r>
            <w:r w:rsidRPr="001B1E83">
              <w:rPr>
                <w:rFonts w:asciiTheme="minorHAnsi" w:hAnsiTheme="minorHAnsi" w:cstheme="minorHAnsi"/>
                <w:szCs w:val="22"/>
                <w:vertAlign w:val="superscript"/>
              </w:rPr>
              <w:t>(b)</w:t>
            </w:r>
          </w:p>
        </w:tc>
        <w:tc>
          <w:tcPr>
            <w:tcW w:w="1157" w:type="dxa"/>
          </w:tcPr>
          <w:p w:rsidR="008E4A1C" w:rsidRPr="00F50EBF" w:rsidRDefault="008E4A1C" w:rsidP="00987128">
            <w:pPr>
              <w:pStyle w:val="TableFigText"/>
              <w:jc w:val="right"/>
              <w:rPr>
                <w:rFonts w:asciiTheme="minorHAnsi" w:hAnsiTheme="minorHAnsi" w:cstheme="minorHAnsi"/>
                <w:szCs w:val="22"/>
              </w:rPr>
            </w:pPr>
            <w:proofErr w:type="spellStart"/>
            <w:r w:rsidRPr="00CD59EA">
              <w:rPr>
                <w:rFonts w:asciiTheme="minorHAnsi" w:hAnsiTheme="minorHAnsi" w:cstheme="minorHAnsi"/>
                <w:szCs w:val="22"/>
              </w:rPr>
              <w:t>n.p</w:t>
            </w:r>
            <w:proofErr w:type="spellEnd"/>
            <w:r w:rsidRPr="00CD59EA">
              <w:rPr>
                <w:rFonts w:asciiTheme="minorHAnsi" w:hAnsiTheme="minorHAnsi" w:cstheme="minorHAnsi"/>
                <w:szCs w:val="22"/>
              </w:rPr>
              <w:t>.</w:t>
            </w:r>
          </w:p>
        </w:tc>
        <w:tc>
          <w:tcPr>
            <w:tcW w:w="1354" w:type="dxa"/>
          </w:tcPr>
          <w:p w:rsidR="008E4A1C" w:rsidRPr="00F50EBF" w:rsidRDefault="008E4A1C" w:rsidP="00987128">
            <w:pPr>
              <w:pStyle w:val="TableFigText"/>
              <w:jc w:val="right"/>
              <w:rPr>
                <w:rFonts w:asciiTheme="minorHAnsi" w:hAnsiTheme="minorHAnsi" w:cstheme="minorHAnsi"/>
                <w:szCs w:val="22"/>
              </w:rPr>
            </w:pPr>
            <w:proofErr w:type="spellStart"/>
            <w:r w:rsidRPr="00CD59EA">
              <w:rPr>
                <w:rFonts w:asciiTheme="minorHAnsi" w:hAnsiTheme="minorHAnsi" w:cstheme="minorHAnsi"/>
                <w:szCs w:val="22"/>
              </w:rPr>
              <w:t>n.p</w:t>
            </w:r>
            <w:proofErr w:type="spellEnd"/>
            <w:r w:rsidRPr="00CD59EA">
              <w:rPr>
                <w:rFonts w:asciiTheme="minorHAnsi" w:hAnsiTheme="minorHAnsi" w:cstheme="minorHAnsi"/>
                <w:szCs w:val="22"/>
              </w:rPr>
              <w:t>.</w:t>
            </w:r>
          </w:p>
        </w:tc>
        <w:tc>
          <w:tcPr>
            <w:tcW w:w="1223" w:type="dxa"/>
          </w:tcPr>
          <w:p w:rsidR="008E4A1C" w:rsidRPr="00F50EBF" w:rsidRDefault="008E4A1C" w:rsidP="00987128">
            <w:pPr>
              <w:pStyle w:val="TableFigText"/>
              <w:jc w:val="right"/>
              <w:rPr>
                <w:rFonts w:asciiTheme="minorHAnsi" w:hAnsiTheme="minorHAnsi" w:cstheme="minorHAnsi"/>
                <w:szCs w:val="22"/>
              </w:rPr>
            </w:pPr>
            <w:proofErr w:type="spellStart"/>
            <w:r w:rsidRPr="00CD59EA">
              <w:rPr>
                <w:rFonts w:asciiTheme="minorHAnsi" w:hAnsiTheme="minorHAnsi" w:cstheme="minorHAnsi"/>
                <w:szCs w:val="22"/>
              </w:rPr>
              <w:t>n.p</w:t>
            </w:r>
            <w:proofErr w:type="spellEnd"/>
            <w:r w:rsidRPr="00CD59EA">
              <w:rPr>
                <w:rFonts w:asciiTheme="minorHAnsi" w:hAnsiTheme="minorHAnsi" w:cstheme="minorHAnsi"/>
                <w:szCs w:val="22"/>
              </w:rPr>
              <w:t>.</w:t>
            </w:r>
          </w:p>
        </w:tc>
        <w:tc>
          <w:tcPr>
            <w:tcW w:w="1022" w:type="dxa"/>
          </w:tcPr>
          <w:p w:rsidR="008E4A1C" w:rsidRPr="00F50EBF" w:rsidRDefault="008E4A1C" w:rsidP="00987128">
            <w:pPr>
              <w:pStyle w:val="TableFigText"/>
              <w:jc w:val="right"/>
              <w:rPr>
                <w:rFonts w:asciiTheme="minorHAnsi" w:hAnsiTheme="minorHAnsi" w:cstheme="minorHAnsi"/>
                <w:szCs w:val="22"/>
              </w:rPr>
            </w:pPr>
            <w:proofErr w:type="spellStart"/>
            <w:r w:rsidRPr="00CD59EA">
              <w:rPr>
                <w:rFonts w:asciiTheme="minorHAnsi" w:hAnsiTheme="minorHAnsi" w:cstheme="minorHAnsi"/>
                <w:szCs w:val="22"/>
              </w:rPr>
              <w:t>n.p</w:t>
            </w:r>
            <w:proofErr w:type="spellEnd"/>
            <w:r w:rsidRPr="00CD59EA">
              <w:rPr>
                <w:rFonts w:asciiTheme="minorHAnsi" w:hAnsiTheme="minorHAnsi" w:cstheme="minorHAnsi"/>
                <w:szCs w:val="22"/>
              </w:rPr>
              <w:t>.</w:t>
            </w:r>
          </w:p>
        </w:tc>
        <w:tc>
          <w:tcPr>
            <w:tcW w:w="1069" w:type="dxa"/>
          </w:tcPr>
          <w:p w:rsidR="008E4A1C" w:rsidRPr="00F50EBF" w:rsidRDefault="008E4A1C" w:rsidP="00987128">
            <w:pPr>
              <w:pStyle w:val="TableFigText"/>
              <w:jc w:val="right"/>
              <w:rPr>
                <w:rFonts w:asciiTheme="minorHAnsi" w:hAnsiTheme="minorHAnsi" w:cstheme="minorHAnsi"/>
                <w:szCs w:val="22"/>
              </w:rPr>
            </w:pPr>
            <w:proofErr w:type="spellStart"/>
            <w:r w:rsidRPr="00CD59EA">
              <w:rPr>
                <w:rFonts w:asciiTheme="minorHAnsi" w:hAnsiTheme="minorHAnsi" w:cstheme="minorHAnsi"/>
                <w:szCs w:val="22"/>
              </w:rPr>
              <w:t>n.p</w:t>
            </w:r>
            <w:proofErr w:type="spellEnd"/>
            <w:r w:rsidRPr="00CD59EA">
              <w:rPr>
                <w:rFonts w:asciiTheme="minorHAnsi" w:hAnsiTheme="minorHAnsi" w:cstheme="minorHAnsi"/>
                <w:szCs w:val="22"/>
              </w:rPr>
              <w:t>.</w:t>
            </w:r>
          </w:p>
        </w:tc>
        <w:tc>
          <w:tcPr>
            <w:tcW w:w="1062" w:type="dxa"/>
            <w:vAlign w:val="bottom"/>
          </w:tcPr>
          <w:p w:rsidR="008E4A1C" w:rsidRPr="001B1E83" w:rsidRDefault="008E4A1C" w:rsidP="00987128">
            <w:pPr>
              <w:pStyle w:val="TableFigText"/>
              <w:jc w:val="right"/>
              <w:rPr>
                <w:rFonts w:asciiTheme="minorHAnsi" w:hAnsiTheme="minorHAnsi" w:cstheme="minorHAnsi"/>
                <w:szCs w:val="22"/>
              </w:rPr>
            </w:pPr>
            <w:r>
              <w:rPr>
                <w:rFonts w:asciiTheme="minorHAnsi" w:hAnsiTheme="minorHAnsi" w:cstheme="minorHAnsi"/>
                <w:szCs w:val="22"/>
              </w:rPr>
              <w:t>39.1</w:t>
            </w:r>
          </w:p>
        </w:tc>
      </w:tr>
      <w:tr w:rsidR="008E4A1C" w:rsidRPr="001B1E83" w:rsidTr="00987128">
        <w:tc>
          <w:tcPr>
            <w:tcW w:w="2399" w:type="dxa"/>
          </w:tcPr>
          <w:p w:rsidR="008E4A1C" w:rsidRPr="001B1E83" w:rsidRDefault="008E4A1C" w:rsidP="00987128">
            <w:pPr>
              <w:pStyle w:val="TableFigText"/>
              <w:keepNext/>
              <w:rPr>
                <w:rFonts w:asciiTheme="minorHAnsi" w:hAnsiTheme="minorHAnsi" w:cstheme="minorHAnsi"/>
                <w:szCs w:val="22"/>
              </w:rPr>
            </w:pPr>
            <w:r w:rsidRPr="001B1E83">
              <w:rPr>
                <w:rFonts w:asciiTheme="minorHAnsi" w:hAnsiTheme="minorHAnsi" w:cstheme="minorHAnsi"/>
                <w:szCs w:val="22"/>
              </w:rPr>
              <w:t>Nurses</w:t>
            </w:r>
            <w:r w:rsidRPr="001B1E83">
              <w:rPr>
                <w:rFonts w:asciiTheme="minorHAnsi" w:hAnsiTheme="minorHAnsi" w:cstheme="minorHAnsi"/>
                <w:szCs w:val="22"/>
                <w:vertAlign w:val="superscript"/>
              </w:rPr>
              <w:t>(c)</w:t>
            </w:r>
          </w:p>
        </w:tc>
        <w:tc>
          <w:tcPr>
            <w:tcW w:w="1157" w:type="dxa"/>
          </w:tcPr>
          <w:p w:rsidR="008E4A1C" w:rsidRPr="00F50EBF" w:rsidRDefault="008E4A1C" w:rsidP="00987128">
            <w:pPr>
              <w:pStyle w:val="TableFigText"/>
              <w:jc w:val="right"/>
              <w:rPr>
                <w:rFonts w:asciiTheme="minorHAnsi" w:hAnsiTheme="minorHAnsi" w:cstheme="minorHAnsi"/>
                <w:szCs w:val="22"/>
              </w:rPr>
            </w:pPr>
            <w:proofErr w:type="spellStart"/>
            <w:r w:rsidRPr="00CD59EA">
              <w:rPr>
                <w:rFonts w:asciiTheme="minorHAnsi" w:hAnsiTheme="minorHAnsi" w:cstheme="minorHAnsi"/>
                <w:szCs w:val="22"/>
              </w:rPr>
              <w:t>n.p</w:t>
            </w:r>
            <w:proofErr w:type="spellEnd"/>
            <w:r w:rsidRPr="00CD59EA">
              <w:rPr>
                <w:rFonts w:asciiTheme="minorHAnsi" w:hAnsiTheme="minorHAnsi" w:cstheme="minorHAnsi"/>
                <w:szCs w:val="22"/>
              </w:rPr>
              <w:t>.</w:t>
            </w:r>
          </w:p>
        </w:tc>
        <w:tc>
          <w:tcPr>
            <w:tcW w:w="1354" w:type="dxa"/>
          </w:tcPr>
          <w:p w:rsidR="008E4A1C" w:rsidRPr="00F50EBF" w:rsidRDefault="008E4A1C" w:rsidP="00987128">
            <w:pPr>
              <w:pStyle w:val="TableFigText"/>
              <w:jc w:val="right"/>
              <w:rPr>
                <w:rFonts w:asciiTheme="minorHAnsi" w:hAnsiTheme="minorHAnsi" w:cstheme="minorHAnsi"/>
                <w:szCs w:val="22"/>
              </w:rPr>
            </w:pPr>
            <w:proofErr w:type="spellStart"/>
            <w:r w:rsidRPr="00CD59EA">
              <w:rPr>
                <w:rFonts w:asciiTheme="minorHAnsi" w:hAnsiTheme="minorHAnsi" w:cstheme="minorHAnsi"/>
                <w:szCs w:val="22"/>
              </w:rPr>
              <w:t>n.p</w:t>
            </w:r>
            <w:proofErr w:type="spellEnd"/>
            <w:r w:rsidRPr="00CD59EA">
              <w:rPr>
                <w:rFonts w:asciiTheme="minorHAnsi" w:hAnsiTheme="minorHAnsi" w:cstheme="minorHAnsi"/>
                <w:szCs w:val="22"/>
              </w:rPr>
              <w:t>.</w:t>
            </w:r>
          </w:p>
        </w:tc>
        <w:tc>
          <w:tcPr>
            <w:tcW w:w="1223" w:type="dxa"/>
          </w:tcPr>
          <w:p w:rsidR="008E4A1C" w:rsidRPr="00F50EBF" w:rsidRDefault="008E4A1C" w:rsidP="00987128">
            <w:pPr>
              <w:pStyle w:val="TableFigText"/>
              <w:jc w:val="right"/>
              <w:rPr>
                <w:rFonts w:asciiTheme="minorHAnsi" w:hAnsiTheme="minorHAnsi" w:cstheme="minorHAnsi"/>
                <w:szCs w:val="22"/>
              </w:rPr>
            </w:pPr>
            <w:proofErr w:type="spellStart"/>
            <w:r w:rsidRPr="00CD59EA">
              <w:rPr>
                <w:rFonts w:asciiTheme="minorHAnsi" w:hAnsiTheme="minorHAnsi" w:cstheme="minorHAnsi"/>
                <w:szCs w:val="22"/>
              </w:rPr>
              <w:t>n.p</w:t>
            </w:r>
            <w:proofErr w:type="spellEnd"/>
            <w:r w:rsidRPr="00CD59EA">
              <w:rPr>
                <w:rFonts w:asciiTheme="minorHAnsi" w:hAnsiTheme="minorHAnsi" w:cstheme="minorHAnsi"/>
                <w:szCs w:val="22"/>
              </w:rPr>
              <w:t>.</w:t>
            </w:r>
          </w:p>
        </w:tc>
        <w:tc>
          <w:tcPr>
            <w:tcW w:w="1022" w:type="dxa"/>
          </w:tcPr>
          <w:p w:rsidR="008E4A1C" w:rsidRPr="00F50EBF" w:rsidRDefault="008E4A1C" w:rsidP="00987128">
            <w:pPr>
              <w:pStyle w:val="TableFigText"/>
              <w:jc w:val="right"/>
              <w:rPr>
                <w:rFonts w:asciiTheme="minorHAnsi" w:hAnsiTheme="minorHAnsi" w:cstheme="minorHAnsi"/>
                <w:szCs w:val="22"/>
              </w:rPr>
            </w:pPr>
            <w:proofErr w:type="spellStart"/>
            <w:r w:rsidRPr="00CD59EA">
              <w:rPr>
                <w:rFonts w:asciiTheme="minorHAnsi" w:hAnsiTheme="minorHAnsi" w:cstheme="minorHAnsi"/>
                <w:szCs w:val="22"/>
              </w:rPr>
              <w:t>n.p</w:t>
            </w:r>
            <w:proofErr w:type="spellEnd"/>
            <w:r w:rsidRPr="00CD59EA">
              <w:rPr>
                <w:rFonts w:asciiTheme="minorHAnsi" w:hAnsiTheme="minorHAnsi" w:cstheme="minorHAnsi"/>
                <w:szCs w:val="22"/>
              </w:rPr>
              <w:t>.</w:t>
            </w:r>
          </w:p>
        </w:tc>
        <w:tc>
          <w:tcPr>
            <w:tcW w:w="1069" w:type="dxa"/>
          </w:tcPr>
          <w:p w:rsidR="008E4A1C" w:rsidRPr="00F50EBF" w:rsidRDefault="008E4A1C" w:rsidP="00987128">
            <w:pPr>
              <w:pStyle w:val="TableFigText"/>
              <w:jc w:val="right"/>
              <w:rPr>
                <w:rFonts w:asciiTheme="minorHAnsi" w:hAnsiTheme="minorHAnsi" w:cstheme="minorHAnsi"/>
                <w:szCs w:val="22"/>
              </w:rPr>
            </w:pPr>
            <w:proofErr w:type="spellStart"/>
            <w:r w:rsidRPr="00CD59EA">
              <w:rPr>
                <w:rFonts w:asciiTheme="minorHAnsi" w:hAnsiTheme="minorHAnsi" w:cstheme="minorHAnsi"/>
                <w:szCs w:val="22"/>
              </w:rPr>
              <w:t>n.p</w:t>
            </w:r>
            <w:proofErr w:type="spellEnd"/>
            <w:r w:rsidRPr="00CD59EA">
              <w:rPr>
                <w:rFonts w:asciiTheme="minorHAnsi" w:hAnsiTheme="minorHAnsi" w:cstheme="minorHAnsi"/>
                <w:szCs w:val="22"/>
              </w:rPr>
              <w:t>.</w:t>
            </w:r>
          </w:p>
        </w:tc>
        <w:tc>
          <w:tcPr>
            <w:tcW w:w="1062" w:type="dxa"/>
            <w:vAlign w:val="bottom"/>
          </w:tcPr>
          <w:p w:rsidR="008E4A1C" w:rsidRPr="001B1E83" w:rsidRDefault="008E4A1C" w:rsidP="00987128">
            <w:pPr>
              <w:pStyle w:val="TableFigText"/>
              <w:jc w:val="right"/>
              <w:rPr>
                <w:rFonts w:asciiTheme="minorHAnsi" w:hAnsiTheme="minorHAnsi" w:cstheme="minorHAnsi"/>
                <w:szCs w:val="22"/>
              </w:rPr>
            </w:pPr>
            <w:r w:rsidRPr="00EB65E0">
              <w:rPr>
                <w:rFonts w:asciiTheme="minorHAnsi" w:hAnsiTheme="minorHAnsi" w:cstheme="minorHAnsi"/>
                <w:szCs w:val="22"/>
              </w:rPr>
              <w:t>171.9</w:t>
            </w:r>
          </w:p>
        </w:tc>
      </w:tr>
      <w:tr w:rsidR="008E4A1C" w:rsidRPr="001B1E83" w:rsidTr="00987128">
        <w:tc>
          <w:tcPr>
            <w:tcW w:w="2399" w:type="dxa"/>
          </w:tcPr>
          <w:p w:rsidR="008E4A1C" w:rsidRPr="001B1E83" w:rsidRDefault="008E4A1C" w:rsidP="00987128">
            <w:pPr>
              <w:pStyle w:val="TableFigText"/>
              <w:keepNext/>
              <w:rPr>
                <w:rFonts w:asciiTheme="minorHAnsi" w:hAnsiTheme="minorHAnsi" w:cstheme="minorHAnsi"/>
                <w:szCs w:val="22"/>
              </w:rPr>
            </w:pPr>
            <w:r w:rsidRPr="001B1E83">
              <w:rPr>
                <w:rFonts w:asciiTheme="minorHAnsi" w:hAnsiTheme="minorHAnsi" w:cstheme="minorHAnsi"/>
                <w:szCs w:val="22"/>
              </w:rPr>
              <w:t>Carer workers</w:t>
            </w:r>
            <w:r w:rsidRPr="001B1E83">
              <w:rPr>
                <w:rFonts w:asciiTheme="minorHAnsi" w:hAnsiTheme="minorHAnsi" w:cstheme="minorHAnsi"/>
                <w:szCs w:val="22"/>
                <w:vertAlign w:val="superscript"/>
              </w:rPr>
              <w:t>(d)</w:t>
            </w:r>
          </w:p>
        </w:tc>
        <w:tc>
          <w:tcPr>
            <w:tcW w:w="1157" w:type="dxa"/>
          </w:tcPr>
          <w:p w:rsidR="008E4A1C" w:rsidRPr="00F50EBF" w:rsidRDefault="008E4A1C" w:rsidP="00987128">
            <w:pPr>
              <w:pStyle w:val="TableFigText"/>
              <w:jc w:val="right"/>
              <w:rPr>
                <w:rFonts w:asciiTheme="minorHAnsi" w:hAnsiTheme="minorHAnsi" w:cstheme="minorHAnsi"/>
                <w:szCs w:val="22"/>
              </w:rPr>
            </w:pPr>
            <w:proofErr w:type="spellStart"/>
            <w:r w:rsidRPr="00CD59EA">
              <w:rPr>
                <w:rFonts w:asciiTheme="minorHAnsi" w:hAnsiTheme="minorHAnsi" w:cstheme="minorHAnsi"/>
                <w:szCs w:val="22"/>
              </w:rPr>
              <w:t>n.p</w:t>
            </w:r>
            <w:proofErr w:type="spellEnd"/>
            <w:r w:rsidRPr="00CD59EA">
              <w:rPr>
                <w:rFonts w:asciiTheme="minorHAnsi" w:hAnsiTheme="minorHAnsi" w:cstheme="minorHAnsi"/>
                <w:szCs w:val="22"/>
              </w:rPr>
              <w:t>.</w:t>
            </w:r>
          </w:p>
        </w:tc>
        <w:tc>
          <w:tcPr>
            <w:tcW w:w="1354" w:type="dxa"/>
          </w:tcPr>
          <w:p w:rsidR="008E4A1C" w:rsidRPr="00F50EBF" w:rsidRDefault="008E4A1C" w:rsidP="00987128">
            <w:pPr>
              <w:pStyle w:val="TableFigText"/>
              <w:jc w:val="right"/>
              <w:rPr>
                <w:rFonts w:asciiTheme="minorHAnsi" w:hAnsiTheme="minorHAnsi" w:cstheme="minorHAnsi"/>
                <w:szCs w:val="22"/>
              </w:rPr>
            </w:pPr>
            <w:proofErr w:type="spellStart"/>
            <w:r w:rsidRPr="00CD59EA">
              <w:rPr>
                <w:rFonts w:asciiTheme="minorHAnsi" w:hAnsiTheme="minorHAnsi" w:cstheme="minorHAnsi"/>
                <w:szCs w:val="22"/>
              </w:rPr>
              <w:t>n.p</w:t>
            </w:r>
            <w:proofErr w:type="spellEnd"/>
            <w:r w:rsidRPr="00CD59EA">
              <w:rPr>
                <w:rFonts w:asciiTheme="minorHAnsi" w:hAnsiTheme="minorHAnsi" w:cstheme="minorHAnsi"/>
                <w:szCs w:val="22"/>
              </w:rPr>
              <w:t>.</w:t>
            </w:r>
          </w:p>
        </w:tc>
        <w:tc>
          <w:tcPr>
            <w:tcW w:w="1223" w:type="dxa"/>
          </w:tcPr>
          <w:p w:rsidR="008E4A1C" w:rsidRPr="00F50EBF" w:rsidRDefault="008E4A1C" w:rsidP="00987128">
            <w:pPr>
              <w:pStyle w:val="TableFigText"/>
              <w:jc w:val="right"/>
              <w:rPr>
                <w:rFonts w:asciiTheme="minorHAnsi" w:hAnsiTheme="minorHAnsi" w:cstheme="minorHAnsi"/>
                <w:szCs w:val="22"/>
              </w:rPr>
            </w:pPr>
            <w:proofErr w:type="spellStart"/>
            <w:r w:rsidRPr="00CD59EA">
              <w:rPr>
                <w:rFonts w:asciiTheme="minorHAnsi" w:hAnsiTheme="minorHAnsi" w:cstheme="minorHAnsi"/>
                <w:szCs w:val="22"/>
              </w:rPr>
              <w:t>n.p</w:t>
            </w:r>
            <w:proofErr w:type="spellEnd"/>
            <w:r w:rsidRPr="00CD59EA">
              <w:rPr>
                <w:rFonts w:asciiTheme="minorHAnsi" w:hAnsiTheme="minorHAnsi" w:cstheme="minorHAnsi"/>
                <w:szCs w:val="22"/>
              </w:rPr>
              <w:t>.</w:t>
            </w:r>
          </w:p>
        </w:tc>
        <w:tc>
          <w:tcPr>
            <w:tcW w:w="1022" w:type="dxa"/>
          </w:tcPr>
          <w:p w:rsidR="008E4A1C" w:rsidRPr="00F50EBF" w:rsidRDefault="008E4A1C" w:rsidP="00987128">
            <w:pPr>
              <w:pStyle w:val="TableFigText"/>
              <w:jc w:val="right"/>
              <w:rPr>
                <w:rFonts w:asciiTheme="minorHAnsi" w:hAnsiTheme="minorHAnsi" w:cstheme="minorHAnsi"/>
                <w:szCs w:val="22"/>
              </w:rPr>
            </w:pPr>
            <w:proofErr w:type="spellStart"/>
            <w:r w:rsidRPr="00CD59EA">
              <w:rPr>
                <w:rFonts w:asciiTheme="minorHAnsi" w:hAnsiTheme="minorHAnsi" w:cstheme="minorHAnsi"/>
                <w:szCs w:val="22"/>
              </w:rPr>
              <w:t>n.p</w:t>
            </w:r>
            <w:proofErr w:type="spellEnd"/>
            <w:r w:rsidRPr="00CD59EA">
              <w:rPr>
                <w:rFonts w:asciiTheme="minorHAnsi" w:hAnsiTheme="minorHAnsi" w:cstheme="minorHAnsi"/>
                <w:szCs w:val="22"/>
              </w:rPr>
              <w:t>.</w:t>
            </w:r>
          </w:p>
        </w:tc>
        <w:tc>
          <w:tcPr>
            <w:tcW w:w="1069" w:type="dxa"/>
          </w:tcPr>
          <w:p w:rsidR="008E4A1C" w:rsidRPr="00F50EBF" w:rsidRDefault="008E4A1C" w:rsidP="00987128">
            <w:pPr>
              <w:pStyle w:val="TableFigText"/>
              <w:jc w:val="right"/>
              <w:rPr>
                <w:rFonts w:asciiTheme="minorHAnsi" w:hAnsiTheme="minorHAnsi" w:cstheme="minorHAnsi"/>
                <w:szCs w:val="22"/>
              </w:rPr>
            </w:pPr>
            <w:proofErr w:type="spellStart"/>
            <w:r w:rsidRPr="00CD59EA">
              <w:rPr>
                <w:rFonts w:asciiTheme="minorHAnsi" w:hAnsiTheme="minorHAnsi" w:cstheme="minorHAnsi"/>
                <w:szCs w:val="22"/>
              </w:rPr>
              <w:t>n.p</w:t>
            </w:r>
            <w:proofErr w:type="spellEnd"/>
            <w:r w:rsidRPr="00CD59EA">
              <w:rPr>
                <w:rFonts w:asciiTheme="minorHAnsi" w:hAnsiTheme="minorHAnsi" w:cstheme="minorHAnsi"/>
                <w:szCs w:val="22"/>
              </w:rPr>
              <w:t>.</w:t>
            </w:r>
          </w:p>
        </w:tc>
        <w:tc>
          <w:tcPr>
            <w:tcW w:w="1062" w:type="dxa"/>
            <w:vAlign w:val="bottom"/>
          </w:tcPr>
          <w:p w:rsidR="008E4A1C" w:rsidRPr="001B1E83" w:rsidRDefault="008E4A1C" w:rsidP="00987128">
            <w:pPr>
              <w:pStyle w:val="TableFigText"/>
              <w:jc w:val="right"/>
              <w:rPr>
                <w:rFonts w:asciiTheme="minorHAnsi" w:hAnsiTheme="minorHAnsi" w:cstheme="minorHAnsi"/>
                <w:szCs w:val="22"/>
              </w:rPr>
            </w:pPr>
            <w:r>
              <w:rPr>
                <w:rFonts w:asciiTheme="minorHAnsi" w:hAnsiTheme="minorHAnsi" w:cstheme="minorHAnsi"/>
                <w:szCs w:val="22"/>
              </w:rPr>
              <w:t>0.0</w:t>
            </w:r>
          </w:p>
        </w:tc>
      </w:tr>
      <w:tr w:rsidR="008E4A1C" w:rsidRPr="001B1E83" w:rsidTr="00987128">
        <w:tc>
          <w:tcPr>
            <w:tcW w:w="2399" w:type="dxa"/>
          </w:tcPr>
          <w:p w:rsidR="008E4A1C" w:rsidRPr="001B1E83" w:rsidRDefault="008E4A1C" w:rsidP="00987128">
            <w:pPr>
              <w:pStyle w:val="TableFigText"/>
              <w:keepNext/>
              <w:rPr>
                <w:rFonts w:asciiTheme="minorHAnsi" w:hAnsiTheme="minorHAnsi" w:cstheme="minorHAnsi"/>
                <w:szCs w:val="22"/>
              </w:rPr>
            </w:pPr>
            <w:r w:rsidRPr="001B1E83">
              <w:rPr>
                <w:rFonts w:asciiTheme="minorHAnsi" w:hAnsiTheme="minorHAnsi" w:cstheme="minorHAnsi"/>
                <w:szCs w:val="22"/>
              </w:rPr>
              <w:t>Consumer workers</w:t>
            </w:r>
            <w:r w:rsidRPr="001B1E83">
              <w:rPr>
                <w:rFonts w:asciiTheme="minorHAnsi" w:hAnsiTheme="minorHAnsi" w:cstheme="minorHAnsi"/>
                <w:szCs w:val="22"/>
                <w:vertAlign w:val="superscript"/>
              </w:rPr>
              <w:t>(d)</w:t>
            </w:r>
          </w:p>
        </w:tc>
        <w:tc>
          <w:tcPr>
            <w:tcW w:w="1157" w:type="dxa"/>
          </w:tcPr>
          <w:p w:rsidR="008E4A1C" w:rsidRPr="00F50EBF" w:rsidRDefault="008E4A1C" w:rsidP="00987128">
            <w:pPr>
              <w:pStyle w:val="TableFigText"/>
              <w:jc w:val="right"/>
              <w:rPr>
                <w:rFonts w:asciiTheme="minorHAnsi" w:hAnsiTheme="minorHAnsi" w:cstheme="minorHAnsi"/>
                <w:szCs w:val="22"/>
              </w:rPr>
            </w:pPr>
            <w:proofErr w:type="spellStart"/>
            <w:r w:rsidRPr="00CD59EA">
              <w:rPr>
                <w:rFonts w:asciiTheme="minorHAnsi" w:hAnsiTheme="minorHAnsi" w:cstheme="minorHAnsi"/>
                <w:szCs w:val="22"/>
              </w:rPr>
              <w:t>n.p</w:t>
            </w:r>
            <w:proofErr w:type="spellEnd"/>
            <w:r w:rsidRPr="00CD59EA">
              <w:rPr>
                <w:rFonts w:asciiTheme="minorHAnsi" w:hAnsiTheme="minorHAnsi" w:cstheme="minorHAnsi"/>
                <w:szCs w:val="22"/>
              </w:rPr>
              <w:t>.</w:t>
            </w:r>
          </w:p>
        </w:tc>
        <w:tc>
          <w:tcPr>
            <w:tcW w:w="1354" w:type="dxa"/>
          </w:tcPr>
          <w:p w:rsidR="008E4A1C" w:rsidRPr="00F50EBF" w:rsidRDefault="008E4A1C" w:rsidP="00987128">
            <w:pPr>
              <w:pStyle w:val="TableFigText"/>
              <w:jc w:val="right"/>
              <w:rPr>
                <w:rFonts w:asciiTheme="minorHAnsi" w:hAnsiTheme="minorHAnsi" w:cstheme="minorHAnsi"/>
                <w:szCs w:val="22"/>
              </w:rPr>
            </w:pPr>
            <w:proofErr w:type="spellStart"/>
            <w:r w:rsidRPr="00CD59EA">
              <w:rPr>
                <w:rFonts w:asciiTheme="minorHAnsi" w:hAnsiTheme="minorHAnsi" w:cstheme="minorHAnsi"/>
                <w:szCs w:val="22"/>
              </w:rPr>
              <w:t>n.p</w:t>
            </w:r>
            <w:proofErr w:type="spellEnd"/>
            <w:r w:rsidRPr="00CD59EA">
              <w:rPr>
                <w:rFonts w:asciiTheme="minorHAnsi" w:hAnsiTheme="minorHAnsi" w:cstheme="minorHAnsi"/>
                <w:szCs w:val="22"/>
              </w:rPr>
              <w:t>.</w:t>
            </w:r>
          </w:p>
        </w:tc>
        <w:tc>
          <w:tcPr>
            <w:tcW w:w="1223" w:type="dxa"/>
          </w:tcPr>
          <w:p w:rsidR="008E4A1C" w:rsidRPr="00F50EBF" w:rsidRDefault="008E4A1C" w:rsidP="00987128">
            <w:pPr>
              <w:pStyle w:val="TableFigText"/>
              <w:jc w:val="right"/>
              <w:rPr>
                <w:rFonts w:asciiTheme="minorHAnsi" w:hAnsiTheme="minorHAnsi" w:cstheme="minorHAnsi"/>
                <w:szCs w:val="22"/>
              </w:rPr>
            </w:pPr>
            <w:proofErr w:type="spellStart"/>
            <w:r w:rsidRPr="00CD59EA">
              <w:rPr>
                <w:rFonts w:asciiTheme="minorHAnsi" w:hAnsiTheme="minorHAnsi" w:cstheme="minorHAnsi"/>
                <w:szCs w:val="22"/>
              </w:rPr>
              <w:t>n.p</w:t>
            </w:r>
            <w:proofErr w:type="spellEnd"/>
            <w:r w:rsidRPr="00CD59EA">
              <w:rPr>
                <w:rFonts w:asciiTheme="minorHAnsi" w:hAnsiTheme="minorHAnsi" w:cstheme="minorHAnsi"/>
                <w:szCs w:val="22"/>
              </w:rPr>
              <w:t>.</w:t>
            </w:r>
          </w:p>
        </w:tc>
        <w:tc>
          <w:tcPr>
            <w:tcW w:w="1022" w:type="dxa"/>
          </w:tcPr>
          <w:p w:rsidR="008E4A1C" w:rsidRPr="00F50EBF" w:rsidRDefault="008E4A1C" w:rsidP="00987128">
            <w:pPr>
              <w:pStyle w:val="TableFigText"/>
              <w:jc w:val="right"/>
              <w:rPr>
                <w:rFonts w:asciiTheme="minorHAnsi" w:hAnsiTheme="minorHAnsi" w:cstheme="minorHAnsi"/>
                <w:szCs w:val="22"/>
              </w:rPr>
            </w:pPr>
            <w:proofErr w:type="spellStart"/>
            <w:r w:rsidRPr="00CD59EA">
              <w:rPr>
                <w:rFonts w:asciiTheme="minorHAnsi" w:hAnsiTheme="minorHAnsi" w:cstheme="minorHAnsi"/>
                <w:szCs w:val="22"/>
              </w:rPr>
              <w:t>n.p</w:t>
            </w:r>
            <w:proofErr w:type="spellEnd"/>
            <w:r w:rsidRPr="00CD59EA">
              <w:rPr>
                <w:rFonts w:asciiTheme="minorHAnsi" w:hAnsiTheme="minorHAnsi" w:cstheme="minorHAnsi"/>
                <w:szCs w:val="22"/>
              </w:rPr>
              <w:t>.</w:t>
            </w:r>
          </w:p>
        </w:tc>
        <w:tc>
          <w:tcPr>
            <w:tcW w:w="1069" w:type="dxa"/>
          </w:tcPr>
          <w:p w:rsidR="008E4A1C" w:rsidRPr="00F50EBF" w:rsidRDefault="008E4A1C" w:rsidP="00987128">
            <w:pPr>
              <w:pStyle w:val="TableFigText"/>
              <w:jc w:val="right"/>
              <w:rPr>
                <w:rFonts w:asciiTheme="minorHAnsi" w:hAnsiTheme="minorHAnsi" w:cstheme="minorHAnsi"/>
                <w:szCs w:val="22"/>
              </w:rPr>
            </w:pPr>
            <w:proofErr w:type="spellStart"/>
            <w:r w:rsidRPr="00CD59EA">
              <w:rPr>
                <w:rFonts w:asciiTheme="minorHAnsi" w:hAnsiTheme="minorHAnsi" w:cstheme="minorHAnsi"/>
                <w:szCs w:val="22"/>
              </w:rPr>
              <w:t>n.p</w:t>
            </w:r>
            <w:proofErr w:type="spellEnd"/>
            <w:r w:rsidRPr="00CD59EA">
              <w:rPr>
                <w:rFonts w:asciiTheme="minorHAnsi" w:hAnsiTheme="minorHAnsi" w:cstheme="minorHAnsi"/>
                <w:szCs w:val="22"/>
              </w:rPr>
              <w:t>.</w:t>
            </w:r>
          </w:p>
        </w:tc>
        <w:tc>
          <w:tcPr>
            <w:tcW w:w="1062" w:type="dxa"/>
            <w:vAlign w:val="bottom"/>
          </w:tcPr>
          <w:p w:rsidR="008E4A1C" w:rsidRPr="001B1E83" w:rsidRDefault="008E4A1C" w:rsidP="00987128">
            <w:pPr>
              <w:pStyle w:val="TableFigText"/>
              <w:jc w:val="right"/>
              <w:rPr>
                <w:rFonts w:asciiTheme="minorHAnsi" w:hAnsiTheme="minorHAnsi" w:cstheme="minorHAnsi"/>
                <w:szCs w:val="22"/>
              </w:rPr>
            </w:pPr>
            <w:r>
              <w:rPr>
                <w:rFonts w:asciiTheme="minorHAnsi" w:hAnsiTheme="minorHAnsi" w:cstheme="minorHAnsi"/>
                <w:szCs w:val="22"/>
              </w:rPr>
              <w:t>0.0</w:t>
            </w:r>
          </w:p>
        </w:tc>
      </w:tr>
      <w:tr w:rsidR="008E4A1C" w:rsidRPr="001B1E83" w:rsidTr="00987128">
        <w:tc>
          <w:tcPr>
            <w:tcW w:w="2399" w:type="dxa"/>
          </w:tcPr>
          <w:p w:rsidR="008E4A1C" w:rsidRPr="001B1E83" w:rsidRDefault="008E4A1C" w:rsidP="00987128">
            <w:pPr>
              <w:pStyle w:val="TableFigText"/>
              <w:keepNext/>
              <w:rPr>
                <w:rFonts w:asciiTheme="minorHAnsi" w:hAnsiTheme="minorHAnsi" w:cstheme="minorHAnsi"/>
                <w:szCs w:val="22"/>
              </w:rPr>
            </w:pPr>
            <w:r w:rsidRPr="001B1E83">
              <w:rPr>
                <w:rFonts w:asciiTheme="minorHAnsi" w:hAnsiTheme="minorHAnsi" w:cstheme="minorHAnsi"/>
                <w:szCs w:val="22"/>
              </w:rPr>
              <w:t>Other personal care</w:t>
            </w:r>
            <w:r w:rsidRPr="001B1E83">
              <w:rPr>
                <w:rFonts w:asciiTheme="minorHAnsi" w:hAnsiTheme="minorHAnsi" w:cstheme="minorHAnsi"/>
                <w:szCs w:val="22"/>
                <w:vertAlign w:val="superscript"/>
              </w:rPr>
              <w:t>(e)</w:t>
            </w:r>
          </w:p>
        </w:tc>
        <w:tc>
          <w:tcPr>
            <w:tcW w:w="1157" w:type="dxa"/>
          </w:tcPr>
          <w:p w:rsidR="008E4A1C" w:rsidRPr="00F50EBF" w:rsidRDefault="008E4A1C" w:rsidP="00987128">
            <w:pPr>
              <w:pStyle w:val="TableFigText"/>
              <w:jc w:val="right"/>
              <w:rPr>
                <w:rFonts w:asciiTheme="minorHAnsi" w:hAnsiTheme="minorHAnsi" w:cstheme="minorHAnsi"/>
                <w:szCs w:val="22"/>
              </w:rPr>
            </w:pPr>
            <w:proofErr w:type="spellStart"/>
            <w:r w:rsidRPr="00CD59EA">
              <w:rPr>
                <w:rFonts w:asciiTheme="minorHAnsi" w:hAnsiTheme="minorHAnsi" w:cstheme="minorHAnsi"/>
                <w:szCs w:val="22"/>
              </w:rPr>
              <w:t>n.p</w:t>
            </w:r>
            <w:proofErr w:type="spellEnd"/>
            <w:r w:rsidRPr="00CD59EA">
              <w:rPr>
                <w:rFonts w:asciiTheme="minorHAnsi" w:hAnsiTheme="minorHAnsi" w:cstheme="minorHAnsi"/>
                <w:szCs w:val="22"/>
              </w:rPr>
              <w:t>.</w:t>
            </w:r>
          </w:p>
        </w:tc>
        <w:tc>
          <w:tcPr>
            <w:tcW w:w="1354" w:type="dxa"/>
          </w:tcPr>
          <w:p w:rsidR="008E4A1C" w:rsidRPr="00F50EBF" w:rsidRDefault="008E4A1C" w:rsidP="00987128">
            <w:pPr>
              <w:pStyle w:val="TableFigText"/>
              <w:jc w:val="right"/>
              <w:rPr>
                <w:rFonts w:asciiTheme="minorHAnsi" w:hAnsiTheme="minorHAnsi" w:cstheme="minorHAnsi"/>
                <w:szCs w:val="22"/>
              </w:rPr>
            </w:pPr>
            <w:proofErr w:type="spellStart"/>
            <w:r w:rsidRPr="00CD59EA">
              <w:rPr>
                <w:rFonts w:asciiTheme="minorHAnsi" w:hAnsiTheme="minorHAnsi" w:cstheme="minorHAnsi"/>
                <w:szCs w:val="22"/>
              </w:rPr>
              <w:t>n.p</w:t>
            </w:r>
            <w:proofErr w:type="spellEnd"/>
            <w:r w:rsidRPr="00CD59EA">
              <w:rPr>
                <w:rFonts w:asciiTheme="minorHAnsi" w:hAnsiTheme="minorHAnsi" w:cstheme="minorHAnsi"/>
                <w:szCs w:val="22"/>
              </w:rPr>
              <w:t>.</w:t>
            </w:r>
          </w:p>
        </w:tc>
        <w:tc>
          <w:tcPr>
            <w:tcW w:w="1223" w:type="dxa"/>
          </w:tcPr>
          <w:p w:rsidR="008E4A1C" w:rsidRPr="00F50EBF" w:rsidRDefault="008E4A1C" w:rsidP="00987128">
            <w:pPr>
              <w:pStyle w:val="TableFigText"/>
              <w:jc w:val="right"/>
              <w:rPr>
                <w:rFonts w:asciiTheme="minorHAnsi" w:hAnsiTheme="minorHAnsi" w:cstheme="minorHAnsi"/>
                <w:szCs w:val="22"/>
              </w:rPr>
            </w:pPr>
            <w:proofErr w:type="spellStart"/>
            <w:r w:rsidRPr="00CD59EA">
              <w:rPr>
                <w:rFonts w:asciiTheme="minorHAnsi" w:hAnsiTheme="minorHAnsi" w:cstheme="minorHAnsi"/>
                <w:szCs w:val="22"/>
              </w:rPr>
              <w:t>n.p</w:t>
            </w:r>
            <w:proofErr w:type="spellEnd"/>
            <w:r w:rsidRPr="00CD59EA">
              <w:rPr>
                <w:rFonts w:asciiTheme="minorHAnsi" w:hAnsiTheme="minorHAnsi" w:cstheme="minorHAnsi"/>
                <w:szCs w:val="22"/>
              </w:rPr>
              <w:t>.</w:t>
            </w:r>
          </w:p>
        </w:tc>
        <w:tc>
          <w:tcPr>
            <w:tcW w:w="1022" w:type="dxa"/>
          </w:tcPr>
          <w:p w:rsidR="008E4A1C" w:rsidRPr="00F50EBF" w:rsidRDefault="008E4A1C" w:rsidP="00987128">
            <w:pPr>
              <w:pStyle w:val="TableFigText"/>
              <w:jc w:val="right"/>
              <w:rPr>
                <w:rFonts w:asciiTheme="minorHAnsi" w:hAnsiTheme="minorHAnsi" w:cstheme="minorHAnsi"/>
                <w:szCs w:val="22"/>
              </w:rPr>
            </w:pPr>
            <w:proofErr w:type="spellStart"/>
            <w:r w:rsidRPr="00CD59EA">
              <w:rPr>
                <w:rFonts w:asciiTheme="minorHAnsi" w:hAnsiTheme="minorHAnsi" w:cstheme="minorHAnsi"/>
                <w:szCs w:val="22"/>
              </w:rPr>
              <w:t>n.p</w:t>
            </w:r>
            <w:proofErr w:type="spellEnd"/>
            <w:r w:rsidRPr="00CD59EA">
              <w:rPr>
                <w:rFonts w:asciiTheme="minorHAnsi" w:hAnsiTheme="minorHAnsi" w:cstheme="minorHAnsi"/>
                <w:szCs w:val="22"/>
              </w:rPr>
              <w:t>.</w:t>
            </w:r>
          </w:p>
        </w:tc>
        <w:tc>
          <w:tcPr>
            <w:tcW w:w="1069" w:type="dxa"/>
          </w:tcPr>
          <w:p w:rsidR="008E4A1C" w:rsidRPr="00F50EBF" w:rsidRDefault="008E4A1C" w:rsidP="00987128">
            <w:pPr>
              <w:pStyle w:val="TableFigText"/>
              <w:jc w:val="right"/>
              <w:rPr>
                <w:rFonts w:asciiTheme="minorHAnsi" w:hAnsiTheme="minorHAnsi" w:cstheme="minorHAnsi"/>
                <w:szCs w:val="22"/>
              </w:rPr>
            </w:pPr>
            <w:proofErr w:type="spellStart"/>
            <w:r w:rsidRPr="00CD59EA">
              <w:rPr>
                <w:rFonts w:asciiTheme="minorHAnsi" w:hAnsiTheme="minorHAnsi" w:cstheme="minorHAnsi"/>
                <w:szCs w:val="22"/>
              </w:rPr>
              <w:t>n.p</w:t>
            </w:r>
            <w:proofErr w:type="spellEnd"/>
            <w:r w:rsidRPr="00CD59EA">
              <w:rPr>
                <w:rFonts w:asciiTheme="minorHAnsi" w:hAnsiTheme="minorHAnsi" w:cstheme="minorHAnsi"/>
                <w:szCs w:val="22"/>
              </w:rPr>
              <w:t>.</w:t>
            </w:r>
          </w:p>
        </w:tc>
        <w:tc>
          <w:tcPr>
            <w:tcW w:w="1062" w:type="dxa"/>
            <w:vAlign w:val="bottom"/>
          </w:tcPr>
          <w:p w:rsidR="008E4A1C" w:rsidRPr="001B1E83" w:rsidRDefault="008E4A1C" w:rsidP="00987128">
            <w:pPr>
              <w:pStyle w:val="TableFigText"/>
              <w:jc w:val="right"/>
              <w:rPr>
                <w:rFonts w:asciiTheme="minorHAnsi" w:hAnsiTheme="minorHAnsi" w:cstheme="minorHAnsi"/>
                <w:szCs w:val="22"/>
              </w:rPr>
            </w:pPr>
            <w:r>
              <w:rPr>
                <w:rFonts w:asciiTheme="minorHAnsi" w:hAnsiTheme="minorHAnsi" w:cstheme="minorHAnsi"/>
                <w:szCs w:val="22"/>
              </w:rPr>
              <w:t>26.1</w:t>
            </w:r>
          </w:p>
        </w:tc>
      </w:tr>
      <w:tr w:rsidR="008E4A1C" w:rsidRPr="001B1E83" w:rsidTr="00987128">
        <w:tc>
          <w:tcPr>
            <w:tcW w:w="2399" w:type="dxa"/>
          </w:tcPr>
          <w:p w:rsidR="008E4A1C" w:rsidRPr="001B1E83" w:rsidRDefault="008E4A1C" w:rsidP="00987128">
            <w:pPr>
              <w:pStyle w:val="TableFigText"/>
              <w:keepNext/>
              <w:rPr>
                <w:rFonts w:asciiTheme="minorHAnsi" w:hAnsiTheme="minorHAnsi" w:cstheme="minorHAnsi"/>
                <w:szCs w:val="22"/>
              </w:rPr>
            </w:pPr>
            <w:r w:rsidRPr="001B1E83">
              <w:rPr>
                <w:rFonts w:asciiTheme="minorHAnsi" w:hAnsiTheme="minorHAnsi" w:cstheme="minorHAnsi"/>
                <w:szCs w:val="22"/>
              </w:rPr>
              <w:t>Other staffing categories</w:t>
            </w:r>
            <w:r w:rsidRPr="001B1E83">
              <w:rPr>
                <w:rFonts w:asciiTheme="minorHAnsi" w:hAnsiTheme="minorHAnsi" w:cstheme="minorHAnsi"/>
                <w:szCs w:val="22"/>
                <w:vertAlign w:val="superscript"/>
              </w:rPr>
              <w:t>(f)</w:t>
            </w:r>
          </w:p>
        </w:tc>
        <w:tc>
          <w:tcPr>
            <w:tcW w:w="1157" w:type="dxa"/>
          </w:tcPr>
          <w:p w:rsidR="008E4A1C" w:rsidRPr="00F50EBF" w:rsidRDefault="008E4A1C" w:rsidP="00987128">
            <w:pPr>
              <w:pStyle w:val="TableFigText"/>
              <w:jc w:val="right"/>
              <w:rPr>
                <w:rFonts w:asciiTheme="minorHAnsi" w:hAnsiTheme="minorHAnsi" w:cstheme="minorHAnsi"/>
                <w:szCs w:val="22"/>
              </w:rPr>
            </w:pPr>
            <w:proofErr w:type="spellStart"/>
            <w:r w:rsidRPr="00CD59EA">
              <w:rPr>
                <w:rFonts w:asciiTheme="minorHAnsi" w:hAnsiTheme="minorHAnsi" w:cstheme="minorHAnsi"/>
                <w:szCs w:val="22"/>
              </w:rPr>
              <w:t>n.p</w:t>
            </w:r>
            <w:proofErr w:type="spellEnd"/>
            <w:r w:rsidRPr="00CD59EA">
              <w:rPr>
                <w:rFonts w:asciiTheme="minorHAnsi" w:hAnsiTheme="minorHAnsi" w:cstheme="minorHAnsi"/>
                <w:szCs w:val="22"/>
              </w:rPr>
              <w:t>.</w:t>
            </w:r>
          </w:p>
        </w:tc>
        <w:tc>
          <w:tcPr>
            <w:tcW w:w="1354" w:type="dxa"/>
          </w:tcPr>
          <w:p w:rsidR="008E4A1C" w:rsidRPr="00F50EBF" w:rsidRDefault="008E4A1C" w:rsidP="00987128">
            <w:pPr>
              <w:pStyle w:val="TableFigText"/>
              <w:jc w:val="right"/>
              <w:rPr>
                <w:rFonts w:asciiTheme="minorHAnsi" w:hAnsiTheme="minorHAnsi" w:cstheme="minorHAnsi"/>
                <w:szCs w:val="22"/>
              </w:rPr>
            </w:pPr>
            <w:proofErr w:type="spellStart"/>
            <w:r w:rsidRPr="00CD59EA">
              <w:rPr>
                <w:rFonts w:asciiTheme="minorHAnsi" w:hAnsiTheme="minorHAnsi" w:cstheme="minorHAnsi"/>
                <w:szCs w:val="22"/>
              </w:rPr>
              <w:t>n.p</w:t>
            </w:r>
            <w:proofErr w:type="spellEnd"/>
            <w:r w:rsidRPr="00CD59EA">
              <w:rPr>
                <w:rFonts w:asciiTheme="minorHAnsi" w:hAnsiTheme="minorHAnsi" w:cstheme="minorHAnsi"/>
                <w:szCs w:val="22"/>
              </w:rPr>
              <w:t>.</w:t>
            </w:r>
          </w:p>
        </w:tc>
        <w:tc>
          <w:tcPr>
            <w:tcW w:w="1223" w:type="dxa"/>
          </w:tcPr>
          <w:p w:rsidR="008E4A1C" w:rsidRPr="00F50EBF" w:rsidRDefault="008E4A1C" w:rsidP="00987128">
            <w:pPr>
              <w:pStyle w:val="TableFigText"/>
              <w:jc w:val="right"/>
              <w:rPr>
                <w:rFonts w:asciiTheme="minorHAnsi" w:hAnsiTheme="minorHAnsi" w:cstheme="minorHAnsi"/>
                <w:szCs w:val="22"/>
              </w:rPr>
            </w:pPr>
            <w:proofErr w:type="spellStart"/>
            <w:r w:rsidRPr="00CD59EA">
              <w:rPr>
                <w:rFonts w:asciiTheme="minorHAnsi" w:hAnsiTheme="minorHAnsi" w:cstheme="minorHAnsi"/>
                <w:szCs w:val="22"/>
              </w:rPr>
              <w:t>n.p</w:t>
            </w:r>
            <w:proofErr w:type="spellEnd"/>
            <w:r w:rsidRPr="00CD59EA">
              <w:rPr>
                <w:rFonts w:asciiTheme="minorHAnsi" w:hAnsiTheme="minorHAnsi" w:cstheme="minorHAnsi"/>
                <w:szCs w:val="22"/>
              </w:rPr>
              <w:t>.</w:t>
            </w:r>
          </w:p>
        </w:tc>
        <w:tc>
          <w:tcPr>
            <w:tcW w:w="1022" w:type="dxa"/>
          </w:tcPr>
          <w:p w:rsidR="008E4A1C" w:rsidRPr="00F50EBF" w:rsidRDefault="008E4A1C" w:rsidP="00987128">
            <w:pPr>
              <w:pStyle w:val="TableFigText"/>
              <w:jc w:val="right"/>
              <w:rPr>
                <w:rFonts w:asciiTheme="minorHAnsi" w:hAnsiTheme="minorHAnsi" w:cstheme="minorHAnsi"/>
                <w:szCs w:val="22"/>
              </w:rPr>
            </w:pPr>
            <w:proofErr w:type="spellStart"/>
            <w:r w:rsidRPr="00CD59EA">
              <w:rPr>
                <w:rFonts w:asciiTheme="minorHAnsi" w:hAnsiTheme="minorHAnsi" w:cstheme="minorHAnsi"/>
                <w:szCs w:val="22"/>
              </w:rPr>
              <w:t>n.p</w:t>
            </w:r>
            <w:proofErr w:type="spellEnd"/>
            <w:r w:rsidRPr="00CD59EA">
              <w:rPr>
                <w:rFonts w:asciiTheme="minorHAnsi" w:hAnsiTheme="minorHAnsi" w:cstheme="minorHAnsi"/>
                <w:szCs w:val="22"/>
              </w:rPr>
              <w:t>.</w:t>
            </w:r>
          </w:p>
        </w:tc>
        <w:tc>
          <w:tcPr>
            <w:tcW w:w="1069" w:type="dxa"/>
          </w:tcPr>
          <w:p w:rsidR="008E4A1C" w:rsidRPr="00F50EBF" w:rsidRDefault="008E4A1C" w:rsidP="00987128">
            <w:pPr>
              <w:pStyle w:val="TableFigText"/>
              <w:jc w:val="right"/>
              <w:rPr>
                <w:rFonts w:asciiTheme="minorHAnsi" w:hAnsiTheme="minorHAnsi" w:cstheme="minorHAnsi"/>
                <w:szCs w:val="22"/>
              </w:rPr>
            </w:pPr>
            <w:proofErr w:type="spellStart"/>
            <w:r w:rsidRPr="00CD59EA">
              <w:rPr>
                <w:rFonts w:asciiTheme="minorHAnsi" w:hAnsiTheme="minorHAnsi" w:cstheme="minorHAnsi"/>
                <w:szCs w:val="22"/>
              </w:rPr>
              <w:t>n.p</w:t>
            </w:r>
            <w:proofErr w:type="spellEnd"/>
            <w:r w:rsidRPr="00CD59EA">
              <w:rPr>
                <w:rFonts w:asciiTheme="minorHAnsi" w:hAnsiTheme="minorHAnsi" w:cstheme="minorHAnsi"/>
                <w:szCs w:val="22"/>
              </w:rPr>
              <w:t>.</w:t>
            </w:r>
          </w:p>
        </w:tc>
        <w:tc>
          <w:tcPr>
            <w:tcW w:w="1062" w:type="dxa"/>
            <w:vAlign w:val="bottom"/>
          </w:tcPr>
          <w:p w:rsidR="008E4A1C" w:rsidRPr="001B1E83" w:rsidRDefault="008E4A1C" w:rsidP="00987128">
            <w:pPr>
              <w:pStyle w:val="TableFigText"/>
              <w:jc w:val="right"/>
              <w:rPr>
                <w:rFonts w:asciiTheme="minorHAnsi" w:hAnsiTheme="minorHAnsi" w:cstheme="minorHAnsi"/>
                <w:szCs w:val="22"/>
              </w:rPr>
            </w:pPr>
            <w:r>
              <w:rPr>
                <w:rFonts w:asciiTheme="minorHAnsi" w:hAnsiTheme="minorHAnsi" w:cstheme="minorHAnsi"/>
                <w:szCs w:val="22"/>
              </w:rPr>
              <w:t>67.6</w:t>
            </w:r>
          </w:p>
        </w:tc>
      </w:tr>
      <w:tr w:rsidR="008E4A1C" w:rsidRPr="001B1E83" w:rsidTr="00987128">
        <w:tc>
          <w:tcPr>
            <w:tcW w:w="2399" w:type="dxa"/>
          </w:tcPr>
          <w:p w:rsidR="008E4A1C" w:rsidRPr="001B1E83" w:rsidRDefault="008E4A1C" w:rsidP="00987128">
            <w:pPr>
              <w:pStyle w:val="TableFigText"/>
              <w:keepNext/>
              <w:rPr>
                <w:rFonts w:asciiTheme="minorHAnsi" w:hAnsiTheme="minorHAnsi" w:cstheme="minorHAnsi"/>
                <w:b/>
                <w:szCs w:val="22"/>
              </w:rPr>
            </w:pPr>
            <w:r w:rsidRPr="001B1E83">
              <w:rPr>
                <w:rFonts w:asciiTheme="minorHAnsi" w:hAnsiTheme="minorHAnsi" w:cstheme="minorHAnsi"/>
                <w:b/>
                <w:szCs w:val="22"/>
              </w:rPr>
              <w:t>Total</w:t>
            </w:r>
            <w:r w:rsidRPr="001B1E83">
              <w:rPr>
                <w:rFonts w:asciiTheme="minorHAnsi" w:hAnsiTheme="minorHAnsi" w:cstheme="minorHAnsi"/>
                <w:b/>
                <w:szCs w:val="22"/>
                <w:vertAlign w:val="superscript"/>
              </w:rPr>
              <w:t>(a)</w:t>
            </w:r>
          </w:p>
        </w:tc>
        <w:tc>
          <w:tcPr>
            <w:tcW w:w="1157" w:type="dxa"/>
          </w:tcPr>
          <w:p w:rsidR="008E4A1C" w:rsidRPr="00A83097" w:rsidRDefault="008E4A1C" w:rsidP="00987128">
            <w:pPr>
              <w:pStyle w:val="TableFigText"/>
              <w:jc w:val="right"/>
              <w:rPr>
                <w:rFonts w:asciiTheme="minorHAnsi" w:hAnsiTheme="minorHAnsi" w:cstheme="minorHAnsi"/>
                <w:b/>
                <w:szCs w:val="22"/>
              </w:rPr>
            </w:pPr>
            <w:proofErr w:type="spellStart"/>
            <w:r w:rsidRPr="00A83097">
              <w:rPr>
                <w:rFonts w:asciiTheme="minorHAnsi" w:hAnsiTheme="minorHAnsi" w:cstheme="minorHAnsi"/>
                <w:b/>
                <w:szCs w:val="22"/>
              </w:rPr>
              <w:t>n.p</w:t>
            </w:r>
            <w:proofErr w:type="spellEnd"/>
            <w:r w:rsidRPr="00A83097">
              <w:rPr>
                <w:rFonts w:asciiTheme="minorHAnsi" w:hAnsiTheme="minorHAnsi" w:cstheme="minorHAnsi"/>
                <w:b/>
                <w:szCs w:val="22"/>
              </w:rPr>
              <w:t>.</w:t>
            </w:r>
          </w:p>
        </w:tc>
        <w:tc>
          <w:tcPr>
            <w:tcW w:w="1354" w:type="dxa"/>
          </w:tcPr>
          <w:p w:rsidR="008E4A1C" w:rsidRPr="00A83097" w:rsidRDefault="008E4A1C" w:rsidP="00987128">
            <w:pPr>
              <w:pStyle w:val="TableFigText"/>
              <w:jc w:val="right"/>
              <w:rPr>
                <w:rFonts w:asciiTheme="minorHAnsi" w:hAnsiTheme="minorHAnsi" w:cstheme="minorHAnsi"/>
                <w:b/>
                <w:szCs w:val="22"/>
              </w:rPr>
            </w:pPr>
            <w:proofErr w:type="spellStart"/>
            <w:r w:rsidRPr="00A83097">
              <w:rPr>
                <w:rFonts w:asciiTheme="minorHAnsi" w:hAnsiTheme="minorHAnsi" w:cstheme="minorHAnsi"/>
                <w:b/>
                <w:szCs w:val="22"/>
              </w:rPr>
              <w:t>n.p</w:t>
            </w:r>
            <w:proofErr w:type="spellEnd"/>
            <w:r w:rsidRPr="00A83097">
              <w:rPr>
                <w:rFonts w:asciiTheme="minorHAnsi" w:hAnsiTheme="minorHAnsi" w:cstheme="minorHAnsi"/>
                <w:b/>
                <w:szCs w:val="22"/>
              </w:rPr>
              <w:t>.</w:t>
            </w:r>
          </w:p>
        </w:tc>
        <w:tc>
          <w:tcPr>
            <w:tcW w:w="1223" w:type="dxa"/>
          </w:tcPr>
          <w:p w:rsidR="008E4A1C" w:rsidRPr="00A83097" w:rsidRDefault="008E4A1C" w:rsidP="00987128">
            <w:pPr>
              <w:pStyle w:val="TableFigText"/>
              <w:jc w:val="right"/>
              <w:rPr>
                <w:rFonts w:asciiTheme="minorHAnsi" w:hAnsiTheme="minorHAnsi" w:cstheme="minorHAnsi"/>
                <w:b/>
                <w:szCs w:val="22"/>
              </w:rPr>
            </w:pPr>
            <w:proofErr w:type="spellStart"/>
            <w:r w:rsidRPr="00A83097">
              <w:rPr>
                <w:rFonts w:asciiTheme="minorHAnsi" w:hAnsiTheme="minorHAnsi" w:cstheme="minorHAnsi"/>
                <w:b/>
                <w:szCs w:val="22"/>
              </w:rPr>
              <w:t>n.p</w:t>
            </w:r>
            <w:proofErr w:type="spellEnd"/>
            <w:r w:rsidRPr="00A83097">
              <w:rPr>
                <w:rFonts w:asciiTheme="minorHAnsi" w:hAnsiTheme="minorHAnsi" w:cstheme="minorHAnsi"/>
                <w:b/>
                <w:szCs w:val="22"/>
              </w:rPr>
              <w:t>.</w:t>
            </w:r>
          </w:p>
        </w:tc>
        <w:tc>
          <w:tcPr>
            <w:tcW w:w="1022" w:type="dxa"/>
          </w:tcPr>
          <w:p w:rsidR="008E4A1C" w:rsidRPr="00A83097" w:rsidRDefault="008E4A1C" w:rsidP="00987128">
            <w:pPr>
              <w:pStyle w:val="TableFigText"/>
              <w:jc w:val="right"/>
              <w:rPr>
                <w:rFonts w:asciiTheme="minorHAnsi" w:hAnsiTheme="minorHAnsi" w:cstheme="minorHAnsi"/>
                <w:b/>
                <w:szCs w:val="22"/>
              </w:rPr>
            </w:pPr>
            <w:proofErr w:type="spellStart"/>
            <w:r w:rsidRPr="00A83097">
              <w:rPr>
                <w:rFonts w:asciiTheme="minorHAnsi" w:hAnsiTheme="minorHAnsi" w:cstheme="minorHAnsi"/>
                <w:b/>
                <w:szCs w:val="22"/>
              </w:rPr>
              <w:t>n.p</w:t>
            </w:r>
            <w:proofErr w:type="spellEnd"/>
            <w:r w:rsidRPr="00A83097">
              <w:rPr>
                <w:rFonts w:asciiTheme="minorHAnsi" w:hAnsiTheme="minorHAnsi" w:cstheme="minorHAnsi"/>
                <w:b/>
                <w:szCs w:val="22"/>
              </w:rPr>
              <w:t>.</w:t>
            </w:r>
          </w:p>
        </w:tc>
        <w:tc>
          <w:tcPr>
            <w:tcW w:w="1069" w:type="dxa"/>
          </w:tcPr>
          <w:p w:rsidR="008E4A1C" w:rsidRPr="00A83097" w:rsidRDefault="008E4A1C" w:rsidP="00987128">
            <w:pPr>
              <w:pStyle w:val="TableFigText"/>
              <w:jc w:val="right"/>
              <w:rPr>
                <w:rFonts w:asciiTheme="minorHAnsi" w:hAnsiTheme="minorHAnsi" w:cstheme="minorHAnsi"/>
                <w:b/>
                <w:szCs w:val="22"/>
              </w:rPr>
            </w:pPr>
            <w:proofErr w:type="spellStart"/>
            <w:r w:rsidRPr="00A83097">
              <w:rPr>
                <w:rFonts w:asciiTheme="minorHAnsi" w:hAnsiTheme="minorHAnsi" w:cstheme="minorHAnsi"/>
                <w:b/>
                <w:szCs w:val="22"/>
              </w:rPr>
              <w:t>n.p</w:t>
            </w:r>
            <w:proofErr w:type="spellEnd"/>
            <w:r w:rsidRPr="00A83097">
              <w:rPr>
                <w:rFonts w:asciiTheme="minorHAnsi" w:hAnsiTheme="minorHAnsi" w:cstheme="minorHAnsi"/>
                <w:b/>
                <w:szCs w:val="22"/>
              </w:rPr>
              <w:t>.</w:t>
            </w:r>
          </w:p>
        </w:tc>
        <w:tc>
          <w:tcPr>
            <w:tcW w:w="1062" w:type="dxa"/>
            <w:vAlign w:val="bottom"/>
          </w:tcPr>
          <w:p w:rsidR="008E4A1C" w:rsidRPr="00A83097" w:rsidRDefault="008E4A1C" w:rsidP="00987128">
            <w:pPr>
              <w:pStyle w:val="TableFigText"/>
              <w:jc w:val="right"/>
              <w:rPr>
                <w:rFonts w:asciiTheme="minorHAnsi" w:hAnsiTheme="minorHAnsi" w:cstheme="minorHAnsi"/>
                <w:b/>
                <w:szCs w:val="22"/>
              </w:rPr>
            </w:pPr>
            <w:r w:rsidRPr="00A83097">
              <w:rPr>
                <w:rFonts w:asciiTheme="minorHAnsi" w:hAnsiTheme="minorHAnsi" w:cstheme="minorHAnsi"/>
                <w:b/>
                <w:szCs w:val="22"/>
              </w:rPr>
              <w:t>412.6</w:t>
            </w:r>
          </w:p>
        </w:tc>
      </w:tr>
    </w:tbl>
    <w:p w:rsidR="008E4A1C" w:rsidRPr="00D27E9B" w:rsidRDefault="008E4A1C" w:rsidP="008E4A1C">
      <w:pPr>
        <w:pStyle w:val="TableFigNotesnumbered"/>
        <w:rPr>
          <w:rStyle w:val="table-note"/>
        </w:rPr>
      </w:pPr>
      <w:proofErr w:type="spellStart"/>
      <w:proofErr w:type="gramStart"/>
      <w:r w:rsidRPr="00D27E9B">
        <w:rPr>
          <w:rStyle w:val="table-note"/>
        </w:rPr>
        <w:t>n.p</w:t>
      </w:r>
      <w:proofErr w:type="spellEnd"/>
      <w:r w:rsidRPr="00D27E9B">
        <w:rPr>
          <w:rStyle w:val="table-note"/>
        </w:rPr>
        <w:t>.</w:t>
      </w:r>
      <w:proofErr w:type="gramEnd"/>
      <w:r w:rsidRPr="00D27E9B">
        <w:rPr>
          <w:rStyle w:val="table-note"/>
        </w:rPr>
        <w:t xml:space="preserve"> Not published.</w:t>
      </w:r>
    </w:p>
    <w:p w:rsidR="008E4A1C" w:rsidRPr="00D27E9B" w:rsidRDefault="008E4A1C" w:rsidP="00D27E9B">
      <w:pPr>
        <w:pStyle w:val="TableFigNotesnumbered"/>
        <w:numPr>
          <w:ilvl w:val="0"/>
          <w:numId w:val="111"/>
        </w:numPr>
        <w:rPr>
          <w:rStyle w:val="table-note"/>
        </w:rPr>
      </w:pPr>
      <w:r w:rsidRPr="00D27E9B">
        <w:rPr>
          <w:rStyle w:val="table-note"/>
        </w:rPr>
        <w:t>Totals may not add due to rounding.</w:t>
      </w:r>
    </w:p>
    <w:p w:rsidR="008E4A1C" w:rsidRPr="00D27E9B" w:rsidRDefault="008E4A1C" w:rsidP="00D27E9B">
      <w:pPr>
        <w:pStyle w:val="TableFigNotesnumbered"/>
        <w:numPr>
          <w:ilvl w:val="0"/>
          <w:numId w:val="111"/>
        </w:numPr>
        <w:rPr>
          <w:rStyle w:val="table-note"/>
        </w:rPr>
      </w:pPr>
      <w:r w:rsidRPr="00D27E9B">
        <w:rPr>
          <w:rStyle w:val="table-note"/>
        </w:rPr>
        <w:t>Diagnostic and health professionals includes qualified staff (other than qualified medical or nursing staff) engaged in duties of a diagnostic, professional or technical nature and covers all allied health professionals and laboratory technicians, including Social Workers, Occupational Therapists and others  (</w:t>
      </w:r>
      <w:proofErr w:type="spellStart"/>
      <w:r w:rsidRPr="00D27E9B">
        <w:rPr>
          <w:rStyle w:val="table-note"/>
        </w:rPr>
        <w:t>METeOR</w:t>
      </w:r>
      <w:proofErr w:type="spellEnd"/>
      <w:r w:rsidRPr="00D27E9B">
        <w:rPr>
          <w:rStyle w:val="table-note"/>
        </w:rPr>
        <w:t xml:space="preserve"> identifier 287611).</w:t>
      </w:r>
    </w:p>
    <w:p w:rsidR="008E4A1C" w:rsidRPr="00D27E9B" w:rsidRDefault="008E4A1C" w:rsidP="00D27E9B">
      <w:pPr>
        <w:pStyle w:val="TableFigNotesnumbered"/>
        <w:numPr>
          <w:ilvl w:val="0"/>
          <w:numId w:val="111"/>
        </w:numPr>
        <w:rPr>
          <w:rStyle w:val="table-note"/>
        </w:rPr>
      </w:pPr>
      <w:r w:rsidRPr="00D27E9B">
        <w:rPr>
          <w:rStyle w:val="table-note"/>
        </w:rPr>
        <w:t>Includes registered and enrolled nurses.</w:t>
      </w:r>
    </w:p>
    <w:p w:rsidR="008E4A1C" w:rsidRPr="00D27E9B" w:rsidRDefault="008E4A1C" w:rsidP="00D27E9B">
      <w:pPr>
        <w:pStyle w:val="TableFigNotesnumbered"/>
        <w:numPr>
          <w:ilvl w:val="0"/>
          <w:numId w:val="111"/>
        </w:numPr>
        <w:rPr>
          <w:rStyle w:val="table-note"/>
        </w:rPr>
      </w:pPr>
      <w:r w:rsidRPr="00D27E9B">
        <w:rPr>
          <w:rStyle w:val="table-note"/>
        </w:rPr>
        <w:t xml:space="preserve">The definition of these categories was modified from 'consultants' to 'mental health workers' for the 2010–11 collection, in order to capture a variety of contemporary roles. </w:t>
      </w:r>
    </w:p>
    <w:p w:rsidR="008E4A1C" w:rsidRPr="00D27E9B" w:rsidRDefault="008E4A1C" w:rsidP="00D27E9B">
      <w:pPr>
        <w:pStyle w:val="TableFigNotesnumbered"/>
        <w:numPr>
          <w:ilvl w:val="0"/>
          <w:numId w:val="111"/>
        </w:numPr>
        <w:rPr>
          <w:rStyle w:val="table-note"/>
        </w:rPr>
      </w:pPr>
      <w:r w:rsidRPr="00D27E9B">
        <w:rPr>
          <w:rStyle w:val="table-note"/>
        </w:rPr>
        <w:t>Other personal care staff includes staff engaged primarily in the provision of personal care to patients or residents, not formally qualified, for example attendants, assistants of home assistance, home companions, family aides, ward helpers, warders, orderlies, ward assistants and nursing assistants (</w:t>
      </w:r>
      <w:proofErr w:type="spellStart"/>
      <w:r w:rsidRPr="00D27E9B">
        <w:rPr>
          <w:rStyle w:val="table-note"/>
        </w:rPr>
        <w:t>METeOR</w:t>
      </w:r>
      <w:proofErr w:type="spellEnd"/>
      <w:r w:rsidRPr="00D27E9B">
        <w:rPr>
          <w:rStyle w:val="table-note"/>
        </w:rPr>
        <w:t xml:space="preserve"> 270171).</w:t>
      </w:r>
    </w:p>
    <w:p w:rsidR="008E4A1C" w:rsidRPr="00D27E9B" w:rsidRDefault="008E4A1C" w:rsidP="00D27E9B">
      <w:pPr>
        <w:pStyle w:val="TableFigNotesnumbered"/>
        <w:numPr>
          <w:ilvl w:val="0"/>
          <w:numId w:val="111"/>
        </w:numPr>
        <w:rPr>
          <w:rStyle w:val="table-note"/>
        </w:rPr>
      </w:pPr>
      <w:r w:rsidRPr="00D27E9B">
        <w:rPr>
          <w:rStyle w:val="table-note"/>
        </w:rPr>
        <w:t xml:space="preserve">Other </w:t>
      </w:r>
      <w:proofErr w:type="gramStart"/>
      <w:r w:rsidRPr="00D27E9B">
        <w:rPr>
          <w:rStyle w:val="table-note"/>
        </w:rPr>
        <w:t>staff</w:t>
      </w:r>
      <w:proofErr w:type="gramEnd"/>
      <w:r w:rsidRPr="00D27E9B">
        <w:rPr>
          <w:rStyle w:val="table-note"/>
        </w:rPr>
        <w:t xml:space="preserve"> includes administrative and clerical and domestic and other staff categories. </w:t>
      </w:r>
    </w:p>
    <w:p w:rsidR="008E4A1C" w:rsidRPr="001B1E83" w:rsidRDefault="008E4A1C" w:rsidP="008E4A1C">
      <w:pPr>
        <w:spacing w:before="0" w:after="0" w:line="240" w:lineRule="auto"/>
        <w:rPr>
          <w:rFonts w:asciiTheme="minorHAnsi" w:hAnsiTheme="minorHAnsi" w:cstheme="minorHAnsi"/>
        </w:rPr>
      </w:pPr>
    </w:p>
    <w:p w:rsidR="008E4A1C" w:rsidRPr="00D27E9B" w:rsidRDefault="008E4A1C" w:rsidP="008E4A1C">
      <w:pPr>
        <w:spacing w:before="0" w:after="0" w:line="240" w:lineRule="auto"/>
        <w:rPr>
          <w:rStyle w:val="table-note"/>
          <w:rFonts w:ascii="Arial" w:hAnsi="Arial"/>
        </w:rPr>
      </w:pPr>
      <w:r w:rsidRPr="00D27E9B">
        <w:rPr>
          <w:rStyle w:val="table-note"/>
          <w:rFonts w:ascii="Arial" w:hAnsi="Arial"/>
          <w:sz w:val="14"/>
          <w:szCs w:val="20"/>
          <w:lang w:eastAsia="en-US"/>
        </w:rPr>
        <w:t>Notes:</w:t>
      </w:r>
      <w:r w:rsidRPr="00D27E9B">
        <w:rPr>
          <w:rStyle w:val="table-note"/>
          <w:rFonts w:ascii="Arial" w:hAnsi="Arial"/>
        </w:rPr>
        <w:tab/>
      </w:r>
    </w:p>
    <w:p w:rsidR="008E4A1C" w:rsidRPr="00D27E9B" w:rsidRDefault="008E4A1C" w:rsidP="00540186">
      <w:pPr>
        <w:pStyle w:val="ListParagraph"/>
        <w:numPr>
          <w:ilvl w:val="0"/>
          <w:numId w:val="55"/>
        </w:numPr>
        <w:spacing w:after="0" w:line="240" w:lineRule="auto"/>
        <w:rPr>
          <w:rStyle w:val="table-note"/>
          <w:rFonts w:ascii="Arial" w:eastAsia="Times New Roman" w:hAnsi="Arial" w:cs="Times New Roman"/>
          <w:sz w:val="14"/>
          <w:szCs w:val="20"/>
          <w:lang w:eastAsia="en-US"/>
        </w:rPr>
      </w:pPr>
      <w:r w:rsidRPr="00D27E9B">
        <w:rPr>
          <w:rStyle w:val="table-note"/>
          <w:rFonts w:ascii="Arial" w:eastAsia="Times New Roman" w:hAnsi="Arial" w:cs="Times New Roman"/>
          <w:sz w:val="14"/>
          <w:szCs w:val="20"/>
          <w:lang w:eastAsia="en-US"/>
        </w:rPr>
        <w:t xml:space="preserve">Includes consumer and carer workers and staff employed at a higher organisational level. Excludes staff employed at regional or state level in mental health policy units of the associated relevant health department or equivalent. </w:t>
      </w:r>
    </w:p>
    <w:p w:rsidR="008E4A1C" w:rsidRPr="00D27E9B" w:rsidRDefault="008E4A1C" w:rsidP="008E4A1C">
      <w:pPr>
        <w:pStyle w:val="TableFigNotesnumbered"/>
        <w:ind w:left="0" w:firstLine="0"/>
        <w:rPr>
          <w:rStyle w:val="table-note"/>
        </w:rPr>
      </w:pPr>
      <w:r w:rsidRPr="00D27E9B">
        <w:rPr>
          <w:rStyle w:val="table-note"/>
        </w:rPr>
        <w:t>Sources: National Mental Health Establishments Database.</w:t>
      </w:r>
    </w:p>
    <w:p w:rsidR="008E4A1C" w:rsidRPr="001B1E83" w:rsidRDefault="008E4A1C" w:rsidP="008E4A1C">
      <w:pPr>
        <w:pStyle w:val="ListParagraph"/>
        <w:spacing w:after="0" w:line="240" w:lineRule="auto"/>
        <w:ind w:left="360"/>
        <w:rPr>
          <w:rFonts w:cs="Arial"/>
          <w:sz w:val="14"/>
          <w:szCs w:val="14"/>
        </w:rPr>
      </w:pPr>
    </w:p>
    <w:p w:rsidR="008E4A1C" w:rsidRPr="001B1E83" w:rsidRDefault="008E4A1C" w:rsidP="008E4A1C">
      <w:pPr>
        <w:rPr>
          <w:rFonts w:asciiTheme="minorHAnsi" w:hAnsiTheme="minorHAnsi"/>
        </w:rPr>
      </w:pPr>
    </w:p>
    <w:p w:rsidR="008E4A1C" w:rsidRPr="008A3F74" w:rsidRDefault="008A3F74" w:rsidP="008E4A1C">
      <w:pPr>
        <w:pStyle w:val="TableCaption"/>
        <w:rPr>
          <w:rStyle w:val="table-note"/>
        </w:rPr>
      </w:pPr>
      <w:r w:rsidRPr="008A3F74">
        <w:rPr>
          <w:rStyle w:val="table-note"/>
        </w:rPr>
        <w:t xml:space="preserve">Table 80: </w:t>
      </w:r>
      <w:r w:rsidR="008E4A1C" w:rsidRPr="008A3F74">
        <w:rPr>
          <w:rStyle w:val="table-note"/>
        </w:rPr>
        <w:t xml:space="preserve">ACT: State and territory specialised mental health service activity, by service type, </w:t>
      </w:r>
      <w:r w:rsidR="00591D14">
        <w:rPr>
          <w:rStyle w:val="table-note"/>
        </w:rPr>
        <w:br/>
      </w:r>
      <w:r w:rsidR="008E4A1C" w:rsidRPr="008A3F74">
        <w:rPr>
          <w:rStyle w:val="table-note"/>
        </w:rPr>
        <w:t xml:space="preserve">2007–08 </w:t>
      </w:r>
    </w:p>
    <w:tbl>
      <w:tblPr>
        <w:tblStyle w:val="TableGrid"/>
        <w:tblW w:w="0" w:type="auto"/>
        <w:tblLook w:val="04A0" w:firstRow="1" w:lastRow="0" w:firstColumn="1" w:lastColumn="0" w:noHBand="0" w:noVBand="1"/>
        <w:tblCaption w:val="ACT: State and territory specialised mental health service activity, by service type, 2007–08 "/>
        <w:tblDescription w:val="Table showing that, in 2007-2008, in the ACT there were 207,467 community mental health care contacts, 24,478 residential mental health care days and 18,539 hospital days."/>
      </w:tblPr>
      <w:tblGrid>
        <w:gridCol w:w="2045"/>
        <w:gridCol w:w="1335"/>
        <w:gridCol w:w="1336"/>
        <w:gridCol w:w="1205"/>
        <w:gridCol w:w="1014"/>
        <w:gridCol w:w="1020"/>
        <w:gridCol w:w="1331"/>
      </w:tblGrid>
      <w:tr w:rsidR="008E4A1C" w:rsidRPr="001B1E83" w:rsidTr="000C3DEA">
        <w:trPr>
          <w:tblHeader/>
        </w:trPr>
        <w:tc>
          <w:tcPr>
            <w:tcW w:w="2045" w:type="dxa"/>
          </w:tcPr>
          <w:p w:rsidR="008E4A1C" w:rsidRPr="001B1E83" w:rsidRDefault="008E4A1C" w:rsidP="00987128">
            <w:pPr>
              <w:pStyle w:val="TableFigText"/>
              <w:keepNext/>
              <w:rPr>
                <w:rFonts w:asciiTheme="minorHAnsi" w:hAnsiTheme="minorHAnsi" w:cstheme="minorHAnsi"/>
                <w:szCs w:val="22"/>
              </w:rPr>
            </w:pPr>
          </w:p>
        </w:tc>
        <w:tc>
          <w:tcPr>
            <w:tcW w:w="1335" w:type="dxa"/>
          </w:tcPr>
          <w:p w:rsidR="008E4A1C" w:rsidRPr="001B1E83" w:rsidRDefault="008E4A1C" w:rsidP="00987128">
            <w:pPr>
              <w:pStyle w:val="TableFigText"/>
              <w:keepNext/>
              <w:jc w:val="right"/>
              <w:rPr>
                <w:rFonts w:asciiTheme="minorHAnsi" w:hAnsiTheme="minorHAnsi" w:cstheme="minorHAnsi"/>
                <w:b/>
                <w:szCs w:val="22"/>
              </w:rPr>
            </w:pPr>
            <w:r w:rsidRPr="001B1E83">
              <w:rPr>
                <w:rFonts w:asciiTheme="minorHAnsi" w:hAnsiTheme="minorHAnsi" w:cstheme="minorHAnsi"/>
                <w:b/>
                <w:szCs w:val="22"/>
              </w:rPr>
              <w:t>Major cities</w:t>
            </w:r>
          </w:p>
        </w:tc>
        <w:tc>
          <w:tcPr>
            <w:tcW w:w="1336" w:type="dxa"/>
          </w:tcPr>
          <w:p w:rsidR="008E4A1C" w:rsidRPr="001B1E83" w:rsidRDefault="008E4A1C" w:rsidP="00987128">
            <w:pPr>
              <w:pStyle w:val="TableFigText"/>
              <w:keepNext/>
              <w:jc w:val="right"/>
              <w:rPr>
                <w:rFonts w:asciiTheme="minorHAnsi" w:hAnsiTheme="minorHAnsi" w:cstheme="minorHAnsi"/>
                <w:b/>
                <w:szCs w:val="22"/>
              </w:rPr>
            </w:pPr>
            <w:r w:rsidRPr="001B1E83">
              <w:rPr>
                <w:rFonts w:asciiTheme="minorHAnsi" w:hAnsiTheme="minorHAnsi" w:cstheme="minorHAnsi"/>
                <w:b/>
                <w:szCs w:val="22"/>
              </w:rPr>
              <w:t>Inner regional</w:t>
            </w:r>
          </w:p>
        </w:tc>
        <w:tc>
          <w:tcPr>
            <w:tcW w:w="1205" w:type="dxa"/>
          </w:tcPr>
          <w:p w:rsidR="008E4A1C" w:rsidRPr="001B1E83" w:rsidRDefault="008E4A1C" w:rsidP="00987128">
            <w:pPr>
              <w:pStyle w:val="TableFigText"/>
              <w:keepNext/>
              <w:jc w:val="right"/>
              <w:rPr>
                <w:rFonts w:asciiTheme="minorHAnsi" w:hAnsiTheme="minorHAnsi" w:cstheme="minorHAnsi"/>
                <w:b/>
                <w:szCs w:val="22"/>
              </w:rPr>
            </w:pPr>
            <w:r w:rsidRPr="001B1E83">
              <w:rPr>
                <w:rFonts w:asciiTheme="minorHAnsi" w:hAnsiTheme="minorHAnsi" w:cstheme="minorHAnsi"/>
                <w:b/>
                <w:szCs w:val="22"/>
              </w:rPr>
              <w:t>Outer regional</w:t>
            </w:r>
          </w:p>
        </w:tc>
        <w:tc>
          <w:tcPr>
            <w:tcW w:w="1014" w:type="dxa"/>
          </w:tcPr>
          <w:p w:rsidR="008E4A1C" w:rsidRPr="001B1E83" w:rsidRDefault="008E4A1C" w:rsidP="00987128">
            <w:pPr>
              <w:pStyle w:val="TableFigText"/>
              <w:keepNext/>
              <w:jc w:val="right"/>
              <w:rPr>
                <w:rFonts w:asciiTheme="minorHAnsi" w:hAnsiTheme="minorHAnsi" w:cstheme="minorHAnsi"/>
                <w:b/>
                <w:szCs w:val="22"/>
              </w:rPr>
            </w:pPr>
            <w:r w:rsidRPr="001B1E83">
              <w:rPr>
                <w:rFonts w:asciiTheme="minorHAnsi" w:hAnsiTheme="minorHAnsi" w:cstheme="minorHAnsi"/>
                <w:b/>
                <w:szCs w:val="22"/>
              </w:rPr>
              <w:t>Remote</w:t>
            </w:r>
          </w:p>
        </w:tc>
        <w:tc>
          <w:tcPr>
            <w:tcW w:w="1020" w:type="dxa"/>
          </w:tcPr>
          <w:p w:rsidR="008E4A1C" w:rsidRPr="001B1E83" w:rsidRDefault="008E4A1C" w:rsidP="00987128">
            <w:pPr>
              <w:pStyle w:val="TableFigText"/>
              <w:keepNext/>
              <w:jc w:val="right"/>
              <w:rPr>
                <w:rFonts w:asciiTheme="minorHAnsi" w:hAnsiTheme="minorHAnsi" w:cstheme="minorHAnsi"/>
                <w:b/>
                <w:szCs w:val="22"/>
              </w:rPr>
            </w:pPr>
            <w:r w:rsidRPr="001B1E83">
              <w:rPr>
                <w:rFonts w:asciiTheme="minorHAnsi" w:hAnsiTheme="minorHAnsi" w:cstheme="minorHAnsi"/>
                <w:b/>
                <w:szCs w:val="22"/>
              </w:rPr>
              <w:t>Very remote</w:t>
            </w:r>
          </w:p>
        </w:tc>
        <w:tc>
          <w:tcPr>
            <w:tcW w:w="1331" w:type="dxa"/>
          </w:tcPr>
          <w:p w:rsidR="008E4A1C" w:rsidRPr="001B1E83" w:rsidRDefault="008E4A1C" w:rsidP="00987128">
            <w:pPr>
              <w:pStyle w:val="TableFigText"/>
              <w:keepNext/>
              <w:jc w:val="right"/>
              <w:rPr>
                <w:rFonts w:asciiTheme="minorHAnsi" w:hAnsiTheme="minorHAnsi" w:cstheme="minorHAnsi"/>
                <w:b/>
                <w:szCs w:val="22"/>
              </w:rPr>
            </w:pPr>
            <w:r w:rsidRPr="001B1E83">
              <w:rPr>
                <w:rFonts w:asciiTheme="minorHAnsi" w:hAnsiTheme="minorHAnsi" w:cstheme="minorHAnsi"/>
                <w:b/>
                <w:szCs w:val="22"/>
              </w:rPr>
              <w:t>Total</w:t>
            </w:r>
          </w:p>
        </w:tc>
      </w:tr>
      <w:tr w:rsidR="008E4A1C" w:rsidRPr="001B1E83" w:rsidTr="00987128">
        <w:tc>
          <w:tcPr>
            <w:tcW w:w="2045" w:type="dxa"/>
          </w:tcPr>
          <w:p w:rsidR="008E4A1C" w:rsidRPr="001B1E83" w:rsidRDefault="008E4A1C" w:rsidP="00987128">
            <w:pPr>
              <w:pStyle w:val="TableFigText"/>
              <w:keepNext/>
              <w:rPr>
                <w:rFonts w:asciiTheme="minorHAnsi" w:hAnsiTheme="minorHAnsi" w:cstheme="minorHAnsi"/>
                <w:szCs w:val="22"/>
              </w:rPr>
            </w:pPr>
            <w:r w:rsidRPr="001B1E83">
              <w:rPr>
                <w:rFonts w:asciiTheme="minorHAnsi" w:hAnsiTheme="minorHAnsi" w:cstheme="minorHAnsi"/>
                <w:szCs w:val="22"/>
              </w:rPr>
              <w:t>Hospital days</w:t>
            </w:r>
            <w:r w:rsidRPr="001B1E83">
              <w:rPr>
                <w:rFonts w:asciiTheme="minorHAnsi" w:hAnsiTheme="minorHAnsi" w:cstheme="minorHAnsi"/>
                <w:szCs w:val="22"/>
                <w:vertAlign w:val="superscript"/>
              </w:rPr>
              <w:t>(a)</w:t>
            </w:r>
          </w:p>
        </w:tc>
        <w:tc>
          <w:tcPr>
            <w:tcW w:w="1335" w:type="dxa"/>
          </w:tcPr>
          <w:p w:rsidR="008E4A1C" w:rsidRPr="00CB173D" w:rsidRDefault="008E4A1C" w:rsidP="00987128">
            <w:pPr>
              <w:pStyle w:val="TableFigText"/>
              <w:jc w:val="right"/>
              <w:rPr>
                <w:rFonts w:asciiTheme="minorHAnsi" w:hAnsiTheme="minorHAnsi" w:cstheme="minorHAnsi"/>
                <w:szCs w:val="22"/>
              </w:rPr>
            </w:pPr>
            <w:proofErr w:type="spellStart"/>
            <w:r w:rsidRPr="006220EA">
              <w:rPr>
                <w:rFonts w:asciiTheme="minorHAnsi" w:hAnsiTheme="minorHAnsi" w:cstheme="minorHAnsi"/>
                <w:szCs w:val="22"/>
              </w:rPr>
              <w:t>n.p</w:t>
            </w:r>
            <w:proofErr w:type="spellEnd"/>
            <w:r w:rsidRPr="006220EA">
              <w:rPr>
                <w:rFonts w:asciiTheme="minorHAnsi" w:hAnsiTheme="minorHAnsi" w:cstheme="minorHAnsi"/>
                <w:szCs w:val="22"/>
              </w:rPr>
              <w:t>.</w:t>
            </w:r>
          </w:p>
        </w:tc>
        <w:tc>
          <w:tcPr>
            <w:tcW w:w="1336" w:type="dxa"/>
          </w:tcPr>
          <w:p w:rsidR="008E4A1C" w:rsidRPr="00CB173D" w:rsidRDefault="008E4A1C" w:rsidP="00987128">
            <w:pPr>
              <w:pStyle w:val="TableFigText"/>
              <w:jc w:val="right"/>
              <w:rPr>
                <w:rFonts w:asciiTheme="minorHAnsi" w:hAnsiTheme="minorHAnsi" w:cstheme="minorHAnsi"/>
                <w:szCs w:val="22"/>
              </w:rPr>
            </w:pPr>
            <w:proofErr w:type="spellStart"/>
            <w:r w:rsidRPr="006220EA">
              <w:rPr>
                <w:rFonts w:asciiTheme="minorHAnsi" w:hAnsiTheme="minorHAnsi" w:cstheme="minorHAnsi"/>
                <w:szCs w:val="22"/>
              </w:rPr>
              <w:t>n.p</w:t>
            </w:r>
            <w:proofErr w:type="spellEnd"/>
            <w:r w:rsidRPr="006220EA">
              <w:rPr>
                <w:rFonts w:asciiTheme="minorHAnsi" w:hAnsiTheme="minorHAnsi" w:cstheme="minorHAnsi"/>
                <w:szCs w:val="22"/>
              </w:rPr>
              <w:t>.</w:t>
            </w:r>
          </w:p>
        </w:tc>
        <w:tc>
          <w:tcPr>
            <w:tcW w:w="1205" w:type="dxa"/>
          </w:tcPr>
          <w:p w:rsidR="008E4A1C" w:rsidRPr="00CB173D" w:rsidRDefault="008E4A1C" w:rsidP="00987128">
            <w:pPr>
              <w:pStyle w:val="TableFigText"/>
              <w:jc w:val="right"/>
              <w:rPr>
                <w:rFonts w:asciiTheme="minorHAnsi" w:hAnsiTheme="minorHAnsi" w:cstheme="minorHAnsi"/>
                <w:szCs w:val="22"/>
              </w:rPr>
            </w:pPr>
            <w:proofErr w:type="spellStart"/>
            <w:r w:rsidRPr="006220EA">
              <w:rPr>
                <w:rFonts w:asciiTheme="minorHAnsi" w:hAnsiTheme="minorHAnsi" w:cstheme="minorHAnsi"/>
                <w:szCs w:val="22"/>
              </w:rPr>
              <w:t>n.p</w:t>
            </w:r>
            <w:proofErr w:type="spellEnd"/>
            <w:r w:rsidRPr="006220EA">
              <w:rPr>
                <w:rFonts w:asciiTheme="minorHAnsi" w:hAnsiTheme="minorHAnsi" w:cstheme="minorHAnsi"/>
                <w:szCs w:val="22"/>
              </w:rPr>
              <w:t>.</w:t>
            </w:r>
          </w:p>
        </w:tc>
        <w:tc>
          <w:tcPr>
            <w:tcW w:w="1014" w:type="dxa"/>
          </w:tcPr>
          <w:p w:rsidR="008E4A1C" w:rsidRPr="00CB173D" w:rsidRDefault="008E4A1C" w:rsidP="00987128">
            <w:pPr>
              <w:pStyle w:val="TableFigText"/>
              <w:jc w:val="right"/>
              <w:rPr>
                <w:rFonts w:asciiTheme="minorHAnsi" w:hAnsiTheme="minorHAnsi" w:cstheme="minorHAnsi"/>
                <w:szCs w:val="22"/>
              </w:rPr>
            </w:pPr>
            <w:proofErr w:type="spellStart"/>
            <w:r w:rsidRPr="006220EA">
              <w:rPr>
                <w:rFonts w:asciiTheme="minorHAnsi" w:hAnsiTheme="minorHAnsi" w:cstheme="minorHAnsi"/>
                <w:szCs w:val="22"/>
              </w:rPr>
              <w:t>n.p</w:t>
            </w:r>
            <w:proofErr w:type="spellEnd"/>
            <w:r w:rsidRPr="006220EA">
              <w:rPr>
                <w:rFonts w:asciiTheme="minorHAnsi" w:hAnsiTheme="minorHAnsi" w:cstheme="minorHAnsi"/>
                <w:szCs w:val="22"/>
              </w:rPr>
              <w:t>.</w:t>
            </w:r>
          </w:p>
        </w:tc>
        <w:tc>
          <w:tcPr>
            <w:tcW w:w="1020" w:type="dxa"/>
          </w:tcPr>
          <w:p w:rsidR="008E4A1C" w:rsidRPr="00CB173D" w:rsidRDefault="008E4A1C" w:rsidP="00987128">
            <w:pPr>
              <w:pStyle w:val="TableFigText"/>
              <w:jc w:val="right"/>
              <w:rPr>
                <w:rFonts w:asciiTheme="minorHAnsi" w:hAnsiTheme="minorHAnsi" w:cstheme="minorHAnsi"/>
                <w:szCs w:val="22"/>
              </w:rPr>
            </w:pPr>
            <w:proofErr w:type="spellStart"/>
            <w:r w:rsidRPr="006220EA">
              <w:rPr>
                <w:rFonts w:asciiTheme="minorHAnsi" w:hAnsiTheme="minorHAnsi" w:cstheme="minorHAnsi"/>
                <w:szCs w:val="22"/>
              </w:rPr>
              <w:t>n.p</w:t>
            </w:r>
            <w:proofErr w:type="spellEnd"/>
            <w:r w:rsidRPr="006220EA">
              <w:rPr>
                <w:rFonts w:asciiTheme="minorHAnsi" w:hAnsiTheme="minorHAnsi" w:cstheme="minorHAnsi"/>
                <w:szCs w:val="22"/>
              </w:rPr>
              <w:t>.</w:t>
            </w:r>
          </w:p>
        </w:tc>
        <w:tc>
          <w:tcPr>
            <w:tcW w:w="1331" w:type="dxa"/>
          </w:tcPr>
          <w:p w:rsidR="008E4A1C" w:rsidRPr="001B1E83" w:rsidRDefault="008E4A1C" w:rsidP="00987128">
            <w:pPr>
              <w:pStyle w:val="TableFigText"/>
              <w:jc w:val="right"/>
              <w:rPr>
                <w:rFonts w:asciiTheme="minorHAnsi" w:hAnsiTheme="minorHAnsi" w:cstheme="minorHAnsi"/>
                <w:szCs w:val="22"/>
              </w:rPr>
            </w:pPr>
            <w:r w:rsidRPr="00392ECF">
              <w:rPr>
                <w:rFonts w:asciiTheme="minorHAnsi" w:hAnsiTheme="minorHAnsi" w:cstheme="minorHAnsi"/>
                <w:szCs w:val="22"/>
              </w:rPr>
              <w:t>18,539</w:t>
            </w:r>
          </w:p>
        </w:tc>
      </w:tr>
      <w:tr w:rsidR="008E4A1C" w:rsidRPr="001B1E83" w:rsidTr="00987128">
        <w:tc>
          <w:tcPr>
            <w:tcW w:w="2045" w:type="dxa"/>
          </w:tcPr>
          <w:p w:rsidR="008E4A1C" w:rsidRPr="001B1E83" w:rsidRDefault="008E4A1C" w:rsidP="00987128">
            <w:pPr>
              <w:pStyle w:val="TableFigText"/>
              <w:keepNext/>
              <w:rPr>
                <w:rFonts w:asciiTheme="minorHAnsi" w:hAnsiTheme="minorHAnsi" w:cstheme="minorHAnsi"/>
                <w:szCs w:val="22"/>
              </w:rPr>
            </w:pPr>
            <w:r w:rsidRPr="001B1E83">
              <w:rPr>
                <w:rFonts w:asciiTheme="minorHAnsi" w:hAnsiTheme="minorHAnsi" w:cstheme="minorHAnsi"/>
                <w:szCs w:val="22"/>
              </w:rPr>
              <w:t>Community mental health care contacts</w:t>
            </w:r>
            <w:r w:rsidRPr="001B1E83">
              <w:rPr>
                <w:rFonts w:asciiTheme="minorHAnsi" w:hAnsiTheme="minorHAnsi" w:cstheme="minorHAnsi"/>
                <w:szCs w:val="22"/>
                <w:vertAlign w:val="superscript"/>
              </w:rPr>
              <w:t>(b)</w:t>
            </w:r>
            <w:r w:rsidRPr="001B1E83">
              <w:rPr>
                <w:rFonts w:asciiTheme="minorHAnsi" w:hAnsiTheme="minorHAnsi" w:cstheme="minorHAnsi"/>
                <w:szCs w:val="22"/>
              </w:rPr>
              <w:t xml:space="preserve"> </w:t>
            </w:r>
          </w:p>
        </w:tc>
        <w:tc>
          <w:tcPr>
            <w:tcW w:w="1335" w:type="dxa"/>
          </w:tcPr>
          <w:p w:rsidR="008E4A1C" w:rsidRPr="00CB173D" w:rsidRDefault="008E4A1C" w:rsidP="00987128">
            <w:pPr>
              <w:pStyle w:val="TableFigText"/>
              <w:jc w:val="right"/>
              <w:rPr>
                <w:rFonts w:asciiTheme="minorHAnsi" w:hAnsiTheme="minorHAnsi" w:cstheme="minorHAnsi"/>
                <w:szCs w:val="22"/>
              </w:rPr>
            </w:pPr>
            <w:proofErr w:type="spellStart"/>
            <w:r w:rsidRPr="006220EA">
              <w:rPr>
                <w:rFonts w:asciiTheme="minorHAnsi" w:hAnsiTheme="minorHAnsi" w:cstheme="minorHAnsi"/>
                <w:szCs w:val="22"/>
              </w:rPr>
              <w:t>n.p</w:t>
            </w:r>
            <w:proofErr w:type="spellEnd"/>
            <w:r w:rsidRPr="006220EA">
              <w:rPr>
                <w:rFonts w:asciiTheme="minorHAnsi" w:hAnsiTheme="minorHAnsi" w:cstheme="minorHAnsi"/>
                <w:szCs w:val="22"/>
              </w:rPr>
              <w:t>.</w:t>
            </w:r>
          </w:p>
        </w:tc>
        <w:tc>
          <w:tcPr>
            <w:tcW w:w="1336" w:type="dxa"/>
          </w:tcPr>
          <w:p w:rsidR="008E4A1C" w:rsidRPr="00CB173D" w:rsidRDefault="008E4A1C" w:rsidP="00987128">
            <w:pPr>
              <w:pStyle w:val="TableFigText"/>
              <w:jc w:val="right"/>
              <w:rPr>
                <w:rFonts w:asciiTheme="minorHAnsi" w:hAnsiTheme="minorHAnsi" w:cstheme="minorHAnsi"/>
                <w:szCs w:val="22"/>
              </w:rPr>
            </w:pPr>
            <w:proofErr w:type="spellStart"/>
            <w:r w:rsidRPr="006220EA">
              <w:rPr>
                <w:rFonts w:asciiTheme="minorHAnsi" w:hAnsiTheme="minorHAnsi" w:cstheme="minorHAnsi"/>
                <w:szCs w:val="22"/>
              </w:rPr>
              <w:t>n.p</w:t>
            </w:r>
            <w:proofErr w:type="spellEnd"/>
            <w:r w:rsidRPr="006220EA">
              <w:rPr>
                <w:rFonts w:asciiTheme="minorHAnsi" w:hAnsiTheme="minorHAnsi" w:cstheme="minorHAnsi"/>
                <w:szCs w:val="22"/>
              </w:rPr>
              <w:t>.</w:t>
            </w:r>
          </w:p>
        </w:tc>
        <w:tc>
          <w:tcPr>
            <w:tcW w:w="1205" w:type="dxa"/>
          </w:tcPr>
          <w:p w:rsidR="008E4A1C" w:rsidRPr="00CB173D" w:rsidRDefault="008E4A1C" w:rsidP="00987128">
            <w:pPr>
              <w:pStyle w:val="TableFigText"/>
              <w:jc w:val="right"/>
              <w:rPr>
                <w:rFonts w:asciiTheme="minorHAnsi" w:hAnsiTheme="minorHAnsi" w:cstheme="minorHAnsi"/>
                <w:szCs w:val="22"/>
              </w:rPr>
            </w:pPr>
            <w:proofErr w:type="spellStart"/>
            <w:r w:rsidRPr="006220EA">
              <w:rPr>
                <w:rFonts w:asciiTheme="minorHAnsi" w:hAnsiTheme="minorHAnsi" w:cstheme="minorHAnsi"/>
                <w:szCs w:val="22"/>
              </w:rPr>
              <w:t>n.p</w:t>
            </w:r>
            <w:proofErr w:type="spellEnd"/>
            <w:r w:rsidRPr="006220EA">
              <w:rPr>
                <w:rFonts w:asciiTheme="minorHAnsi" w:hAnsiTheme="minorHAnsi" w:cstheme="minorHAnsi"/>
                <w:szCs w:val="22"/>
              </w:rPr>
              <w:t>.</w:t>
            </w:r>
          </w:p>
        </w:tc>
        <w:tc>
          <w:tcPr>
            <w:tcW w:w="1014" w:type="dxa"/>
          </w:tcPr>
          <w:p w:rsidR="008E4A1C" w:rsidRPr="00CB173D" w:rsidRDefault="008E4A1C" w:rsidP="00987128">
            <w:pPr>
              <w:pStyle w:val="TableFigText"/>
              <w:jc w:val="right"/>
              <w:rPr>
                <w:rFonts w:asciiTheme="minorHAnsi" w:hAnsiTheme="minorHAnsi" w:cstheme="minorHAnsi"/>
                <w:szCs w:val="22"/>
              </w:rPr>
            </w:pPr>
            <w:proofErr w:type="spellStart"/>
            <w:r w:rsidRPr="006220EA">
              <w:rPr>
                <w:rFonts w:asciiTheme="minorHAnsi" w:hAnsiTheme="minorHAnsi" w:cstheme="minorHAnsi"/>
                <w:szCs w:val="22"/>
              </w:rPr>
              <w:t>n.p</w:t>
            </w:r>
            <w:proofErr w:type="spellEnd"/>
            <w:r w:rsidRPr="006220EA">
              <w:rPr>
                <w:rFonts w:asciiTheme="minorHAnsi" w:hAnsiTheme="minorHAnsi" w:cstheme="minorHAnsi"/>
                <w:szCs w:val="22"/>
              </w:rPr>
              <w:t>.</w:t>
            </w:r>
          </w:p>
        </w:tc>
        <w:tc>
          <w:tcPr>
            <w:tcW w:w="1020" w:type="dxa"/>
          </w:tcPr>
          <w:p w:rsidR="008E4A1C" w:rsidRPr="00CB173D" w:rsidRDefault="008E4A1C" w:rsidP="00987128">
            <w:pPr>
              <w:pStyle w:val="TableFigText"/>
              <w:jc w:val="right"/>
              <w:rPr>
                <w:rFonts w:asciiTheme="minorHAnsi" w:hAnsiTheme="minorHAnsi" w:cstheme="minorHAnsi"/>
                <w:szCs w:val="22"/>
              </w:rPr>
            </w:pPr>
            <w:proofErr w:type="spellStart"/>
            <w:r w:rsidRPr="006220EA">
              <w:rPr>
                <w:rFonts w:asciiTheme="minorHAnsi" w:hAnsiTheme="minorHAnsi" w:cstheme="minorHAnsi"/>
                <w:szCs w:val="22"/>
              </w:rPr>
              <w:t>n.p</w:t>
            </w:r>
            <w:proofErr w:type="spellEnd"/>
            <w:r w:rsidRPr="006220EA">
              <w:rPr>
                <w:rFonts w:asciiTheme="minorHAnsi" w:hAnsiTheme="minorHAnsi" w:cstheme="minorHAnsi"/>
                <w:szCs w:val="22"/>
              </w:rPr>
              <w:t>.</w:t>
            </w:r>
          </w:p>
        </w:tc>
        <w:tc>
          <w:tcPr>
            <w:tcW w:w="1331" w:type="dxa"/>
          </w:tcPr>
          <w:p w:rsidR="008E4A1C" w:rsidRPr="001B1E83" w:rsidRDefault="008E4A1C" w:rsidP="00987128">
            <w:pPr>
              <w:pStyle w:val="TableFigText"/>
              <w:jc w:val="right"/>
              <w:rPr>
                <w:rFonts w:asciiTheme="minorHAnsi" w:hAnsiTheme="minorHAnsi" w:cstheme="minorHAnsi"/>
                <w:szCs w:val="22"/>
              </w:rPr>
            </w:pPr>
            <w:r>
              <w:rPr>
                <w:rFonts w:asciiTheme="minorHAnsi" w:hAnsiTheme="minorHAnsi" w:cstheme="minorHAnsi"/>
                <w:szCs w:val="22"/>
              </w:rPr>
              <w:t>207,467</w:t>
            </w:r>
          </w:p>
        </w:tc>
      </w:tr>
      <w:tr w:rsidR="008E4A1C" w:rsidRPr="001B1E83" w:rsidTr="00987128">
        <w:tc>
          <w:tcPr>
            <w:tcW w:w="2045" w:type="dxa"/>
          </w:tcPr>
          <w:p w:rsidR="008E4A1C" w:rsidRPr="001B1E83" w:rsidRDefault="008E4A1C" w:rsidP="00987128">
            <w:pPr>
              <w:pStyle w:val="TableFigText"/>
              <w:keepNext/>
              <w:rPr>
                <w:rFonts w:asciiTheme="minorHAnsi" w:hAnsiTheme="minorHAnsi" w:cstheme="minorHAnsi"/>
                <w:szCs w:val="22"/>
              </w:rPr>
            </w:pPr>
            <w:r w:rsidRPr="001B1E83">
              <w:rPr>
                <w:rFonts w:asciiTheme="minorHAnsi" w:hAnsiTheme="minorHAnsi" w:cstheme="minorHAnsi"/>
                <w:szCs w:val="22"/>
              </w:rPr>
              <w:t>Residential mental health care days</w:t>
            </w:r>
            <w:r w:rsidRPr="001B1E83">
              <w:rPr>
                <w:rFonts w:asciiTheme="minorHAnsi" w:hAnsiTheme="minorHAnsi" w:cstheme="minorHAnsi"/>
                <w:szCs w:val="22"/>
                <w:vertAlign w:val="superscript"/>
              </w:rPr>
              <w:t>(c)</w:t>
            </w:r>
          </w:p>
        </w:tc>
        <w:tc>
          <w:tcPr>
            <w:tcW w:w="1335" w:type="dxa"/>
          </w:tcPr>
          <w:p w:rsidR="008E4A1C" w:rsidRPr="00CB173D" w:rsidRDefault="008E4A1C" w:rsidP="00987128">
            <w:pPr>
              <w:pStyle w:val="TableFigText"/>
              <w:jc w:val="right"/>
              <w:rPr>
                <w:rFonts w:asciiTheme="minorHAnsi" w:hAnsiTheme="minorHAnsi" w:cstheme="minorHAnsi"/>
                <w:szCs w:val="22"/>
              </w:rPr>
            </w:pPr>
            <w:proofErr w:type="spellStart"/>
            <w:r w:rsidRPr="006220EA">
              <w:rPr>
                <w:rFonts w:asciiTheme="minorHAnsi" w:hAnsiTheme="minorHAnsi" w:cstheme="minorHAnsi"/>
                <w:szCs w:val="22"/>
              </w:rPr>
              <w:t>n.p</w:t>
            </w:r>
            <w:proofErr w:type="spellEnd"/>
            <w:r w:rsidRPr="006220EA">
              <w:rPr>
                <w:rFonts w:asciiTheme="minorHAnsi" w:hAnsiTheme="minorHAnsi" w:cstheme="minorHAnsi"/>
                <w:szCs w:val="22"/>
              </w:rPr>
              <w:t>.</w:t>
            </w:r>
          </w:p>
        </w:tc>
        <w:tc>
          <w:tcPr>
            <w:tcW w:w="1336" w:type="dxa"/>
          </w:tcPr>
          <w:p w:rsidR="008E4A1C" w:rsidRPr="00CB173D" w:rsidRDefault="008E4A1C" w:rsidP="00987128">
            <w:pPr>
              <w:pStyle w:val="TableFigText"/>
              <w:jc w:val="right"/>
              <w:rPr>
                <w:rFonts w:asciiTheme="minorHAnsi" w:hAnsiTheme="minorHAnsi" w:cstheme="minorHAnsi"/>
                <w:szCs w:val="22"/>
              </w:rPr>
            </w:pPr>
            <w:proofErr w:type="spellStart"/>
            <w:r w:rsidRPr="006220EA">
              <w:rPr>
                <w:rFonts w:asciiTheme="minorHAnsi" w:hAnsiTheme="minorHAnsi" w:cstheme="minorHAnsi"/>
                <w:szCs w:val="22"/>
              </w:rPr>
              <w:t>n.p</w:t>
            </w:r>
            <w:proofErr w:type="spellEnd"/>
            <w:r w:rsidRPr="006220EA">
              <w:rPr>
                <w:rFonts w:asciiTheme="minorHAnsi" w:hAnsiTheme="minorHAnsi" w:cstheme="minorHAnsi"/>
                <w:szCs w:val="22"/>
              </w:rPr>
              <w:t>.</w:t>
            </w:r>
          </w:p>
        </w:tc>
        <w:tc>
          <w:tcPr>
            <w:tcW w:w="1205" w:type="dxa"/>
          </w:tcPr>
          <w:p w:rsidR="008E4A1C" w:rsidRPr="00CB173D" w:rsidRDefault="008E4A1C" w:rsidP="00987128">
            <w:pPr>
              <w:pStyle w:val="TableFigText"/>
              <w:jc w:val="right"/>
              <w:rPr>
                <w:rFonts w:asciiTheme="minorHAnsi" w:hAnsiTheme="minorHAnsi" w:cstheme="minorHAnsi"/>
                <w:szCs w:val="22"/>
              </w:rPr>
            </w:pPr>
            <w:proofErr w:type="spellStart"/>
            <w:r w:rsidRPr="006220EA">
              <w:rPr>
                <w:rFonts w:asciiTheme="minorHAnsi" w:hAnsiTheme="minorHAnsi" w:cstheme="minorHAnsi"/>
                <w:szCs w:val="22"/>
              </w:rPr>
              <w:t>n.p</w:t>
            </w:r>
            <w:proofErr w:type="spellEnd"/>
            <w:r w:rsidRPr="006220EA">
              <w:rPr>
                <w:rFonts w:asciiTheme="minorHAnsi" w:hAnsiTheme="minorHAnsi" w:cstheme="minorHAnsi"/>
                <w:szCs w:val="22"/>
              </w:rPr>
              <w:t>.</w:t>
            </w:r>
          </w:p>
        </w:tc>
        <w:tc>
          <w:tcPr>
            <w:tcW w:w="1014" w:type="dxa"/>
          </w:tcPr>
          <w:p w:rsidR="008E4A1C" w:rsidRPr="00CB173D" w:rsidRDefault="008E4A1C" w:rsidP="00987128">
            <w:pPr>
              <w:pStyle w:val="TableFigText"/>
              <w:jc w:val="right"/>
              <w:rPr>
                <w:rFonts w:asciiTheme="minorHAnsi" w:hAnsiTheme="minorHAnsi" w:cstheme="minorHAnsi"/>
                <w:szCs w:val="22"/>
              </w:rPr>
            </w:pPr>
            <w:proofErr w:type="spellStart"/>
            <w:r w:rsidRPr="006220EA">
              <w:rPr>
                <w:rFonts w:asciiTheme="minorHAnsi" w:hAnsiTheme="minorHAnsi" w:cstheme="minorHAnsi"/>
                <w:szCs w:val="22"/>
              </w:rPr>
              <w:t>n.p</w:t>
            </w:r>
            <w:proofErr w:type="spellEnd"/>
            <w:r w:rsidRPr="006220EA">
              <w:rPr>
                <w:rFonts w:asciiTheme="minorHAnsi" w:hAnsiTheme="minorHAnsi" w:cstheme="minorHAnsi"/>
                <w:szCs w:val="22"/>
              </w:rPr>
              <w:t>.</w:t>
            </w:r>
          </w:p>
        </w:tc>
        <w:tc>
          <w:tcPr>
            <w:tcW w:w="1020" w:type="dxa"/>
          </w:tcPr>
          <w:p w:rsidR="008E4A1C" w:rsidRPr="00CB173D" w:rsidRDefault="008E4A1C" w:rsidP="00987128">
            <w:pPr>
              <w:pStyle w:val="TableFigText"/>
              <w:jc w:val="right"/>
              <w:rPr>
                <w:rFonts w:asciiTheme="minorHAnsi" w:hAnsiTheme="minorHAnsi" w:cstheme="minorHAnsi"/>
                <w:szCs w:val="22"/>
              </w:rPr>
            </w:pPr>
            <w:proofErr w:type="spellStart"/>
            <w:r w:rsidRPr="006220EA">
              <w:rPr>
                <w:rFonts w:asciiTheme="minorHAnsi" w:hAnsiTheme="minorHAnsi" w:cstheme="minorHAnsi"/>
                <w:szCs w:val="22"/>
              </w:rPr>
              <w:t>n.p</w:t>
            </w:r>
            <w:proofErr w:type="spellEnd"/>
            <w:r w:rsidRPr="006220EA">
              <w:rPr>
                <w:rFonts w:asciiTheme="minorHAnsi" w:hAnsiTheme="minorHAnsi" w:cstheme="minorHAnsi"/>
                <w:szCs w:val="22"/>
              </w:rPr>
              <w:t>.</w:t>
            </w:r>
          </w:p>
        </w:tc>
        <w:tc>
          <w:tcPr>
            <w:tcW w:w="1331" w:type="dxa"/>
            <w:vAlign w:val="center"/>
          </w:tcPr>
          <w:p w:rsidR="008E4A1C" w:rsidRPr="001B1E83" w:rsidRDefault="008E4A1C" w:rsidP="00987128">
            <w:pPr>
              <w:pStyle w:val="TableFigText"/>
              <w:jc w:val="right"/>
              <w:rPr>
                <w:rFonts w:asciiTheme="minorHAnsi" w:hAnsiTheme="minorHAnsi" w:cstheme="minorHAnsi"/>
                <w:szCs w:val="22"/>
              </w:rPr>
            </w:pPr>
            <w:r w:rsidRPr="000F73BB">
              <w:rPr>
                <w:rFonts w:asciiTheme="minorHAnsi" w:hAnsiTheme="minorHAnsi" w:cstheme="minorHAnsi"/>
                <w:szCs w:val="22"/>
              </w:rPr>
              <w:t>24,478</w:t>
            </w:r>
          </w:p>
        </w:tc>
      </w:tr>
    </w:tbl>
    <w:p w:rsidR="008E4A1C" w:rsidRPr="00B47B1D" w:rsidRDefault="008E4A1C" w:rsidP="008E4A1C">
      <w:pPr>
        <w:pStyle w:val="TableFigNotesnumbered"/>
        <w:rPr>
          <w:rStyle w:val="table-note"/>
        </w:rPr>
      </w:pPr>
      <w:proofErr w:type="spellStart"/>
      <w:proofErr w:type="gramStart"/>
      <w:r w:rsidRPr="00B47B1D">
        <w:rPr>
          <w:rStyle w:val="table-note"/>
        </w:rPr>
        <w:t>n.p</w:t>
      </w:r>
      <w:proofErr w:type="spellEnd"/>
      <w:r w:rsidRPr="00B47B1D">
        <w:rPr>
          <w:rStyle w:val="table-note"/>
        </w:rPr>
        <w:t>.</w:t>
      </w:r>
      <w:proofErr w:type="gramEnd"/>
      <w:r w:rsidRPr="00B47B1D">
        <w:rPr>
          <w:rStyle w:val="table-note"/>
        </w:rPr>
        <w:t xml:space="preserve"> Not published.</w:t>
      </w:r>
    </w:p>
    <w:p w:rsidR="008E4A1C" w:rsidRPr="00B47B1D" w:rsidRDefault="008E4A1C" w:rsidP="00B47B1D">
      <w:pPr>
        <w:pStyle w:val="TableFigNotesnumbered"/>
        <w:numPr>
          <w:ilvl w:val="0"/>
          <w:numId w:val="113"/>
        </w:numPr>
        <w:rPr>
          <w:rStyle w:val="table-note"/>
        </w:rPr>
      </w:pPr>
      <w:r w:rsidRPr="00B47B1D">
        <w:rPr>
          <w:rStyle w:val="table-note"/>
        </w:rPr>
        <w:t xml:space="preserve">Hospital days, also known as accrued mental health care days for public hospital services, will not equal figures reported from the National hospital morbidity database due to scope differences between the two collections.  </w:t>
      </w:r>
    </w:p>
    <w:p w:rsidR="008E4A1C" w:rsidRPr="00B47B1D" w:rsidRDefault="008E4A1C" w:rsidP="00B47B1D">
      <w:pPr>
        <w:pStyle w:val="TableFigNotesnumbered"/>
        <w:numPr>
          <w:ilvl w:val="0"/>
          <w:numId w:val="113"/>
        </w:numPr>
        <w:rPr>
          <w:rStyle w:val="table-note"/>
        </w:rPr>
      </w:pPr>
      <w:r w:rsidRPr="00B47B1D">
        <w:rPr>
          <w:rStyle w:val="table-note"/>
        </w:rPr>
        <w:lastRenderedPageBreak/>
        <w:t xml:space="preserve">The Community mental health care contacts reported here are sourced from the National Community Mental Health Care Database and are not directly comparable with the results reported for other jurisdictions from the Mental Health Establishment database due to differing scope. </w:t>
      </w:r>
    </w:p>
    <w:p w:rsidR="008E4A1C" w:rsidRPr="00B47B1D" w:rsidRDefault="008E4A1C" w:rsidP="00B47B1D">
      <w:pPr>
        <w:pStyle w:val="TableFigNotesnumbered"/>
        <w:numPr>
          <w:ilvl w:val="0"/>
          <w:numId w:val="113"/>
        </w:numPr>
        <w:rPr>
          <w:rStyle w:val="table-note"/>
        </w:rPr>
      </w:pPr>
      <w:proofErr w:type="gramStart"/>
      <w:r w:rsidRPr="00B47B1D">
        <w:rPr>
          <w:rStyle w:val="table-note"/>
        </w:rPr>
        <w:t>Residential mental health care days comprises</w:t>
      </w:r>
      <w:proofErr w:type="gramEnd"/>
      <w:r w:rsidRPr="00B47B1D">
        <w:rPr>
          <w:rStyle w:val="table-note"/>
        </w:rPr>
        <w:t xml:space="preserve"> the number of care days provided by all services, including government and non-government operated services, and 24-hour and non-24-hour staffed services. Figures will not equate to those reported from the Residential mental health care database due to differing collection scopes.</w:t>
      </w:r>
    </w:p>
    <w:p w:rsidR="008E4A1C" w:rsidRPr="00B47B1D" w:rsidRDefault="008E4A1C" w:rsidP="008E4A1C">
      <w:pPr>
        <w:pStyle w:val="TableFigNotesnumbered"/>
        <w:ind w:left="0" w:firstLine="0"/>
        <w:rPr>
          <w:rStyle w:val="table-note"/>
        </w:rPr>
      </w:pPr>
      <w:r w:rsidRPr="00B47B1D">
        <w:rPr>
          <w:rStyle w:val="table-note"/>
        </w:rPr>
        <w:t>Sources: National Mental Health Establishments Database and National Community Mental Health Care Database.</w:t>
      </w:r>
    </w:p>
    <w:p w:rsidR="008E4A1C" w:rsidRDefault="008E4A1C" w:rsidP="008E4A1C">
      <w:pPr>
        <w:pStyle w:val="TableCaption"/>
        <w:rPr>
          <w:rFonts w:asciiTheme="minorHAnsi" w:hAnsiTheme="minorHAnsi" w:cstheme="minorHAnsi"/>
        </w:rPr>
      </w:pPr>
    </w:p>
    <w:p w:rsidR="008E4A1C" w:rsidRPr="008A3F74" w:rsidRDefault="008A3F74" w:rsidP="008E4A1C">
      <w:pPr>
        <w:pStyle w:val="TableCaption"/>
        <w:rPr>
          <w:rStyle w:val="table-note"/>
        </w:rPr>
      </w:pPr>
      <w:r w:rsidRPr="008A3F74">
        <w:rPr>
          <w:rStyle w:val="table-note"/>
        </w:rPr>
        <w:t xml:space="preserve">Table 81: </w:t>
      </w:r>
      <w:r w:rsidR="008E4A1C" w:rsidRPr="008A3F74">
        <w:rPr>
          <w:rStyle w:val="table-note"/>
        </w:rPr>
        <w:t xml:space="preserve">ACT: State and territory specialised mental health service activity, by service type, </w:t>
      </w:r>
      <w:r w:rsidR="00591D14">
        <w:rPr>
          <w:rStyle w:val="table-note"/>
        </w:rPr>
        <w:br/>
      </w:r>
      <w:r w:rsidR="008E4A1C" w:rsidRPr="008A3F74">
        <w:rPr>
          <w:rStyle w:val="table-note"/>
        </w:rPr>
        <w:t>2011–12</w:t>
      </w:r>
    </w:p>
    <w:tbl>
      <w:tblPr>
        <w:tblStyle w:val="TableGrid"/>
        <w:tblW w:w="0" w:type="auto"/>
        <w:tblLook w:val="04A0" w:firstRow="1" w:lastRow="0" w:firstColumn="1" w:lastColumn="0" w:noHBand="0" w:noVBand="1"/>
        <w:tblCaption w:val="ACT: State and territory specialised mental health service activity, by service type, 2011–12"/>
        <w:tblDescription w:val="Table showing that, in 2011-2012, in the ACT there were 259,346 community mental health care contacts 27,490 residential mental health care days and 23,163 hospital days."/>
      </w:tblPr>
      <w:tblGrid>
        <w:gridCol w:w="2391"/>
        <w:gridCol w:w="1049"/>
        <w:gridCol w:w="1384"/>
        <w:gridCol w:w="1255"/>
        <w:gridCol w:w="1049"/>
        <w:gridCol w:w="1096"/>
        <w:gridCol w:w="1062"/>
      </w:tblGrid>
      <w:tr w:rsidR="008E4A1C" w:rsidRPr="001B1E83" w:rsidTr="000C3DEA">
        <w:trPr>
          <w:tblHeader/>
        </w:trPr>
        <w:tc>
          <w:tcPr>
            <w:tcW w:w="2391" w:type="dxa"/>
          </w:tcPr>
          <w:p w:rsidR="008E4A1C" w:rsidRPr="001B1E83" w:rsidRDefault="008E4A1C" w:rsidP="00987128">
            <w:pPr>
              <w:pStyle w:val="TableFigText"/>
              <w:rPr>
                <w:rFonts w:asciiTheme="minorHAnsi" w:hAnsiTheme="minorHAnsi" w:cstheme="minorHAnsi"/>
                <w:szCs w:val="22"/>
              </w:rPr>
            </w:pPr>
          </w:p>
        </w:tc>
        <w:tc>
          <w:tcPr>
            <w:tcW w:w="1049" w:type="dxa"/>
          </w:tcPr>
          <w:p w:rsidR="008E4A1C" w:rsidRPr="001B1E83" w:rsidRDefault="008E4A1C" w:rsidP="00987128">
            <w:pPr>
              <w:pStyle w:val="TableFigText"/>
              <w:jc w:val="right"/>
              <w:rPr>
                <w:rFonts w:asciiTheme="minorHAnsi" w:hAnsiTheme="minorHAnsi" w:cstheme="minorHAnsi"/>
                <w:b/>
                <w:szCs w:val="22"/>
              </w:rPr>
            </w:pPr>
            <w:r w:rsidRPr="001B1E83">
              <w:rPr>
                <w:rFonts w:asciiTheme="minorHAnsi" w:hAnsiTheme="minorHAnsi" w:cstheme="minorHAnsi"/>
                <w:b/>
                <w:szCs w:val="22"/>
              </w:rPr>
              <w:t>Major cities</w:t>
            </w:r>
          </w:p>
        </w:tc>
        <w:tc>
          <w:tcPr>
            <w:tcW w:w="1384" w:type="dxa"/>
          </w:tcPr>
          <w:p w:rsidR="008E4A1C" w:rsidRPr="001B1E83" w:rsidRDefault="008E4A1C" w:rsidP="00987128">
            <w:pPr>
              <w:pStyle w:val="TableFigText"/>
              <w:jc w:val="right"/>
              <w:rPr>
                <w:rFonts w:asciiTheme="minorHAnsi" w:hAnsiTheme="minorHAnsi" w:cstheme="minorHAnsi"/>
                <w:b/>
                <w:szCs w:val="22"/>
              </w:rPr>
            </w:pPr>
            <w:r w:rsidRPr="001B1E83">
              <w:rPr>
                <w:rFonts w:asciiTheme="minorHAnsi" w:hAnsiTheme="minorHAnsi" w:cstheme="minorHAnsi"/>
                <w:b/>
                <w:szCs w:val="22"/>
              </w:rPr>
              <w:t>Inner regional</w:t>
            </w:r>
          </w:p>
        </w:tc>
        <w:tc>
          <w:tcPr>
            <w:tcW w:w="1255" w:type="dxa"/>
          </w:tcPr>
          <w:p w:rsidR="008E4A1C" w:rsidRPr="001B1E83" w:rsidRDefault="008E4A1C" w:rsidP="00987128">
            <w:pPr>
              <w:pStyle w:val="TableFigText"/>
              <w:jc w:val="right"/>
              <w:rPr>
                <w:rFonts w:asciiTheme="minorHAnsi" w:hAnsiTheme="minorHAnsi" w:cstheme="minorHAnsi"/>
                <w:b/>
                <w:szCs w:val="22"/>
              </w:rPr>
            </w:pPr>
            <w:r w:rsidRPr="001B1E83">
              <w:rPr>
                <w:rFonts w:asciiTheme="minorHAnsi" w:hAnsiTheme="minorHAnsi" w:cstheme="minorHAnsi"/>
                <w:b/>
                <w:szCs w:val="22"/>
              </w:rPr>
              <w:t>Outer regional</w:t>
            </w:r>
          </w:p>
        </w:tc>
        <w:tc>
          <w:tcPr>
            <w:tcW w:w="1049" w:type="dxa"/>
          </w:tcPr>
          <w:p w:rsidR="008E4A1C" w:rsidRPr="001B1E83" w:rsidRDefault="008E4A1C" w:rsidP="00987128">
            <w:pPr>
              <w:pStyle w:val="TableFigText"/>
              <w:jc w:val="right"/>
              <w:rPr>
                <w:rFonts w:asciiTheme="minorHAnsi" w:hAnsiTheme="minorHAnsi" w:cstheme="minorHAnsi"/>
                <w:b/>
                <w:szCs w:val="22"/>
              </w:rPr>
            </w:pPr>
            <w:r w:rsidRPr="001B1E83">
              <w:rPr>
                <w:rFonts w:asciiTheme="minorHAnsi" w:hAnsiTheme="minorHAnsi" w:cstheme="minorHAnsi"/>
                <w:b/>
                <w:szCs w:val="22"/>
              </w:rPr>
              <w:t>Remote</w:t>
            </w:r>
          </w:p>
        </w:tc>
        <w:tc>
          <w:tcPr>
            <w:tcW w:w="1096" w:type="dxa"/>
          </w:tcPr>
          <w:p w:rsidR="008E4A1C" w:rsidRPr="001B1E83" w:rsidRDefault="008E4A1C" w:rsidP="00987128">
            <w:pPr>
              <w:pStyle w:val="TableFigText"/>
              <w:jc w:val="right"/>
              <w:rPr>
                <w:rFonts w:asciiTheme="minorHAnsi" w:hAnsiTheme="minorHAnsi" w:cstheme="minorHAnsi"/>
                <w:b/>
                <w:szCs w:val="22"/>
              </w:rPr>
            </w:pPr>
            <w:r w:rsidRPr="001B1E83">
              <w:rPr>
                <w:rFonts w:asciiTheme="minorHAnsi" w:hAnsiTheme="minorHAnsi" w:cstheme="minorHAnsi"/>
                <w:b/>
                <w:szCs w:val="22"/>
              </w:rPr>
              <w:t>Very remote</w:t>
            </w:r>
          </w:p>
        </w:tc>
        <w:tc>
          <w:tcPr>
            <w:tcW w:w="1062" w:type="dxa"/>
          </w:tcPr>
          <w:p w:rsidR="008E4A1C" w:rsidRPr="001B1E83" w:rsidRDefault="008E4A1C" w:rsidP="00987128">
            <w:pPr>
              <w:pStyle w:val="TableFigText"/>
              <w:jc w:val="right"/>
              <w:rPr>
                <w:rFonts w:asciiTheme="minorHAnsi" w:hAnsiTheme="minorHAnsi" w:cstheme="minorHAnsi"/>
                <w:b/>
                <w:szCs w:val="22"/>
              </w:rPr>
            </w:pPr>
            <w:r w:rsidRPr="001B1E83">
              <w:rPr>
                <w:rFonts w:asciiTheme="minorHAnsi" w:hAnsiTheme="minorHAnsi" w:cstheme="minorHAnsi"/>
                <w:b/>
                <w:szCs w:val="22"/>
              </w:rPr>
              <w:t>Total</w:t>
            </w:r>
          </w:p>
        </w:tc>
      </w:tr>
      <w:tr w:rsidR="008E4A1C" w:rsidRPr="001B1E83" w:rsidTr="00987128">
        <w:tc>
          <w:tcPr>
            <w:tcW w:w="2391" w:type="dxa"/>
          </w:tcPr>
          <w:p w:rsidR="008E4A1C" w:rsidRPr="001B1E83" w:rsidRDefault="008E4A1C" w:rsidP="00987128">
            <w:pPr>
              <w:pStyle w:val="TableFigText"/>
              <w:rPr>
                <w:rFonts w:asciiTheme="minorHAnsi" w:hAnsiTheme="minorHAnsi" w:cstheme="minorHAnsi"/>
                <w:szCs w:val="22"/>
              </w:rPr>
            </w:pPr>
            <w:r w:rsidRPr="001B1E83">
              <w:rPr>
                <w:rFonts w:asciiTheme="minorHAnsi" w:hAnsiTheme="minorHAnsi" w:cstheme="minorHAnsi"/>
                <w:szCs w:val="22"/>
              </w:rPr>
              <w:t>Hospital days</w:t>
            </w:r>
            <w:r w:rsidRPr="001B1E83">
              <w:rPr>
                <w:rFonts w:asciiTheme="minorHAnsi" w:hAnsiTheme="minorHAnsi" w:cstheme="minorHAnsi"/>
                <w:szCs w:val="22"/>
                <w:vertAlign w:val="superscript"/>
              </w:rPr>
              <w:t>(a)</w:t>
            </w:r>
          </w:p>
        </w:tc>
        <w:tc>
          <w:tcPr>
            <w:tcW w:w="1049" w:type="dxa"/>
          </w:tcPr>
          <w:p w:rsidR="008E4A1C" w:rsidRPr="00292FEB" w:rsidRDefault="008E4A1C" w:rsidP="00987128">
            <w:pPr>
              <w:pStyle w:val="TableFigText"/>
              <w:jc w:val="right"/>
              <w:rPr>
                <w:rFonts w:asciiTheme="minorHAnsi" w:hAnsiTheme="minorHAnsi" w:cstheme="minorHAnsi"/>
                <w:szCs w:val="22"/>
              </w:rPr>
            </w:pPr>
            <w:proofErr w:type="spellStart"/>
            <w:r w:rsidRPr="009B4EE7">
              <w:rPr>
                <w:rFonts w:asciiTheme="minorHAnsi" w:hAnsiTheme="minorHAnsi" w:cstheme="minorHAnsi"/>
                <w:szCs w:val="22"/>
              </w:rPr>
              <w:t>n.p</w:t>
            </w:r>
            <w:proofErr w:type="spellEnd"/>
            <w:r w:rsidRPr="009B4EE7">
              <w:rPr>
                <w:rFonts w:asciiTheme="minorHAnsi" w:hAnsiTheme="minorHAnsi" w:cstheme="minorHAnsi"/>
                <w:szCs w:val="22"/>
              </w:rPr>
              <w:t>.</w:t>
            </w:r>
          </w:p>
        </w:tc>
        <w:tc>
          <w:tcPr>
            <w:tcW w:w="1384" w:type="dxa"/>
          </w:tcPr>
          <w:p w:rsidR="008E4A1C" w:rsidRPr="00292FEB" w:rsidRDefault="008E4A1C" w:rsidP="00987128">
            <w:pPr>
              <w:pStyle w:val="TableFigText"/>
              <w:jc w:val="right"/>
              <w:rPr>
                <w:rFonts w:asciiTheme="minorHAnsi" w:hAnsiTheme="minorHAnsi" w:cstheme="minorHAnsi"/>
                <w:szCs w:val="22"/>
              </w:rPr>
            </w:pPr>
            <w:proofErr w:type="spellStart"/>
            <w:r w:rsidRPr="009B4EE7">
              <w:rPr>
                <w:rFonts w:asciiTheme="minorHAnsi" w:hAnsiTheme="minorHAnsi" w:cstheme="minorHAnsi"/>
                <w:szCs w:val="22"/>
              </w:rPr>
              <w:t>n.p</w:t>
            </w:r>
            <w:proofErr w:type="spellEnd"/>
            <w:r w:rsidRPr="009B4EE7">
              <w:rPr>
                <w:rFonts w:asciiTheme="minorHAnsi" w:hAnsiTheme="minorHAnsi" w:cstheme="minorHAnsi"/>
                <w:szCs w:val="22"/>
              </w:rPr>
              <w:t>.</w:t>
            </w:r>
          </w:p>
        </w:tc>
        <w:tc>
          <w:tcPr>
            <w:tcW w:w="1255" w:type="dxa"/>
          </w:tcPr>
          <w:p w:rsidR="008E4A1C" w:rsidRPr="00292FEB" w:rsidRDefault="008E4A1C" w:rsidP="00987128">
            <w:pPr>
              <w:pStyle w:val="TableFigText"/>
              <w:jc w:val="right"/>
              <w:rPr>
                <w:rFonts w:asciiTheme="minorHAnsi" w:hAnsiTheme="minorHAnsi" w:cstheme="minorHAnsi"/>
                <w:szCs w:val="22"/>
              </w:rPr>
            </w:pPr>
            <w:proofErr w:type="spellStart"/>
            <w:r w:rsidRPr="009B4EE7">
              <w:rPr>
                <w:rFonts w:asciiTheme="minorHAnsi" w:hAnsiTheme="minorHAnsi" w:cstheme="minorHAnsi"/>
                <w:szCs w:val="22"/>
              </w:rPr>
              <w:t>n.p</w:t>
            </w:r>
            <w:proofErr w:type="spellEnd"/>
            <w:r w:rsidRPr="009B4EE7">
              <w:rPr>
                <w:rFonts w:asciiTheme="minorHAnsi" w:hAnsiTheme="minorHAnsi" w:cstheme="minorHAnsi"/>
                <w:szCs w:val="22"/>
              </w:rPr>
              <w:t>.</w:t>
            </w:r>
          </w:p>
        </w:tc>
        <w:tc>
          <w:tcPr>
            <w:tcW w:w="1049" w:type="dxa"/>
          </w:tcPr>
          <w:p w:rsidR="008E4A1C" w:rsidRPr="00292FEB" w:rsidRDefault="008E4A1C" w:rsidP="00987128">
            <w:pPr>
              <w:pStyle w:val="TableFigText"/>
              <w:jc w:val="right"/>
              <w:rPr>
                <w:rFonts w:asciiTheme="minorHAnsi" w:hAnsiTheme="minorHAnsi" w:cstheme="minorHAnsi"/>
                <w:szCs w:val="22"/>
              </w:rPr>
            </w:pPr>
            <w:proofErr w:type="spellStart"/>
            <w:r w:rsidRPr="009B4EE7">
              <w:rPr>
                <w:rFonts w:asciiTheme="minorHAnsi" w:hAnsiTheme="minorHAnsi" w:cstheme="minorHAnsi"/>
                <w:szCs w:val="22"/>
              </w:rPr>
              <w:t>n.p</w:t>
            </w:r>
            <w:proofErr w:type="spellEnd"/>
            <w:r w:rsidRPr="009B4EE7">
              <w:rPr>
                <w:rFonts w:asciiTheme="minorHAnsi" w:hAnsiTheme="minorHAnsi" w:cstheme="minorHAnsi"/>
                <w:szCs w:val="22"/>
              </w:rPr>
              <w:t>.</w:t>
            </w:r>
          </w:p>
        </w:tc>
        <w:tc>
          <w:tcPr>
            <w:tcW w:w="1096" w:type="dxa"/>
          </w:tcPr>
          <w:p w:rsidR="008E4A1C" w:rsidRPr="00292FEB" w:rsidRDefault="008E4A1C" w:rsidP="00987128">
            <w:pPr>
              <w:pStyle w:val="TableFigText"/>
              <w:jc w:val="right"/>
              <w:rPr>
                <w:rFonts w:asciiTheme="minorHAnsi" w:hAnsiTheme="minorHAnsi" w:cstheme="minorHAnsi"/>
                <w:szCs w:val="22"/>
              </w:rPr>
            </w:pPr>
            <w:proofErr w:type="spellStart"/>
            <w:r w:rsidRPr="009B4EE7">
              <w:rPr>
                <w:rFonts w:asciiTheme="minorHAnsi" w:hAnsiTheme="minorHAnsi" w:cstheme="minorHAnsi"/>
                <w:szCs w:val="22"/>
              </w:rPr>
              <w:t>n.p</w:t>
            </w:r>
            <w:proofErr w:type="spellEnd"/>
            <w:r w:rsidRPr="009B4EE7">
              <w:rPr>
                <w:rFonts w:asciiTheme="minorHAnsi" w:hAnsiTheme="minorHAnsi" w:cstheme="minorHAnsi"/>
                <w:szCs w:val="22"/>
              </w:rPr>
              <w:t>.</w:t>
            </w:r>
          </w:p>
        </w:tc>
        <w:tc>
          <w:tcPr>
            <w:tcW w:w="1062" w:type="dxa"/>
            <w:vAlign w:val="bottom"/>
          </w:tcPr>
          <w:p w:rsidR="008E4A1C" w:rsidRPr="001B1E83" w:rsidRDefault="008E4A1C" w:rsidP="00987128">
            <w:pPr>
              <w:pStyle w:val="TableFigText"/>
              <w:jc w:val="right"/>
              <w:rPr>
                <w:rFonts w:asciiTheme="minorHAnsi" w:hAnsiTheme="minorHAnsi" w:cstheme="minorHAnsi"/>
                <w:szCs w:val="22"/>
              </w:rPr>
            </w:pPr>
            <w:r w:rsidRPr="00392ECF">
              <w:rPr>
                <w:rFonts w:asciiTheme="minorHAnsi" w:hAnsiTheme="minorHAnsi" w:cstheme="minorHAnsi"/>
                <w:szCs w:val="22"/>
              </w:rPr>
              <w:t>23,163</w:t>
            </w:r>
          </w:p>
        </w:tc>
      </w:tr>
      <w:tr w:rsidR="008E4A1C" w:rsidRPr="001B1E83" w:rsidTr="00987128">
        <w:tc>
          <w:tcPr>
            <w:tcW w:w="2391" w:type="dxa"/>
          </w:tcPr>
          <w:p w:rsidR="008E4A1C" w:rsidRPr="001B1E83" w:rsidRDefault="008E4A1C" w:rsidP="00987128">
            <w:pPr>
              <w:pStyle w:val="TableFigText"/>
              <w:rPr>
                <w:rFonts w:asciiTheme="minorHAnsi" w:hAnsiTheme="minorHAnsi" w:cstheme="minorHAnsi"/>
                <w:szCs w:val="22"/>
              </w:rPr>
            </w:pPr>
            <w:r w:rsidRPr="001B1E83">
              <w:rPr>
                <w:rFonts w:asciiTheme="minorHAnsi" w:hAnsiTheme="minorHAnsi" w:cstheme="minorHAnsi"/>
                <w:szCs w:val="22"/>
              </w:rPr>
              <w:t>Community mental health care contacts</w:t>
            </w:r>
            <w:r w:rsidRPr="001B1E83">
              <w:rPr>
                <w:rFonts w:asciiTheme="minorHAnsi" w:hAnsiTheme="minorHAnsi" w:cstheme="minorHAnsi"/>
                <w:szCs w:val="22"/>
                <w:vertAlign w:val="superscript"/>
              </w:rPr>
              <w:t>(b)</w:t>
            </w:r>
            <w:r w:rsidRPr="001B1E83">
              <w:rPr>
                <w:rFonts w:asciiTheme="minorHAnsi" w:hAnsiTheme="minorHAnsi" w:cstheme="minorHAnsi"/>
                <w:szCs w:val="22"/>
              </w:rPr>
              <w:t xml:space="preserve"> </w:t>
            </w:r>
          </w:p>
        </w:tc>
        <w:tc>
          <w:tcPr>
            <w:tcW w:w="1049" w:type="dxa"/>
          </w:tcPr>
          <w:p w:rsidR="008E4A1C" w:rsidRPr="00292FEB" w:rsidRDefault="008E4A1C" w:rsidP="00987128">
            <w:pPr>
              <w:pStyle w:val="TableFigText"/>
              <w:jc w:val="right"/>
              <w:rPr>
                <w:rFonts w:asciiTheme="minorHAnsi" w:hAnsiTheme="minorHAnsi" w:cstheme="minorHAnsi"/>
                <w:szCs w:val="22"/>
              </w:rPr>
            </w:pPr>
            <w:proofErr w:type="spellStart"/>
            <w:r w:rsidRPr="009B4EE7">
              <w:rPr>
                <w:rFonts w:asciiTheme="minorHAnsi" w:hAnsiTheme="minorHAnsi" w:cstheme="minorHAnsi"/>
                <w:szCs w:val="22"/>
              </w:rPr>
              <w:t>n.p</w:t>
            </w:r>
            <w:proofErr w:type="spellEnd"/>
            <w:r w:rsidRPr="009B4EE7">
              <w:rPr>
                <w:rFonts w:asciiTheme="minorHAnsi" w:hAnsiTheme="minorHAnsi" w:cstheme="minorHAnsi"/>
                <w:szCs w:val="22"/>
              </w:rPr>
              <w:t>.</w:t>
            </w:r>
          </w:p>
        </w:tc>
        <w:tc>
          <w:tcPr>
            <w:tcW w:w="1384" w:type="dxa"/>
          </w:tcPr>
          <w:p w:rsidR="008E4A1C" w:rsidRPr="00292FEB" w:rsidRDefault="008E4A1C" w:rsidP="00987128">
            <w:pPr>
              <w:pStyle w:val="TableFigText"/>
              <w:jc w:val="right"/>
              <w:rPr>
                <w:rFonts w:asciiTheme="minorHAnsi" w:hAnsiTheme="minorHAnsi" w:cstheme="minorHAnsi"/>
                <w:szCs w:val="22"/>
              </w:rPr>
            </w:pPr>
            <w:proofErr w:type="spellStart"/>
            <w:r w:rsidRPr="009B4EE7">
              <w:rPr>
                <w:rFonts w:asciiTheme="minorHAnsi" w:hAnsiTheme="minorHAnsi" w:cstheme="minorHAnsi"/>
                <w:szCs w:val="22"/>
              </w:rPr>
              <w:t>n.p</w:t>
            </w:r>
            <w:proofErr w:type="spellEnd"/>
            <w:r w:rsidRPr="009B4EE7">
              <w:rPr>
                <w:rFonts w:asciiTheme="minorHAnsi" w:hAnsiTheme="minorHAnsi" w:cstheme="minorHAnsi"/>
                <w:szCs w:val="22"/>
              </w:rPr>
              <w:t>.</w:t>
            </w:r>
          </w:p>
        </w:tc>
        <w:tc>
          <w:tcPr>
            <w:tcW w:w="1255" w:type="dxa"/>
          </w:tcPr>
          <w:p w:rsidR="008E4A1C" w:rsidRPr="00292FEB" w:rsidRDefault="008E4A1C" w:rsidP="00987128">
            <w:pPr>
              <w:pStyle w:val="TableFigText"/>
              <w:jc w:val="right"/>
              <w:rPr>
                <w:rFonts w:asciiTheme="minorHAnsi" w:hAnsiTheme="minorHAnsi" w:cstheme="minorHAnsi"/>
                <w:szCs w:val="22"/>
              </w:rPr>
            </w:pPr>
            <w:proofErr w:type="spellStart"/>
            <w:r w:rsidRPr="009B4EE7">
              <w:rPr>
                <w:rFonts w:asciiTheme="minorHAnsi" w:hAnsiTheme="minorHAnsi" w:cstheme="minorHAnsi"/>
                <w:szCs w:val="22"/>
              </w:rPr>
              <w:t>n.p</w:t>
            </w:r>
            <w:proofErr w:type="spellEnd"/>
            <w:r w:rsidRPr="009B4EE7">
              <w:rPr>
                <w:rFonts w:asciiTheme="minorHAnsi" w:hAnsiTheme="minorHAnsi" w:cstheme="minorHAnsi"/>
                <w:szCs w:val="22"/>
              </w:rPr>
              <w:t>.</w:t>
            </w:r>
          </w:p>
        </w:tc>
        <w:tc>
          <w:tcPr>
            <w:tcW w:w="1049" w:type="dxa"/>
          </w:tcPr>
          <w:p w:rsidR="008E4A1C" w:rsidRPr="00292FEB" w:rsidRDefault="008E4A1C" w:rsidP="00987128">
            <w:pPr>
              <w:pStyle w:val="TableFigText"/>
              <w:jc w:val="right"/>
              <w:rPr>
                <w:rFonts w:asciiTheme="minorHAnsi" w:hAnsiTheme="minorHAnsi" w:cstheme="minorHAnsi"/>
                <w:szCs w:val="22"/>
              </w:rPr>
            </w:pPr>
            <w:proofErr w:type="spellStart"/>
            <w:r w:rsidRPr="009B4EE7">
              <w:rPr>
                <w:rFonts w:asciiTheme="minorHAnsi" w:hAnsiTheme="minorHAnsi" w:cstheme="minorHAnsi"/>
                <w:szCs w:val="22"/>
              </w:rPr>
              <w:t>n.p</w:t>
            </w:r>
            <w:proofErr w:type="spellEnd"/>
            <w:r w:rsidRPr="009B4EE7">
              <w:rPr>
                <w:rFonts w:asciiTheme="minorHAnsi" w:hAnsiTheme="minorHAnsi" w:cstheme="minorHAnsi"/>
                <w:szCs w:val="22"/>
              </w:rPr>
              <w:t>.</w:t>
            </w:r>
          </w:p>
        </w:tc>
        <w:tc>
          <w:tcPr>
            <w:tcW w:w="1096" w:type="dxa"/>
          </w:tcPr>
          <w:p w:rsidR="008E4A1C" w:rsidRPr="00292FEB" w:rsidRDefault="008E4A1C" w:rsidP="00987128">
            <w:pPr>
              <w:pStyle w:val="TableFigText"/>
              <w:jc w:val="right"/>
              <w:rPr>
                <w:rFonts w:asciiTheme="minorHAnsi" w:hAnsiTheme="minorHAnsi" w:cstheme="minorHAnsi"/>
                <w:szCs w:val="22"/>
              </w:rPr>
            </w:pPr>
            <w:proofErr w:type="spellStart"/>
            <w:r w:rsidRPr="009B4EE7">
              <w:rPr>
                <w:rFonts w:asciiTheme="minorHAnsi" w:hAnsiTheme="minorHAnsi" w:cstheme="minorHAnsi"/>
                <w:szCs w:val="22"/>
              </w:rPr>
              <w:t>n.p</w:t>
            </w:r>
            <w:proofErr w:type="spellEnd"/>
            <w:r w:rsidRPr="009B4EE7">
              <w:rPr>
                <w:rFonts w:asciiTheme="minorHAnsi" w:hAnsiTheme="minorHAnsi" w:cstheme="minorHAnsi"/>
                <w:szCs w:val="22"/>
              </w:rPr>
              <w:t>.</w:t>
            </w:r>
          </w:p>
        </w:tc>
        <w:tc>
          <w:tcPr>
            <w:tcW w:w="1062" w:type="dxa"/>
            <w:vAlign w:val="bottom"/>
          </w:tcPr>
          <w:p w:rsidR="008E4A1C" w:rsidRPr="001B1E83" w:rsidRDefault="008E4A1C" w:rsidP="00987128">
            <w:pPr>
              <w:pStyle w:val="TableFigText"/>
              <w:jc w:val="right"/>
              <w:rPr>
                <w:rFonts w:asciiTheme="minorHAnsi" w:hAnsiTheme="minorHAnsi" w:cstheme="minorHAnsi"/>
                <w:szCs w:val="22"/>
              </w:rPr>
            </w:pPr>
            <w:r w:rsidRPr="005677BA">
              <w:rPr>
                <w:rFonts w:asciiTheme="minorHAnsi" w:hAnsiTheme="minorHAnsi" w:cstheme="minorHAnsi"/>
                <w:szCs w:val="22"/>
              </w:rPr>
              <w:t>259,346</w:t>
            </w:r>
          </w:p>
        </w:tc>
      </w:tr>
      <w:tr w:rsidR="008E4A1C" w:rsidRPr="001B1E83" w:rsidTr="00987128">
        <w:tc>
          <w:tcPr>
            <w:tcW w:w="2391" w:type="dxa"/>
          </w:tcPr>
          <w:p w:rsidR="008E4A1C" w:rsidRPr="001B1E83" w:rsidRDefault="008E4A1C" w:rsidP="00987128">
            <w:pPr>
              <w:pStyle w:val="TableFigText"/>
              <w:rPr>
                <w:rFonts w:asciiTheme="minorHAnsi" w:hAnsiTheme="minorHAnsi" w:cstheme="minorHAnsi"/>
                <w:szCs w:val="22"/>
              </w:rPr>
            </w:pPr>
            <w:r w:rsidRPr="001B1E83">
              <w:rPr>
                <w:rFonts w:asciiTheme="minorHAnsi" w:hAnsiTheme="minorHAnsi" w:cstheme="minorHAnsi"/>
                <w:szCs w:val="22"/>
              </w:rPr>
              <w:t>Residential mental health care days</w:t>
            </w:r>
            <w:r w:rsidRPr="001B1E83">
              <w:rPr>
                <w:rFonts w:asciiTheme="minorHAnsi" w:hAnsiTheme="minorHAnsi" w:cstheme="minorHAnsi"/>
                <w:szCs w:val="22"/>
                <w:vertAlign w:val="superscript"/>
              </w:rPr>
              <w:t>(c)</w:t>
            </w:r>
          </w:p>
        </w:tc>
        <w:tc>
          <w:tcPr>
            <w:tcW w:w="1049" w:type="dxa"/>
          </w:tcPr>
          <w:p w:rsidR="008E4A1C" w:rsidRPr="00292FEB" w:rsidRDefault="008E4A1C" w:rsidP="00987128">
            <w:pPr>
              <w:pStyle w:val="TableFigText"/>
              <w:jc w:val="right"/>
              <w:rPr>
                <w:rFonts w:asciiTheme="minorHAnsi" w:hAnsiTheme="minorHAnsi" w:cstheme="minorHAnsi"/>
                <w:szCs w:val="22"/>
              </w:rPr>
            </w:pPr>
            <w:proofErr w:type="spellStart"/>
            <w:r w:rsidRPr="009B4EE7">
              <w:rPr>
                <w:rFonts w:asciiTheme="minorHAnsi" w:hAnsiTheme="minorHAnsi" w:cstheme="minorHAnsi"/>
                <w:szCs w:val="22"/>
              </w:rPr>
              <w:t>n.p</w:t>
            </w:r>
            <w:proofErr w:type="spellEnd"/>
            <w:r w:rsidRPr="009B4EE7">
              <w:rPr>
                <w:rFonts w:asciiTheme="minorHAnsi" w:hAnsiTheme="minorHAnsi" w:cstheme="minorHAnsi"/>
                <w:szCs w:val="22"/>
              </w:rPr>
              <w:t>.</w:t>
            </w:r>
          </w:p>
        </w:tc>
        <w:tc>
          <w:tcPr>
            <w:tcW w:w="1384" w:type="dxa"/>
          </w:tcPr>
          <w:p w:rsidR="008E4A1C" w:rsidRPr="00292FEB" w:rsidRDefault="008E4A1C" w:rsidP="00987128">
            <w:pPr>
              <w:pStyle w:val="TableFigText"/>
              <w:jc w:val="right"/>
              <w:rPr>
                <w:rFonts w:asciiTheme="minorHAnsi" w:hAnsiTheme="minorHAnsi" w:cstheme="minorHAnsi"/>
                <w:szCs w:val="22"/>
              </w:rPr>
            </w:pPr>
            <w:proofErr w:type="spellStart"/>
            <w:r w:rsidRPr="009B4EE7">
              <w:rPr>
                <w:rFonts w:asciiTheme="minorHAnsi" w:hAnsiTheme="minorHAnsi" w:cstheme="minorHAnsi"/>
                <w:szCs w:val="22"/>
              </w:rPr>
              <w:t>n.p</w:t>
            </w:r>
            <w:proofErr w:type="spellEnd"/>
            <w:r w:rsidRPr="009B4EE7">
              <w:rPr>
                <w:rFonts w:asciiTheme="minorHAnsi" w:hAnsiTheme="minorHAnsi" w:cstheme="minorHAnsi"/>
                <w:szCs w:val="22"/>
              </w:rPr>
              <w:t>.</w:t>
            </w:r>
          </w:p>
        </w:tc>
        <w:tc>
          <w:tcPr>
            <w:tcW w:w="1255" w:type="dxa"/>
          </w:tcPr>
          <w:p w:rsidR="008E4A1C" w:rsidRPr="00292FEB" w:rsidRDefault="008E4A1C" w:rsidP="00987128">
            <w:pPr>
              <w:pStyle w:val="TableFigText"/>
              <w:jc w:val="right"/>
              <w:rPr>
                <w:rFonts w:asciiTheme="minorHAnsi" w:hAnsiTheme="minorHAnsi" w:cstheme="minorHAnsi"/>
                <w:szCs w:val="22"/>
              </w:rPr>
            </w:pPr>
            <w:proofErr w:type="spellStart"/>
            <w:r w:rsidRPr="009B4EE7">
              <w:rPr>
                <w:rFonts w:asciiTheme="minorHAnsi" w:hAnsiTheme="minorHAnsi" w:cstheme="minorHAnsi"/>
                <w:szCs w:val="22"/>
              </w:rPr>
              <w:t>n.p</w:t>
            </w:r>
            <w:proofErr w:type="spellEnd"/>
            <w:r w:rsidRPr="009B4EE7">
              <w:rPr>
                <w:rFonts w:asciiTheme="minorHAnsi" w:hAnsiTheme="minorHAnsi" w:cstheme="minorHAnsi"/>
                <w:szCs w:val="22"/>
              </w:rPr>
              <w:t>.</w:t>
            </w:r>
          </w:p>
        </w:tc>
        <w:tc>
          <w:tcPr>
            <w:tcW w:w="1049" w:type="dxa"/>
          </w:tcPr>
          <w:p w:rsidR="008E4A1C" w:rsidRPr="00292FEB" w:rsidRDefault="008E4A1C" w:rsidP="00987128">
            <w:pPr>
              <w:pStyle w:val="TableFigText"/>
              <w:jc w:val="right"/>
              <w:rPr>
                <w:rFonts w:asciiTheme="minorHAnsi" w:hAnsiTheme="minorHAnsi" w:cstheme="minorHAnsi"/>
                <w:szCs w:val="22"/>
              </w:rPr>
            </w:pPr>
            <w:proofErr w:type="spellStart"/>
            <w:r w:rsidRPr="009B4EE7">
              <w:rPr>
                <w:rFonts w:asciiTheme="minorHAnsi" w:hAnsiTheme="minorHAnsi" w:cstheme="minorHAnsi"/>
                <w:szCs w:val="22"/>
              </w:rPr>
              <w:t>n.p</w:t>
            </w:r>
            <w:proofErr w:type="spellEnd"/>
            <w:r w:rsidRPr="009B4EE7">
              <w:rPr>
                <w:rFonts w:asciiTheme="minorHAnsi" w:hAnsiTheme="minorHAnsi" w:cstheme="minorHAnsi"/>
                <w:szCs w:val="22"/>
              </w:rPr>
              <w:t>.</w:t>
            </w:r>
          </w:p>
        </w:tc>
        <w:tc>
          <w:tcPr>
            <w:tcW w:w="1096" w:type="dxa"/>
          </w:tcPr>
          <w:p w:rsidR="008E4A1C" w:rsidRPr="00292FEB" w:rsidRDefault="008E4A1C" w:rsidP="00987128">
            <w:pPr>
              <w:pStyle w:val="TableFigText"/>
              <w:jc w:val="right"/>
              <w:rPr>
                <w:rFonts w:asciiTheme="minorHAnsi" w:hAnsiTheme="minorHAnsi" w:cstheme="minorHAnsi"/>
                <w:szCs w:val="22"/>
              </w:rPr>
            </w:pPr>
            <w:proofErr w:type="spellStart"/>
            <w:r w:rsidRPr="009B4EE7">
              <w:rPr>
                <w:rFonts w:asciiTheme="minorHAnsi" w:hAnsiTheme="minorHAnsi" w:cstheme="minorHAnsi"/>
                <w:szCs w:val="22"/>
              </w:rPr>
              <w:t>n.p</w:t>
            </w:r>
            <w:proofErr w:type="spellEnd"/>
            <w:r w:rsidRPr="009B4EE7">
              <w:rPr>
                <w:rFonts w:asciiTheme="minorHAnsi" w:hAnsiTheme="minorHAnsi" w:cstheme="minorHAnsi"/>
                <w:szCs w:val="22"/>
              </w:rPr>
              <w:t>.</w:t>
            </w:r>
          </w:p>
        </w:tc>
        <w:tc>
          <w:tcPr>
            <w:tcW w:w="1062" w:type="dxa"/>
            <w:vAlign w:val="bottom"/>
          </w:tcPr>
          <w:p w:rsidR="008E4A1C" w:rsidRPr="001B1E83" w:rsidRDefault="008E4A1C" w:rsidP="00987128">
            <w:pPr>
              <w:pStyle w:val="TableFigText"/>
              <w:jc w:val="right"/>
              <w:rPr>
                <w:rFonts w:asciiTheme="minorHAnsi" w:hAnsiTheme="minorHAnsi" w:cstheme="minorHAnsi"/>
                <w:szCs w:val="22"/>
              </w:rPr>
            </w:pPr>
            <w:r w:rsidRPr="000F73BB">
              <w:rPr>
                <w:rFonts w:asciiTheme="minorHAnsi" w:hAnsiTheme="minorHAnsi" w:cstheme="minorHAnsi"/>
                <w:szCs w:val="22"/>
              </w:rPr>
              <w:t>27,490</w:t>
            </w:r>
          </w:p>
        </w:tc>
      </w:tr>
    </w:tbl>
    <w:p w:rsidR="008E4A1C" w:rsidRPr="00B47B1D" w:rsidRDefault="008E4A1C" w:rsidP="008E4A1C">
      <w:pPr>
        <w:pStyle w:val="TableFigNotesnumbered"/>
        <w:rPr>
          <w:rStyle w:val="table-note"/>
        </w:rPr>
      </w:pPr>
      <w:proofErr w:type="spellStart"/>
      <w:proofErr w:type="gramStart"/>
      <w:r w:rsidRPr="00B47B1D">
        <w:rPr>
          <w:rStyle w:val="table-note"/>
        </w:rPr>
        <w:t>n.p</w:t>
      </w:r>
      <w:proofErr w:type="spellEnd"/>
      <w:r w:rsidRPr="00B47B1D">
        <w:rPr>
          <w:rStyle w:val="table-note"/>
        </w:rPr>
        <w:t>.</w:t>
      </w:r>
      <w:proofErr w:type="gramEnd"/>
      <w:r w:rsidRPr="00B47B1D">
        <w:rPr>
          <w:rStyle w:val="table-note"/>
        </w:rPr>
        <w:t xml:space="preserve"> Not published.</w:t>
      </w:r>
    </w:p>
    <w:p w:rsidR="008E4A1C" w:rsidRPr="00B47B1D" w:rsidRDefault="008E4A1C" w:rsidP="00B47B1D">
      <w:pPr>
        <w:pStyle w:val="TableFigNotesnumbered"/>
        <w:numPr>
          <w:ilvl w:val="0"/>
          <w:numId w:val="115"/>
        </w:numPr>
        <w:rPr>
          <w:rStyle w:val="table-note"/>
        </w:rPr>
      </w:pPr>
      <w:r w:rsidRPr="00B47B1D">
        <w:rPr>
          <w:rStyle w:val="table-note"/>
        </w:rPr>
        <w:t xml:space="preserve">Hospital days, also known as accrued mental health care days for public hospital services, will not equal figures reported from the National hospital morbidity database due to scope differences between the two collections.  </w:t>
      </w:r>
    </w:p>
    <w:p w:rsidR="008E4A1C" w:rsidRPr="00B47B1D" w:rsidRDefault="008E4A1C" w:rsidP="00B47B1D">
      <w:pPr>
        <w:pStyle w:val="TableFigNotesnumbered"/>
        <w:numPr>
          <w:ilvl w:val="0"/>
          <w:numId w:val="115"/>
        </w:numPr>
        <w:rPr>
          <w:rStyle w:val="table-note"/>
        </w:rPr>
      </w:pPr>
      <w:r w:rsidRPr="00B47B1D">
        <w:rPr>
          <w:rStyle w:val="table-note"/>
        </w:rPr>
        <w:t>The Community mental health care contacts reported here are sourced from the National Community Mental Health Care Database and are not directly comparable with the results reported for other jurisdictions from the Mental Health Establishment database due to differing scope.</w:t>
      </w:r>
    </w:p>
    <w:p w:rsidR="008E4A1C" w:rsidRPr="00B47B1D" w:rsidRDefault="008E4A1C" w:rsidP="00B47B1D">
      <w:pPr>
        <w:pStyle w:val="TableFigNotesnumbered"/>
        <w:numPr>
          <w:ilvl w:val="0"/>
          <w:numId w:val="115"/>
        </w:numPr>
        <w:rPr>
          <w:rStyle w:val="table-note"/>
        </w:rPr>
      </w:pPr>
      <w:proofErr w:type="gramStart"/>
      <w:r w:rsidRPr="00B47B1D">
        <w:rPr>
          <w:rStyle w:val="table-note"/>
        </w:rPr>
        <w:t>Residential mental health care days comprises</w:t>
      </w:r>
      <w:proofErr w:type="gramEnd"/>
      <w:r w:rsidRPr="00B47B1D">
        <w:rPr>
          <w:rStyle w:val="table-note"/>
        </w:rPr>
        <w:t xml:space="preserve"> the number of care days provided by all services, including government and non-government operated services, and 24-hour and non-24-hour staffed services. Figures will not equate to those reported from the Residential mental health care database due to differing collection scopes.</w:t>
      </w:r>
    </w:p>
    <w:p w:rsidR="008E4A1C" w:rsidRPr="00B47B1D" w:rsidRDefault="008E4A1C" w:rsidP="008E4A1C">
      <w:pPr>
        <w:pStyle w:val="TableFigNotesnumbered"/>
        <w:ind w:left="0" w:firstLine="0"/>
        <w:rPr>
          <w:rStyle w:val="table-note"/>
        </w:rPr>
      </w:pPr>
      <w:r w:rsidRPr="00B47B1D">
        <w:rPr>
          <w:rStyle w:val="table-note"/>
        </w:rPr>
        <w:t>Sources: National Mental Health Establishments Database and National Community Mental Health Care Database.</w:t>
      </w:r>
    </w:p>
    <w:p w:rsidR="008E4A1C" w:rsidRPr="008E4A1C" w:rsidRDefault="008E4A1C" w:rsidP="00A83097">
      <w:pPr>
        <w:pStyle w:val="AIHWbodytext"/>
      </w:pPr>
    </w:p>
    <w:sectPr w:rsidR="008E4A1C" w:rsidRPr="008E4A1C" w:rsidSect="002B6B4B">
      <w:headerReference w:type="default" r:id="rId25"/>
      <w:footerReference w:type="default" r:id="rId26"/>
      <w:pgSz w:w="11906" w:h="16838" w:code="9"/>
      <w:pgMar w:top="1418" w:right="1418" w:bottom="1701" w:left="1418" w:header="1134" w:footer="56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6B4B" w:rsidRDefault="002B6B4B">
      <w:r>
        <w:separator/>
      </w:r>
    </w:p>
  </w:endnote>
  <w:endnote w:type="continuationSeparator" w:id="0">
    <w:p w:rsidR="002B6B4B" w:rsidRDefault="002B6B4B">
      <w:r>
        <w:continuationSeparator/>
      </w:r>
    </w:p>
    <w:p w:rsidR="002B6B4B" w:rsidRDefault="002B6B4B"/>
    <w:p w:rsidR="002B6B4B" w:rsidRDefault="002B6B4B"/>
    <w:p w:rsidR="002B6B4B" w:rsidRDefault="002B6B4B"/>
    <w:p w:rsidR="002B6B4B" w:rsidRDefault="002B6B4B"/>
    <w:p w:rsidR="002B6B4B" w:rsidRDefault="002B6B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9919134"/>
      <w:docPartObj>
        <w:docPartGallery w:val="Page Numbers (Bottom of Page)"/>
        <w:docPartUnique/>
      </w:docPartObj>
    </w:sdtPr>
    <w:sdtEndPr>
      <w:rPr>
        <w:noProof/>
      </w:rPr>
    </w:sdtEndPr>
    <w:sdtContent>
      <w:p w:rsidR="00C2188A" w:rsidRDefault="00C2188A" w:rsidP="00C2188A">
        <w:pPr>
          <w:pStyle w:val="Footer"/>
        </w:pPr>
        <w:r>
          <w:fldChar w:fldCharType="begin"/>
        </w:r>
        <w:r>
          <w:instrText xml:space="preserve"> PAGE   \* MERGEFORMAT </w:instrText>
        </w:r>
        <w:r>
          <w:fldChar w:fldCharType="separate"/>
        </w:r>
        <w:r w:rsidR="005015C3">
          <w:rPr>
            <w:noProof/>
          </w:rPr>
          <w:t>52</w:t>
        </w:r>
        <w:r>
          <w:rPr>
            <w:noProof/>
          </w:rPr>
          <w:fldChar w:fldCharType="end"/>
        </w:r>
      </w:p>
    </w:sdtContent>
  </w:sdt>
  <w:p w:rsidR="002B6B4B" w:rsidRDefault="002B6B4B">
    <w:bookmarkStart w:id="0" w:name="_GoBack"/>
    <w:bookmarkEnd w:id="0"/>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B4B" w:rsidRDefault="002B6B4B">
    <w:pPr>
      <w:pStyle w:val="Footer"/>
    </w:pPr>
    <w:r>
      <w:rPr>
        <w:noProof/>
        <w:lang w:eastAsia="en-AU"/>
      </w:rPr>
      <w:drawing>
        <wp:anchor distT="0" distB="0" distL="114300" distR="114300" simplePos="0" relativeHeight="251659264" behindDoc="1" locked="0" layoutInCell="1" allowOverlap="1" wp14:anchorId="6ED4DCCB" wp14:editId="77273DDF">
          <wp:simplePos x="0" y="0"/>
          <wp:positionH relativeFrom="page">
            <wp:posOffset>0</wp:posOffset>
          </wp:positionH>
          <wp:positionV relativeFrom="page">
            <wp:posOffset>8609076</wp:posOffset>
          </wp:positionV>
          <wp:extent cx="7560000" cy="1618693"/>
          <wp:effectExtent l="0" t="0" r="3175" b="635"/>
          <wp:wrapNone/>
          <wp:docPr id="4" name="Picture 4" title="Footer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_0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618693"/>
                  </a:xfrm>
                  <a:prstGeom prst="rect">
                    <a:avLst/>
                  </a:prstGeom>
                  <a:extLst>
                    <a:ext uri="{FAA26D3D-D897-4be2-8F04-BA451C77F1D7}">
                      <ma14:placeholderFlag xmlns:w15="http://schemas.microsoft.com/office/word/2012/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rsidR="002B6B4B" w:rsidRDefault="002B6B4B" w:rsidP="00CD1D61">
    <w:pPr>
      <w:pStyle w:val="Footer"/>
    </w:pPr>
    <w:r>
      <w:rPr>
        <w:noProof/>
        <w:lang w:eastAsia="en-AU"/>
      </w:rPr>
      <mc:AlternateContent>
        <mc:Choice Requires="wps">
          <w:drawing>
            <wp:anchor distT="0" distB="0" distL="114300" distR="114300" simplePos="0" relativeHeight="251661312" behindDoc="0" locked="0" layoutInCell="1" allowOverlap="1" wp14:anchorId="377D8408" wp14:editId="653EEFA9">
              <wp:simplePos x="0" y="0"/>
              <wp:positionH relativeFrom="page">
                <wp:posOffset>0</wp:posOffset>
              </wp:positionH>
              <wp:positionV relativeFrom="page">
                <wp:posOffset>10226040</wp:posOffset>
              </wp:positionV>
              <wp:extent cx="7559040" cy="46080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7559040" cy="460800"/>
                      </a:xfrm>
                      <a:prstGeom prst="rect">
                        <a:avLst/>
                      </a:prstGeom>
                      <a:noFill/>
                      <a:ln>
                        <a:noFill/>
                      </a:ln>
                      <a:effectLst/>
                      <a:extLst>
                        <a:ext uri="{C572A759-6A51-4108-AA02-DFA0A04FC94B}">
                          <ma14:wrappingTextBoxFlag xmlns:w15="http://schemas.microsoft.com/office/word/2012/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633CA0" w:rsidRDefault="00633CA0" w:rsidP="00633CA0">
                          <w:pPr>
                            <w:pStyle w:val="Footer"/>
                          </w:pPr>
                          <w:r>
                            <w:t>National Review of Mental Health Programmes and Services – 30 November 2014 – Volume 4 – Paper 4</w:t>
                          </w:r>
                        </w:p>
                        <w:p w:rsidR="002B6B4B" w:rsidRPr="002B6B4B" w:rsidRDefault="002B6B4B" w:rsidP="002B6B4B">
                          <w:pPr>
                            <w:pStyle w:val="Foo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left:0;text-align:left;margin-left:0;margin-top:805.2pt;width:595.2pt;height:36.3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" filled="f" stroked="f">
              <v:textbox>
                <w:txbxContent>
                  <w:p w:rsidR="00633CA0" w:rsidRDefault="00633CA0" w:rsidP="00633CA0">
                    <w:pPr>
                      <w:pStyle w:val="Footer"/>
                    </w:pPr>
                    <w:r>
                      <w:t>National Review of Mental Health Programmes and Services – 30 November 2014 – Volume 4 – Paper 4</w:t>
                    </w:r>
                  </w:p>
                  <w:p w:rsidR="002B6B4B" w:rsidRPr="002B6B4B" w:rsidRDefault="002B6B4B" w:rsidP="002B6B4B">
                    <w:pPr>
                      <w:pStyle w:val="Foote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761" w:rsidRDefault="0038676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88A" w:rsidRDefault="00C2188A">
    <w:pPr>
      <w:pStyle w:val="Footer"/>
    </w:pPr>
    <w:r>
      <w:rPr>
        <w:noProof/>
        <w:lang w:eastAsia="en-AU"/>
      </w:rPr>
      <w:drawing>
        <wp:anchor distT="0" distB="0" distL="114300" distR="114300" simplePos="0" relativeHeight="251663360" behindDoc="1" locked="0" layoutInCell="1" allowOverlap="1" wp14:anchorId="6A13CDD2" wp14:editId="14CBE0B6">
          <wp:simplePos x="0" y="0"/>
          <wp:positionH relativeFrom="page">
            <wp:posOffset>1</wp:posOffset>
          </wp:positionH>
          <wp:positionV relativeFrom="page">
            <wp:posOffset>8608423</wp:posOffset>
          </wp:positionV>
          <wp:extent cx="7559997" cy="1618693"/>
          <wp:effectExtent l="0" t="0" r="3175" b="635"/>
          <wp:wrapNone/>
          <wp:docPr id="7" name="Picture 7" title="Footer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_0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997" cy="1618693"/>
                  </a:xfrm>
                  <a:prstGeom prst="rect">
                    <a:avLst/>
                  </a:prstGeom>
                  <a:extLst>
                    <a:ext uri="{FAA26D3D-D897-4be2-8F04-BA451C77F1D7}">
                      <ma14:placeholderFlag xmlns:w15="http://schemas.microsoft.com/office/word/2012/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rsidR="00C2188A" w:rsidRDefault="00C2188A" w:rsidP="00CD1D61">
    <w:pPr>
      <w:pStyle w:val="Footer"/>
    </w:pPr>
    <w:r>
      <w:rPr>
        <w:noProof/>
        <w:lang w:eastAsia="en-AU"/>
      </w:rPr>
      <mc:AlternateContent>
        <mc:Choice Requires="wps">
          <w:drawing>
            <wp:anchor distT="0" distB="0" distL="114300" distR="114300" simplePos="0" relativeHeight="251664384" behindDoc="0" locked="0" layoutInCell="1" allowOverlap="1" wp14:anchorId="6C785D69" wp14:editId="60A4874B">
              <wp:simplePos x="0" y="0"/>
              <wp:positionH relativeFrom="page">
                <wp:posOffset>0</wp:posOffset>
              </wp:positionH>
              <wp:positionV relativeFrom="page">
                <wp:posOffset>10226040</wp:posOffset>
              </wp:positionV>
              <wp:extent cx="7559040" cy="460800"/>
              <wp:effectExtent l="0" t="0" r="0" b="0"/>
              <wp:wrapNone/>
              <wp:docPr id="5" name="Text Box 5"/>
              <wp:cNvGraphicFramePr/>
              <a:graphic xmlns:a="http://schemas.openxmlformats.org/drawingml/2006/main">
                <a:graphicData uri="http://schemas.microsoft.com/office/word/2010/wordprocessingShape">
                  <wps:wsp>
                    <wps:cNvSpPr txBox="1"/>
                    <wps:spPr>
                      <a:xfrm>
                        <a:off x="0" y="0"/>
                        <a:ext cx="7559040" cy="460800"/>
                      </a:xfrm>
                      <a:prstGeom prst="rect">
                        <a:avLst/>
                      </a:prstGeom>
                      <a:noFill/>
                      <a:ln>
                        <a:noFill/>
                      </a:ln>
                      <a:effectLst/>
                      <a:extLst>
                        <a:ext uri="{C572A759-6A51-4108-AA02-DFA0A04FC94B}">
                          <ma14:wrappingTextBoxFlag xmlns:w15="http://schemas.microsoft.com/office/word/2012/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C2188A" w:rsidRDefault="00C2188A" w:rsidP="00633CA0">
                          <w:pPr>
                            <w:pStyle w:val="Footer"/>
                          </w:pPr>
                          <w:r>
                            <w:t>National Review of Mental Health Programmes and Services – 30 November 2014 – Volume 4 – Paper 4</w:t>
                          </w:r>
                        </w:p>
                        <w:p w:rsidR="00C2188A" w:rsidRPr="002B6B4B" w:rsidRDefault="00C2188A" w:rsidP="002B6B4B">
                          <w:pPr>
                            <w:pStyle w:val="Foo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7" type="#_x0000_t202" style="position:absolute;left:0;text-align:left;margin-left:0;margin-top:805.2pt;width:595.2pt;height:36.3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" filled="f" stroked="f">
              <v:textbox>
                <w:txbxContent>
                  <w:p w:rsidR="00C2188A" w:rsidRDefault="00C2188A" w:rsidP="00633CA0">
                    <w:pPr>
                      <w:pStyle w:val="Footer"/>
                    </w:pPr>
                    <w:r>
                      <w:t>National Review of Mental Health Programmes and Services – 30 November 2014 – Volume 4 – Paper 4</w:t>
                    </w:r>
                  </w:p>
                  <w:p w:rsidR="00C2188A" w:rsidRPr="002B6B4B" w:rsidRDefault="00C2188A" w:rsidP="002B6B4B">
                    <w:pPr>
                      <w:pStyle w:val="Footer"/>
                    </w:pP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378055"/>
      <w:docPartObj>
        <w:docPartGallery w:val="Page Numbers (Bottom of Page)"/>
        <w:docPartUnique/>
      </w:docPartObj>
    </w:sdtPr>
    <w:sdtEndPr>
      <w:rPr>
        <w:noProof/>
      </w:rPr>
    </w:sdtEndPr>
    <w:sdtContent>
      <w:p w:rsidR="002B6B4B" w:rsidRDefault="002B6B4B">
        <w:pPr>
          <w:pStyle w:val="Footer"/>
        </w:pPr>
        <w:r>
          <w:fldChar w:fldCharType="begin"/>
        </w:r>
        <w:r>
          <w:instrText xml:space="preserve"> PAGE   \* MERGEFORMAT </w:instrText>
        </w:r>
        <w:r>
          <w:fldChar w:fldCharType="separate"/>
        </w:r>
        <w:r w:rsidR="005015C3">
          <w:rPr>
            <w:noProof/>
          </w:rPr>
          <w:t>51</w:t>
        </w:r>
        <w:r>
          <w:rPr>
            <w:noProof/>
          </w:rPr>
          <w:fldChar w:fldCharType="end"/>
        </w:r>
      </w:p>
    </w:sdtContent>
  </w:sdt>
  <w:p w:rsidR="002B6B4B" w:rsidRDefault="002B6B4B" w:rsidP="002B6B4B">
    <w:pPr>
      <w:pStyle w:val="Footer"/>
      <w:tabs>
        <w:tab w:val="left" w:pos="3914"/>
      </w:tabs>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6B4B" w:rsidRDefault="002B6B4B">
      <w:r>
        <w:separator/>
      </w:r>
    </w:p>
  </w:footnote>
  <w:footnote w:type="continuationSeparator" w:id="0">
    <w:p w:rsidR="002B6B4B" w:rsidRDefault="002B6B4B">
      <w:r>
        <w:continuationSeparator/>
      </w:r>
    </w:p>
    <w:p w:rsidR="002B6B4B" w:rsidRDefault="002B6B4B"/>
    <w:p w:rsidR="002B6B4B" w:rsidRDefault="002B6B4B"/>
    <w:p w:rsidR="002B6B4B" w:rsidRDefault="002B6B4B"/>
    <w:p w:rsidR="002B6B4B" w:rsidRDefault="002B6B4B"/>
    <w:p w:rsidR="002B6B4B" w:rsidRDefault="002B6B4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761" w:rsidRDefault="0038676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B4B" w:rsidRDefault="002B6B4B" w:rsidP="00CD1D61">
    <w:pPr>
      <w:pStyle w:val="Header"/>
      <w:tabs>
        <w:tab w:val="clear" w:pos="4153"/>
        <w:tab w:val="clear" w:pos="8306"/>
        <w:tab w:val="center" w:pos="4535"/>
        <w:tab w:val="right" w:pos="9070"/>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761" w:rsidRDefault="0038676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B4B" w:rsidRDefault="002B6B4B" w:rsidP="00CD1D61">
    <w:pPr>
      <w:pStyle w:val="Header"/>
      <w:tabs>
        <w:tab w:val="clear" w:pos="4153"/>
        <w:tab w:val="clear" w:pos="8306"/>
        <w:tab w:val="center" w:pos="4535"/>
        <w:tab w:val="right" w:pos="907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8A62068"/>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2B8F854"/>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37C61C4E"/>
    <w:lvl w:ilvl="0">
      <w:start w:val="1"/>
      <w:numFmt w:val="decimal"/>
      <w:pStyle w:val="ListNumber3"/>
      <w:lvlText w:val="%1."/>
      <w:lvlJc w:val="left"/>
      <w:pPr>
        <w:tabs>
          <w:tab w:val="num" w:pos="926"/>
        </w:tabs>
        <w:ind w:left="926" w:hanging="360"/>
      </w:pPr>
    </w:lvl>
  </w:abstractNum>
  <w:abstractNum w:abstractNumId="3">
    <w:nsid w:val="FFFFFF7F"/>
    <w:multiLevelType w:val="singleLevel"/>
    <w:tmpl w:val="7CC621E2"/>
    <w:lvl w:ilvl="0">
      <w:start w:val="1"/>
      <w:numFmt w:val="decimal"/>
      <w:pStyle w:val="ListNumber2"/>
      <w:lvlText w:val="%1."/>
      <w:lvlJc w:val="left"/>
      <w:pPr>
        <w:tabs>
          <w:tab w:val="num" w:pos="643"/>
        </w:tabs>
        <w:ind w:left="643" w:hanging="360"/>
      </w:pPr>
    </w:lvl>
  </w:abstractNum>
  <w:abstractNum w:abstractNumId="4">
    <w:nsid w:val="FFFFFF80"/>
    <w:multiLevelType w:val="singleLevel"/>
    <w:tmpl w:val="A57AB570"/>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2194B0B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F3327CF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FD8CAC9C"/>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ABF2F242"/>
    <w:lvl w:ilvl="0">
      <w:start w:val="1"/>
      <w:numFmt w:val="decimal"/>
      <w:pStyle w:val="ListNumber"/>
      <w:lvlText w:val="%1."/>
      <w:lvlJc w:val="left"/>
      <w:pPr>
        <w:tabs>
          <w:tab w:val="num" w:pos="360"/>
        </w:tabs>
        <w:ind w:left="360" w:hanging="360"/>
      </w:pPr>
    </w:lvl>
  </w:abstractNum>
  <w:abstractNum w:abstractNumId="9">
    <w:nsid w:val="FFFFFF89"/>
    <w:multiLevelType w:val="singleLevel"/>
    <w:tmpl w:val="650291E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8F26DA"/>
    <w:multiLevelType w:val="multilevel"/>
    <w:tmpl w:val="0C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00E279B6"/>
    <w:multiLevelType w:val="hybridMultilevel"/>
    <w:tmpl w:val="C644A4F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nsid w:val="028436BE"/>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039773E0"/>
    <w:multiLevelType w:val="hybridMultilevel"/>
    <w:tmpl w:val="46D83694"/>
    <w:lvl w:ilvl="0" w:tplc="0C090017">
      <w:start w:val="1"/>
      <w:numFmt w:val="lowerLetter"/>
      <w:lvlText w:val="%1)"/>
      <w:lvlJc w:val="left"/>
      <w:pPr>
        <w:ind w:left="360" w:hanging="360"/>
      </w:pPr>
      <w:rPr>
        <w:rFonts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nsid w:val="03DF2597"/>
    <w:multiLevelType w:val="hybridMultilevel"/>
    <w:tmpl w:val="B1FE02B6"/>
    <w:lvl w:ilvl="0" w:tplc="82580264">
      <w:start w:val="1"/>
      <w:numFmt w:val="lowerLetter"/>
      <w:lvlText w:val="%1)"/>
      <w:lvlJc w:val="left"/>
      <w:pPr>
        <w:ind w:left="360" w:hanging="360"/>
      </w:pPr>
      <w:rPr>
        <w:rFonts w:hint="default"/>
        <w:sz w:val="14"/>
        <w:szCs w:val="14"/>
      </w:rPr>
    </w:lvl>
    <w:lvl w:ilvl="1" w:tplc="DA28EDA8">
      <w:start w:val="1"/>
      <w:numFmt w:val="lowerLetter"/>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nsid w:val="042C3B71"/>
    <w:multiLevelType w:val="hybridMultilevel"/>
    <w:tmpl w:val="2006CE1E"/>
    <w:lvl w:ilvl="0" w:tplc="0C090017">
      <w:start w:val="1"/>
      <w:numFmt w:val="lowerLetter"/>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nsid w:val="045D026B"/>
    <w:multiLevelType w:val="hybridMultilevel"/>
    <w:tmpl w:val="FAD43366"/>
    <w:lvl w:ilvl="0" w:tplc="4F328EEC">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04FF69A1"/>
    <w:multiLevelType w:val="hybridMultilevel"/>
    <w:tmpl w:val="8F52DBB0"/>
    <w:lvl w:ilvl="0" w:tplc="A8FA1FD6">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nsid w:val="06550996"/>
    <w:multiLevelType w:val="hybridMultilevel"/>
    <w:tmpl w:val="A1EC473C"/>
    <w:lvl w:ilvl="0" w:tplc="1BB8A9E6">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nsid w:val="06DA18BA"/>
    <w:multiLevelType w:val="hybridMultilevel"/>
    <w:tmpl w:val="45FE8B8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nsid w:val="07D36111"/>
    <w:multiLevelType w:val="hybridMultilevel"/>
    <w:tmpl w:val="3FC0203A"/>
    <w:lvl w:ilvl="0" w:tplc="46D4C7C2">
      <w:start w:val="1"/>
      <w:numFmt w:val="lowerLetter"/>
      <w:lvlText w:val="%1)"/>
      <w:lvlJc w:val="left"/>
      <w:pPr>
        <w:ind w:left="360" w:hanging="360"/>
      </w:pPr>
      <w:rPr>
        <w:rFonts w:hint="default"/>
        <w:sz w:val="14"/>
        <w:szCs w:val="14"/>
      </w:rPr>
    </w:lvl>
    <w:lvl w:ilvl="1" w:tplc="DA28EDA8">
      <w:start w:val="1"/>
      <w:numFmt w:val="lowerLetter"/>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nsid w:val="07DE717F"/>
    <w:multiLevelType w:val="hybridMultilevel"/>
    <w:tmpl w:val="C644A4F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nsid w:val="08C81B8D"/>
    <w:multiLevelType w:val="hybridMultilevel"/>
    <w:tmpl w:val="47DEA100"/>
    <w:lvl w:ilvl="0" w:tplc="906CF72C">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nsid w:val="0B003E13"/>
    <w:multiLevelType w:val="hybridMultilevel"/>
    <w:tmpl w:val="7B087B26"/>
    <w:lvl w:ilvl="0" w:tplc="E6F02924">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nsid w:val="0B91742B"/>
    <w:multiLevelType w:val="hybridMultilevel"/>
    <w:tmpl w:val="1436D46E"/>
    <w:lvl w:ilvl="0" w:tplc="31B68726">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5">
    <w:nsid w:val="0E700935"/>
    <w:multiLevelType w:val="hybridMultilevel"/>
    <w:tmpl w:val="F36E4DB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0ED41252"/>
    <w:multiLevelType w:val="hybridMultilevel"/>
    <w:tmpl w:val="FBA8008E"/>
    <w:lvl w:ilvl="0" w:tplc="0596A2FE">
      <w:start w:val="1"/>
      <w:numFmt w:val="lowerLetter"/>
      <w:lvlText w:val="%1)"/>
      <w:lvlJc w:val="left"/>
      <w:pPr>
        <w:ind w:left="360" w:hanging="360"/>
      </w:pPr>
      <w:rPr>
        <w:rFonts w:hint="default"/>
        <w:sz w:val="14"/>
        <w:szCs w:val="1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10676CD4"/>
    <w:multiLevelType w:val="hybridMultilevel"/>
    <w:tmpl w:val="8C06523E"/>
    <w:lvl w:ilvl="0" w:tplc="F35CC842">
      <w:start w:val="1"/>
      <w:numFmt w:val="lowerLetter"/>
      <w:lvlText w:val="%1)"/>
      <w:lvlJc w:val="left"/>
      <w:pPr>
        <w:ind w:left="360" w:hanging="360"/>
      </w:pPr>
      <w:rPr>
        <w:rFonts w:hint="default"/>
        <w:sz w:val="14"/>
        <w:szCs w:val="14"/>
      </w:rPr>
    </w:lvl>
    <w:lvl w:ilvl="1" w:tplc="DA28EDA8">
      <w:start w:val="1"/>
      <w:numFmt w:val="lowerLetter"/>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8">
    <w:nsid w:val="138B6A88"/>
    <w:multiLevelType w:val="hybridMultilevel"/>
    <w:tmpl w:val="6A5E2160"/>
    <w:lvl w:ilvl="0" w:tplc="13BA2094">
      <w:start w:val="1"/>
      <w:numFmt w:val="lowerLetter"/>
      <w:lvlText w:val="%1)"/>
      <w:lvlJc w:val="left"/>
      <w:pPr>
        <w:ind w:left="360" w:hanging="360"/>
      </w:pPr>
      <w:rPr>
        <w:rFonts w:hint="default"/>
        <w:sz w:val="14"/>
        <w:szCs w:val="14"/>
      </w:rPr>
    </w:lvl>
    <w:lvl w:ilvl="1" w:tplc="DA28EDA8">
      <w:start w:val="1"/>
      <w:numFmt w:val="lowerLetter"/>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9">
    <w:nsid w:val="14360FEC"/>
    <w:multiLevelType w:val="hybridMultilevel"/>
    <w:tmpl w:val="3EFEF460"/>
    <w:lvl w:ilvl="0" w:tplc="0C090011">
      <w:start w:val="1"/>
      <w:numFmt w:val="decimal"/>
      <w:lvlText w:val="%1)"/>
      <w:lvlJc w:val="left"/>
      <w:pPr>
        <w:ind w:left="360" w:hanging="360"/>
      </w:pPr>
      <w:rPr>
        <w:rFonts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0">
    <w:nsid w:val="14B341AC"/>
    <w:multiLevelType w:val="hybridMultilevel"/>
    <w:tmpl w:val="57AE1FDC"/>
    <w:lvl w:ilvl="0" w:tplc="6400C8F6">
      <w:start w:val="1"/>
      <w:numFmt w:val="bullet"/>
      <w:pStyle w:val="Bullet1"/>
      <w:lvlText w:val="•"/>
      <w:lvlJc w:val="left"/>
      <w:pPr>
        <w:tabs>
          <w:tab w:val="num" w:pos="397"/>
        </w:tabs>
        <w:ind w:left="397" w:hanging="397"/>
      </w:pPr>
      <w:rPr>
        <w:rFonts w:ascii="Book Antiqua" w:hAnsi="Book Antiqua" w:hint="default"/>
        <w:b w:val="0"/>
        <w:i w:val="0"/>
        <w:color w:val="000000"/>
        <w:sz w:val="22"/>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nsid w:val="14F24516"/>
    <w:multiLevelType w:val="hybridMultilevel"/>
    <w:tmpl w:val="4038267A"/>
    <w:lvl w:ilvl="0" w:tplc="936E4E3E">
      <w:start w:val="1"/>
      <w:numFmt w:val="lowerLetter"/>
      <w:lvlText w:val="%1)"/>
      <w:lvlJc w:val="left"/>
      <w:pPr>
        <w:ind w:left="360" w:hanging="360"/>
      </w:pPr>
      <w:rPr>
        <w:rFonts w:hint="default"/>
        <w:sz w:val="14"/>
        <w:szCs w:val="14"/>
      </w:rPr>
    </w:lvl>
    <w:lvl w:ilvl="1" w:tplc="DA28EDA8">
      <w:start w:val="1"/>
      <w:numFmt w:val="lowerLetter"/>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2">
    <w:nsid w:val="15F2295E"/>
    <w:multiLevelType w:val="hybridMultilevel"/>
    <w:tmpl w:val="C644A4F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3">
    <w:nsid w:val="16F60AE2"/>
    <w:multiLevelType w:val="hybridMultilevel"/>
    <w:tmpl w:val="69B00EDA"/>
    <w:lvl w:ilvl="0" w:tplc="F8BCCCB8">
      <w:start w:val="1"/>
      <w:numFmt w:val="lowerLetter"/>
      <w:lvlText w:val="%1)"/>
      <w:lvlJc w:val="left"/>
      <w:pPr>
        <w:ind w:left="360" w:hanging="360"/>
      </w:pPr>
      <w:rPr>
        <w:rFonts w:hint="default"/>
        <w:sz w:val="14"/>
        <w:szCs w:val="14"/>
      </w:rPr>
    </w:lvl>
    <w:lvl w:ilvl="1" w:tplc="DA28EDA8">
      <w:start w:val="1"/>
      <w:numFmt w:val="lowerLetter"/>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4">
    <w:nsid w:val="1B496ADA"/>
    <w:multiLevelType w:val="hybridMultilevel"/>
    <w:tmpl w:val="EC566322"/>
    <w:lvl w:ilvl="0" w:tplc="69822066">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5">
    <w:nsid w:val="1BFD7E04"/>
    <w:multiLevelType w:val="hybridMultilevel"/>
    <w:tmpl w:val="45F895B6"/>
    <w:lvl w:ilvl="0" w:tplc="DD688108">
      <w:start w:val="1"/>
      <w:numFmt w:val="lowerLetter"/>
      <w:lvlText w:val="%1)"/>
      <w:lvlJc w:val="left"/>
      <w:pPr>
        <w:ind w:left="360" w:hanging="360"/>
      </w:pPr>
      <w:rPr>
        <w:rFonts w:hint="default"/>
        <w:sz w:val="14"/>
        <w:szCs w:val="1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nsid w:val="1D43450B"/>
    <w:multiLevelType w:val="hybridMultilevel"/>
    <w:tmpl w:val="3F82F36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7">
    <w:nsid w:val="1D602757"/>
    <w:multiLevelType w:val="hybridMultilevel"/>
    <w:tmpl w:val="5F36FE86"/>
    <w:lvl w:ilvl="0" w:tplc="039E2BE8">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8">
    <w:nsid w:val="1E4B4B22"/>
    <w:multiLevelType w:val="hybridMultilevel"/>
    <w:tmpl w:val="DDFA7CE2"/>
    <w:lvl w:ilvl="0" w:tplc="B41AC92C">
      <w:start w:val="1"/>
      <w:numFmt w:val="lowerLetter"/>
      <w:lvlText w:val="%1)"/>
      <w:lvlJc w:val="left"/>
      <w:pPr>
        <w:ind w:left="360" w:hanging="360"/>
      </w:pPr>
      <w:rPr>
        <w:rFonts w:hint="default"/>
        <w:sz w:val="14"/>
        <w:szCs w:val="14"/>
      </w:rPr>
    </w:lvl>
    <w:lvl w:ilvl="1" w:tplc="DA28EDA8">
      <w:start w:val="1"/>
      <w:numFmt w:val="lowerLetter"/>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9">
    <w:nsid w:val="1FCE53E5"/>
    <w:multiLevelType w:val="hybridMultilevel"/>
    <w:tmpl w:val="F6104686"/>
    <w:lvl w:ilvl="0" w:tplc="0234E920">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0">
    <w:nsid w:val="24F91974"/>
    <w:multiLevelType w:val="hybridMultilevel"/>
    <w:tmpl w:val="5F94148A"/>
    <w:lvl w:ilvl="0" w:tplc="8D00B662">
      <w:start w:val="1"/>
      <w:numFmt w:val="lowerLetter"/>
      <w:lvlText w:val="%1)"/>
      <w:lvlJc w:val="left"/>
      <w:pPr>
        <w:ind w:left="360" w:hanging="360"/>
      </w:pPr>
      <w:rPr>
        <w:rFonts w:hint="default"/>
        <w:sz w:val="14"/>
        <w:szCs w:val="14"/>
      </w:rPr>
    </w:lvl>
    <w:lvl w:ilvl="1" w:tplc="DA28EDA8">
      <w:start w:val="1"/>
      <w:numFmt w:val="lowerLetter"/>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1">
    <w:nsid w:val="25F61565"/>
    <w:multiLevelType w:val="hybridMultilevel"/>
    <w:tmpl w:val="CDC6E098"/>
    <w:lvl w:ilvl="0" w:tplc="9B08E9A0">
      <w:start w:val="1"/>
      <w:numFmt w:val="lowerLetter"/>
      <w:lvlText w:val="%1)"/>
      <w:lvlJc w:val="left"/>
      <w:pPr>
        <w:ind w:left="360" w:hanging="360"/>
      </w:pPr>
      <w:rPr>
        <w:rFonts w:hint="default"/>
        <w:sz w:val="14"/>
        <w:szCs w:val="14"/>
      </w:rPr>
    </w:lvl>
    <w:lvl w:ilvl="1" w:tplc="DA28EDA8">
      <w:start w:val="1"/>
      <w:numFmt w:val="lowerLetter"/>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2">
    <w:nsid w:val="264E3890"/>
    <w:multiLevelType w:val="hybridMultilevel"/>
    <w:tmpl w:val="1D5241A6"/>
    <w:lvl w:ilvl="0" w:tplc="0D9C735E">
      <w:start w:val="1"/>
      <w:numFmt w:val="lowerLetter"/>
      <w:lvlText w:val="%1)"/>
      <w:lvlJc w:val="left"/>
      <w:pPr>
        <w:ind w:left="360" w:hanging="360"/>
      </w:pPr>
      <w:rPr>
        <w:rFonts w:hint="default"/>
        <w:sz w:val="14"/>
        <w:szCs w:val="14"/>
      </w:rPr>
    </w:lvl>
    <w:lvl w:ilvl="1" w:tplc="DA28EDA8">
      <w:start w:val="1"/>
      <w:numFmt w:val="lowerLetter"/>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3">
    <w:nsid w:val="27A51D25"/>
    <w:multiLevelType w:val="hybridMultilevel"/>
    <w:tmpl w:val="539E5CAA"/>
    <w:lvl w:ilvl="0" w:tplc="14147FC0">
      <w:start w:val="1"/>
      <w:numFmt w:val="lowerLetter"/>
      <w:lvlText w:val="%1)"/>
      <w:lvlJc w:val="left"/>
      <w:pPr>
        <w:ind w:left="360" w:hanging="360"/>
      </w:pPr>
      <w:rPr>
        <w:rFonts w:hint="default"/>
        <w:sz w:val="14"/>
        <w:szCs w:val="14"/>
      </w:rPr>
    </w:lvl>
    <w:lvl w:ilvl="1" w:tplc="DA28EDA8">
      <w:start w:val="1"/>
      <w:numFmt w:val="lowerLetter"/>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4">
    <w:nsid w:val="27A93D1A"/>
    <w:multiLevelType w:val="hybridMultilevel"/>
    <w:tmpl w:val="7B087B26"/>
    <w:lvl w:ilvl="0" w:tplc="E6F02924">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5">
    <w:nsid w:val="28B27D49"/>
    <w:multiLevelType w:val="hybridMultilevel"/>
    <w:tmpl w:val="55C27312"/>
    <w:lvl w:ilvl="0" w:tplc="16FACCF4">
      <w:start w:val="1"/>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nsid w:val="297B14F3"/>
    <w:multiLevelType w:val="hybridMultilevel"/>
    <w:tmpl w:val="E13C4BA6"/>
    <w:lvl w:ilvl="0" w:tplc="98F6A4EA">
      <w:start w:val="1"/>
      <w:numFmt w:val="lowerLetter"/>
      <w:lvlText w:val="%1)"/>
      <w:lvlJc w:val="left"/>
      <w:pPr>
        <w:ind w:left="360" w:hanging="360"/>
      </w:pPr>
      <w:rPr>
        <w:rFonts w:hint="default"/>
        <w:sz w:val="14"/>
        <w:szCs w:val="14"/>
      </w:rPr>
    </w:lvl>
    <w:lvl w:ilvl="1" w:tplc="DA28EDA8">
      <w:start w:val="1"/>
      <w:numFmt w:val="lowerLetter"/>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7">
    <w:nsid w:val="2ADC6F89"/>
    <w:multiLevelType w:val="hybridMultilevel"/>
    <w:tmpl w:val="CC6CEA24"/>
    <w:lvl w:ilvl="0" w:tplc="056C563A">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8">
    <w:nsid w:val="2BAA5EFA"/>
    <w:multiLevelType w:val="hybridMultilevel"/>
    <w:tmpl w:val="E4CE77B0"/>
    <w:lvl w:ilvl="0" w:tplc="EB18A83A">
      <w:start w:val="1"/>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9">
    <w:nsid w:val="2BFD48B9"/>
    <w:multiLevelType w:val="hybridMultilevel"/>
    <w:tmpl w:val="30049792"/>
    <w:lvl w:ilvl="0" w:tplc="9DB47C9E">
      <w:start w:val="1"/>
      <w:numFmt w:val="lowerLetter"/>
      <w:lvlText w:val="%1)"/>
      <w:lvlJc w:val="left"/>
      <w:pPr>
        <w:ind w:left="360" w:hanging="360"/>
      </w:pPr>
      <w:rPr>
        <w:rFonts w:hint="default"/>
        <w:sz w:val="14"/>
        <w:szCs w:val="14"/>
      </w:rPr>
    </w:lvl>
    <w:lvl w:ilvl="1" w:tplc="DA28EDA8">
      <w:start w:val="1"/>
      <w:numFmt w:val="lowerLetter"/>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0">
    <w:nsid w:val="2CD76279"/>
    <w:multiLevelType w:val="hybridMultilevel"/>
    <w:tmpl w:val="C644A4F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1">
    <w:nsid w:val="2F5C1781"/>
    <w:multiLevelType w:val="hybridMultilevel"/>
    <w:tmpl w:val="D58C065E"/>
    <w:lvl w:ilvl="0" w:tplc="56E4E7B0">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2">
    <w:nsid w:val="30171D21"/>
    <w:multiLevelType w:val="hybridMultilevel"/>
    <w:tmpl w:val="8F52DBB0"/>
    <w:lvl w:ilvl="0" w:tplc="A8FA1FD6">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3">
    <w:nsid w:val="302C3B0C"/>
    <w:multiLevelType w:val="hybridMultilevel"/>
    <w:tmpl w:val="D8C4717E"/>
    <w:lvl w:ilvl="0" w:tplc="0D9C735E">
      <w:start w:val="1"/>
      <w:numFmt w:val="lowerLetter"/>
      <w:lvlText w:val="%1)"/>
      <w:lvlJc w:val="left"/>
      <w:pPr>
        <w:ind w:left="360" w:hanging="360"/>
      </w:pPr>
      <w:rPr>
        <w:rFonts w:hint="default"/>
        <w:sz w:val="14"/>
        <w:szCs w:val="14"/>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4">
    <w:nsid w:val="31930982"/>
    <w:multiLevelType w:val="hybridMultilevel"/>
    <w:tmpl w:val="F7E012AC"/>
    <w:lvl w:ilvl="0" w:tplc="3ECC90B2">
      <w:start w:val="1"/>
      <w:numFmt w:val="lowerLetter"/>
      <w:lvlText w:val="%1)"/>
      <w:lvlJc w:val="left"/>
      <w:pPr>
        <w:ind w:left="360" w:hanging="360"/>
      </w:pPr>
      <w:rPr>
        <w:rFonts w:hint="default"/>
        <w:sz w:val="14"/>
        <w:szCs w:val="14"/>
      </w:rPr>
    </w:lvl>
    <w:lvl w:ilvl="1" w:tplc="DA28EDA8">
      <w:start w:val="1"/>
      <w:numFmt w:val="lowerLetter"/>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5">
    <w:nsid w:val="32DF4925"/>
    <w:multiLevelType w:val="hybridMultilevel"/>
    <w:tmpl w:val="45FE8B8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6">
    <w:nsid w:val="359D776F"/>
    <w:multiLevelType w:val="hybridMultilevel"/>
    <w:tmpl w:val="45FE8B8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7">
    <w:nsid w:val="37160576"/>
    <w:multiLevelType w:val="hybridMultilevel"/>
    <w:tmpl w:val="51B4F3AA"/>
    <w:lvl w:ilvl="0" w:tplc="4F328EEC">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8">
    <w:nsid w:val="384D2C37"/>
    <w:multiLevelType w:val="hybridMultilevel"/>
    <w:tmpl w:val="C644A4F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9">
    <w:nsid w:val="3A5916B4"/>
    <w:multiLevelType w:val="hybridMultilevel"/>
    <w:tmpl w:val="870658F4"/>
    <w:lvl w:ilvl="0" w:tplc="105C0ADE">
      <w:start w:val="1"/>
      <w:numFmt w:val="bullet"/>
      <w:pStyle w:val="BoxBullet1"/>
      <w:lvlText w:val=""/>
      <w:lvlJc w:val="left"/>
      <w:pPr>
        <w:tabs>
          <w:tab w:val="num" w:pos="964"/>
        </w:tabs>
        <w:ind w:left="964" w:hanging="720"/>
      </w:pPr>
      <w:rPr>
        <w:rFonts w:ascii="Symbol" w:hAnsi="Symbol" w:hint="default"/>
      </w:rPr>
    </w:lvl>
    <w:lvl w:ilvl="1" w:tplc="0C090003" w:tentative="1">
      <w:start w:val="1"/>
      <w:numFmt w:val="bullet"/>
      <w:lvlText w:val="o"/>
      <w:lvlJc w:val="left"/>
      <w:pPr>
        <w:tabs>
          <w:tab w:val="num" w:pos="1429"/>
        </w:tabs>
        <w:ind w:left="1429" w:hanging="360"/>
      </w:pPr>
      <w:rPr>
        <w:rFonts w:ascii="Courier New" w:hAnsi="Courier New" w:cs="Courier New" w:hint="default"/>
      </w:rPr>
    </w:lvl>
    <w:lvl w:ilvl="2" w:tplc="0C090005" w:tentative="1">
      <w:start w:val="1"/>
      <w:numFmt w:val="bullet"/>
      <w:lvlText w:val=""/>
      <w:lvlJc w:val="left"/>
      <w:pPr>
        <w:tabs>
          <w:tab w:val="num" w:pos="2149"/>
        </w:tabs>
        <w:ind w:left="2149" w:hanging="360"/>
      </w:pPr>
      <w:rPr>
        <w:rFonts w:ascii="Wingdings" w:hAnsi="Wingdings" w:hint="default"/>
      </w:rPr>
    </w:lvl>
    <w:lvl w:ilvl="3" w:tplc="0C090001" w:tentative="1">
      <w:start w:val="1"/>
      <w:numFmt w:val="bullet"/>
      <w:lvlText w:val=""/>
      <w:lvlJc w:val="left"/>
      <w:pPr>
        <w:tabs>
          <w:tab w:val="num" w:pos="2869"/>
        </w:tabs>
        <w:ind w:left="2869" w:hanging="360"/>
      </w:pPr>
      <w:rPr>
        <w:rFonts w:ascii="Symbol" w:hAnsi="Symbol" w:hint="default"/>
      </w:rPr>
    </w:lvl>
    <w:lvl w:ilvl="4" w:tplc="0C090003" w:tentative="1">
      <w:start w:val="1"/>
      <w:numFmt w:val="bullet"/>
      <w:lvlText w:val="o"/>
      <w:lvlJc w:val="left"/>
      <w:pPr>
        <w:tabs>
          <w:tab w:val="num" w:pos="3589"/>
        </w:tabs>
        <w:ind w:left="3589" w:hanging="360"/>
      </w:pPr>
      <w:rPr>
        <w:rFonts w:ascii="Courier New" w:hAnsi="Courier New" w:cs="Courier New" w:hint="default"/>
      </w:rPr>
    </w:lvl>
    <w:lvl w:ilvl="5" w:tplc="0C090005" w:tentative="1">
      <w:start w:val="1"/>
      <w:numFmt w:val="bullet"/>
      <w:lvlText w:val=""/>
      <w:lvlJc w:val="left"/>
      <w:pPr>
        <w:tabs>
          <w:tab w:val="num" w:pos="4309"/>
        </w:tabs>
        <w:ind w:left="4309" w:hanging="360"/>
      </w:pPr>
      <w:rPr>
        <w:rFonts w:ascii="Wingdings" w:hAnsi="Wingdings" w:hint="default"/>
      </w:rPr>
    </w:lvl>
    <w:lvl w:ilvl="6" w:tplc="0C090001" w:tentative="1">
      <w:start w:val="1"/>
      <w:numFmt w:val="bullet"/>
      <w:lvlText w:val=""/>
      <w:lvlJc w:val="left"/>
      <w:pPr>
        <w:tabs>
          <w:tab w:val="num" w:pos="5029"/>
        </w:tabs>
        <w:ind w:left="5029" w:hanging="360"/>
      </w:pPr>
      <w:rPr>
        <w:rFonts w:ascii="Symbol" w:hAnsi="Symbol" w:hint="default"/>
      </w:rPr>
    </w:lvl>
    <w:lvl w:ilvl="7" w:tplc="0C090003" w:tentative="1">
      <w:start w:val="1"/>
      <w:numFmt w:val="bullet"/>
      <w:lvlText w:val="o"/>
      <w:lvlJc w:val="left"/>
      <w:pPr>
        <w:tabs>
          <w:tab w:val="num" w:pos="5749"/>
        </w:tabs>
        <w:ind w:left="5749" w:hanging="360"/>
      </w:pPr>
      <w:rPr>
        <w:rFonts w:ascii="Courier New" w:hAnsi="Courier New" w:cs="Courier New" w:hint="default"/>
      </w:rPr>
    </w:lvl>
    <w:lvl w:ilvl="8" w:tplc="0C090005" w:tentative="1">
      <w:start w:val="1"/>
      <w:numFmt w:val="bullet"/>
      <w:lvlText w:val=""/>
      <w:lvlJc w:val="left"/>
      <w:pPr>
        <w:tabs>
          <w:tab w:val="num" w:pos="6469"/>
        </w:tabs>
        <w:ind w:left="6469" w:hanging="360"/>
      </w:pPr>
      <w:rPr>
        <w:rFonts w:ascii="Wingdings" w:hAnsi="Wingdings" w:hint="default"/>
      </w:rPr>
    </w:lvl>
  </w:abstractNum>
  <w:abstractNum w:abstractNumId="60">
    <w:nsid w:val="3AAC1006"/>
    <w:multiLevelType w:val="hybridMultilevel"/>
    <w:tmpl w:val="CCF2070A"/>
    <w:lvl w:ilvl="0" w:tplc="7C985E78">
      <w:start w:val="1"/>
      <w:numFmt w:val="decimal"/>
      <w:lvlText w:val="%1)"/>
      <w:lvlJc w:val="left"/>
      <w:pPr>
        <w:ind w:left="360" w:hanging="360"/>
      </w:pPr>
      <w:rPr>
        <w:rFonts w:hint="default"/>
        <w:sz w:val="14"/>
        <w:szCs w:val="1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1">
    <w:nsid w:val="3D61736C"/>
    <w:multiLevelType w:val="hybridMultilevel"/>
    <w:tmpl w:val="DE96C182"/>
    <w:lvl w:ilvl="0" w:tplc="0C090011">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2">
    <w:nsid w:val="3EEE64F6"/>
    <w:multiLevelType w:val="hybridMultilevel"/>
    <w:tmpl w:val="E3C4755A"/>
    <w:lvl w:ilvl="0" w:tplc="F146C120">
      <w:start w:val="1"/>
      <w:numFmt w:val="bullet"/>
      <w:lvlText w:val="–"/>
      <w:lvlJc w:val="left"/>
      <w:pPr>
        <w:tabs>
          <w:tab w:val="num" w:pos="794"/>
        </w:tabs>
        <w:ind w:left="794" w:hanging="397"/>
      </w:pPr>
      <w:rPr>
        <w:rFonts w:ascii="Book Antiqua" w:hAnsi="Book Antiqua" w:hint="default"/>
        <w:b w:val="0"/>
        <w:i w:val="0"/>
        <w:color w:val="000000"/>
        <w:sz w:val="22"/>
      </w:rPr>
    </w:lvl>
    <w:lvl w:ilvl="1" w:tplc="6D00F300">
      <w:start w:val="1"/>
      <w:numFmt w:val="bullet"/>
      <w:pStyle w:val="Bullet3"/>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3">
    <w:nsid w:val="3F137EB9"/>
    <w:multiLevelType w:val="hybridMultilevel"/>
    <w:tmpl w:val="B64637FC"/>
    <w:lvl w:ilvl="0" w:tplc="8B44320C">
      <w:start w:val="1"/>
      <w:numFmt w:val="lowerLetter"/>
      <w:lvlText w:val="%1)"/>
      <w:lvlJc w:val="left"/>
      <w:pPr>
        <w:ind w:left="360" w:hanging="360"/>
      </w:pPr>
      <w:rPr>
        <w:rFonts w:hint="default"/>
        <w:sz w:val="14"/>
        <w:szCs w:val="14"/>
      </w:rPr>
    </w:lvl>
    <w:lvl w:ilvl="1" w:tplc="DA28EDA8">
      <w:start w:val="1"/>
      <w:numFmt w:val="lowerLetter"/>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4">
    <w:nsid w:val="3F235FBB"/>
    <w:multiLevelType w:val="hybridMultilevel"/>
    <w:tmpl w:val="4FEA4BE2"/>
    <w:lvl w:ilvl="0" w:tplc="98A6B2B8">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5">
    <w:nsid w:val="3F460FD7"/>
    <w:multiLevelType w:val="hybridMultilevel"/>
    <w:tmpl w:val="45FE8B8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6">
    <w:nsid w:val="407A4FD0"/>
    <w:multiLevelType w:val="hybridMultilevel"/>
    <w:tmpl w:val="8F52DBB0"/>
    <w:lvl w:ilvl="0" w:tplc="A8FA1FD6">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7">
    <w:nsid w:val="40941DEB"/>
    <w:multiLevelType w:val="multilevel"/>
    <w:tmpl w:val="A84C1008"/>
    <w:lvl w:ilvl="0">
      <w:start w:val="1"/>
      <w:numFmt w:val="decimal"/>
      <w:lvlText w:val="%1."/>
      <w:lvlJc w:val="left"/>
      <w:pPr>
        <w:tabs>
          <w:tab w:val="num" w:pos="4417"/>
        </w:tabs>
        <w:ind w:left="4417" w:hanging="567"/>
      </w:pPr>
      <w:rPr>
        <w:rFonts w:cs="Times New Roman" w:hint="default"/>
      </w:rPr>
    </w:lvl>
    <w:lvl w:ilvl="1">
      <w:start w:val="1"/>
      <w:numFmt w:val="decimal"/>
      <w:lvlText w:val="%1.%2"/>
      <w:lvlJc w:val="left"/>
      <w:pPr>
        <w:tabs>
          <w:tab w:val="num" w:pos="709"/>
        </w:tabs>
        <w:ind w:left="709" w:hanging="567"/>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ascii="Times New Roman" w:hAnsi="Times New Roman" w:cs="Times New Roman" w:hint="default"/>
        <w:b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8">
    <w:nsid w:val="42480137"/>
    <w:multiLevelType w:val="hybridMultilevel"/>
    <w:tmpl w:val="807222E6"/>
    <w:lvl w:ilvl="0" w:tplc="272E9396">
      <w:start w:val="1"/>
      <w:numFmt w:val="lowerLetter"/>
      <w:lvlText w:val="%1)"/>
      <w:lvlJc w:val="left"/>
      <w:pPr>
        <w:ind w:left="360" w:hanging="360"/>
      </w:pPr>
      <w:rPr>
        <w:rFonts w:hint="default"/>
        <w:sz w:val="14"/>
        <w:szCs w:val="1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9">
    <w:nsid w:val="43455D82"/>
    <w:multiLevelType w:val="hybridMultilevel"/>
    <w:tmpl w:val="3DB82FD4"/>
    <w:lvl w:ilvl="0" w:tplc="9B9E9F16">
      <w:start w:val="1"/>
      <w:numFmt w:val="lowerLetter"/>
      <w:lvlText w:val="%1)"/>
      <w:lvlJc w:val="left"/>
      <w:pPr>
        <w:ind w:left="360" w:hanging="360"/>
      </w:pPr>
      <w:rPr>
        <w:rFonts w:hint="default"/>
        <w:sz w:val="14"/>
        <w:szCs w:val="14"/>
      </w:rPr>
    </w:lvl>
    <w:lvl w:ilvl="1" w:tplc="DA28EDA8">
      <w:start w:val="1"/>
      <w:numFmt w:val="lowerLetter"/>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0">
    <w:nsid w:val="43636781"/>
    <w:multiLevelType w:val="hybridMultilevel"/>
    <w:tmpl w:val="F9105BDE"/>
    <w:lvl w:ilvl="0" w:tplc="67244E9E">
      <w:start w:val="1"/>
      <w:numFmt w:val="lowerLetter"/>
      <w:lvlText w:val="%1)"/>
      <w:lvlJc w:val="left"/>
      <w:pPr>
        <w:ind w:left="360" w:hanging="360"/>
      </w:pPr>
      <w:rPr>
        <w:rFonts w:hint="default"/>
        <w:sz w:val="14"/>
        <w:szCs w:val="14"/>
      </w:rPr>
    </w:lvl>
    <w:lvl w:ilvl="1" w:tplc="DA28EDA8">
      <w:start w:val="1"/>
      <w:numFmt w:val="lowerLetter"/>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1">
    <w:nsid w:val="43E26B13"/>
    <w:multiLevelType w:val="hybridMultilevel"/>
    <w:tmpl w:val="1368C35C"/>
    <w:lvl w:ilvl="0" w:tplc="0596A2FE">
      <w:start w:val="1"/>
      <w:numFmt w:val="lowerLetter"/>
      <w:lvlText w:val="%1)"/>
      <w:lvlJc w:val="left"/>
      <w:pPr>
        <w:ind w:left="360" w:hanging="360"/>
      </w:pPr>
      <w:rPr>
        <w:rFonts w:hint="default"/>
        <w:sz w:val="14"/>
        <w:szCs w:val="14"/>
      </w:rPr>
    </w:lvl>
    <w:lvl w:ilvl="1" w:tplc="DA28EDA8">
      <w:start w:val="1"/>
      <w:numFmt w:val="lowerLetter"/>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2">
    <w:nsid w:val="445E157B"/>
    <w:multiLevelType w:val="hybridMultilevel"/>
    <w:tmpl w:val="82348BE0"/>
    <w:lvl w:ilvl="0" w:tplc="310E75D2">
      <w:start w:val="1"/>
      <w:numFmt w:val="lowerLetter"/>
      <w:lvlText w:val="%1)"/>
      <w:lvlJc w:val="left"/>
      <w:pPr>
        <w:ind w:left="360" w:hanging="360"/>
      </w:pPr>
      <w:rPr>
        <w:rFonts w:hint="default"/>
        <w:sz w:val="14"/>
        <w:szCs w:val="14"/>
      </w:rPr>
    </w:lvl>
    <w:lvl w:ilvl="1" w:tplc="DA28EDA8">
      <w:start w:val="1"/>
      <w:numFmt w:val="lowerLetter"/>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3">
    <w:nsid w:val="44970D9B"/>
    <w:multiLevelType w:val="hybridMultilevel"/>
    <w:tmpl w:val="4F06F4C6"/>
    <w:lvl w:ilvl="0" w:tplc="272E9396">
      <w:start w:val="1"/>
      <w:numFmt w:val="lowerLetter"/>
      <w:lvlText w:val="%1)"/>
      <w:lvlJc w:val="left"/>
      <w:pPr>
        <w:ind w:left="360" w:hanging="360"/>
      </w:pPr>
      <w:rPr>
        <w:rFonts w:hint="default"/>
        <w:sz w:val="14"/>
        <w:szCs w:val="14"/>
      </w:rPr>
    </w:lvl>
    <w:lvl w:ilvl="1" w:tplc="DA28EDA8">
      <w:start w:val="1"/>
      <w:numFmt w:val="lowerLetter"/>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4">
    <w:nsid w:val="458A0565"/>
    <w:multiLevelType w:val="hybridMultilevel"/>
    <w:tmpl w:val="3A8EAC5A"/>
    <w:lvl w:ilvl="0" w:tplc="25049108">
      <w:start w:val="1"/>
      <w:numFmt w:val="lowerLetter"/>
      <w:lvlText w:val="%1)"/>
      <w:lvlJc w:val="left"/>
      <w:pPr>
        <w:ind w:left="360" w:hanging="360"/>
      </w:pPr>
      <w:rPr>
        <w:rFonts w:hint="default"/>
        <w:sz w:val="14"/>
        <w:szCs w:val="14"/>
      </w:rPr>
    </w:lvl>
    <w:lvl w:ilvl="1" w:tplc="DA28EDA8">
      <w:start w:val="1"/>
      <w:numFmt w:val="lowerLetter"/>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5">
    <w:nsid w:val="4B6A6168"/>
    <w:multiLevelType w:val="hybridMultilevel"/>
    <w:tmpl w:val="4A5C32C0"/>
    <w:lvl w:ilvl="0" w:tplc="3D9CF348">
      <w:start w:val="1"/>
      <w:numFmt w:val="lowerLetter"/>
      <w:lvlText w:val="%1)"/>
      <w:lvlJc w:val="left"/>
      <w:pPr>
        <w:ind w:left="360" w:hanging="360"/>
      </w:pPr>
      <w:rPr>
        <w:rFonts w:hint="default"/>
        <w:sz w:val="14"/>
        <w:szCs w:val="14"/>
      </w:rPr>
    </w:lvl>
    <w:lvl w:ilvl="1" w:tplc="DA28EDA8">
      <w:start w:val="1"/>
      <w:numFmt w:val="lowerLetter"/>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6">
    <w:nsid w:val="4C5A6B03"/>
    <w:multiLevelType w:val="hybridMultilevel"/>
    <w:tmpl w:val="4A6C9A72"/>
    <w:lvl w:ilvl="0" w:tplc="67244E9E">
      <w:start w:val="1"/>
      <w:numFmt w:val="lowerLetter"/>
      <w:lvlText w:val="%1)"/>
      <w:lvlJc w:val="left"/>
      <w:pPr>
        <w:ind w:left="360" w:hanging="360"/>
      </w:pPr>
      <w:rPr>
        <w:rFonts w:hint="default"/>
        <w:sz w:val="14"/>
        <w:szCs w:val="1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7">
    <w:nsid w:val="4CCA3696"/>
    <w:multiLevelType w:val="hybridMultilevel"/>
    <w:tmpl w:val="460C90E2"/>
    <w:lvl w:ilvl="0" w:tplc="B19076B2">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8">
    <w:nsid w:val="4CF92EB3"/>
    <w:multiLevelType w:val="hybridMultilevel"/>
    <w:tmpl w:val="6EF665D2"/>
    <w:lvl w:ilvl="0" w:tplc="DD688108">
      <w:start w:val="1"/>
      <w:numFmt w:val="lowerLetter"/>
      <w:lvlText w:val="%1)"/>
      <w:lvlJc w:val="left"/>
      <w:pPr>
        <w:ind w:left="360" w:hanging="360"/>
      </w:pPr>
      <w:rPr>
        <w:rFonts w:hint="default"/>
        <w:sz w:val="14"/>
        <w:szCs w:val="14"/>
      </w:rPr>
    </w:lvl>
    <w:lvl w:ilvl="1" w:tplc="DA28EDA8">
      <w:start w:val="1"/>
      <w:numFmt w:val="lowerLetter"/>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9">
    <w:nsid w:val="4CFB71BE"/>
    <w:multiLevelType w:val="hybridMultilevel"/>
    <w:tmpl w:val="9C863318"/>
    <w:lvl w:ilvl="0" w:tplc="D3001E24">
      <w:start w:val="1"/>
      <w:numFmt w:val="lowerLetter"/>
      <w:lvlText w:val="%1)"/>
      <w:lvlJc w:val="left"/>
      <w:pPr>
        <w:ind w:left="360" w:hanging="360"/>
      </w:pPr>
      <w:rPr>
        <w:rFonts w:hint="default"/>
        <w:sz w:val="14"/>
        <w:szCs w:val="14"/>
      </w:rPr>
    </w:lvl>
    <w:lvl w:ilvl="1" w:tplc="DA28EDA8">
      <w:start w:val="1"/>
      <w:numFmt w:val="lowerLetter"/>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0">
    <w:nsid w:val="4DE05B5B"/>
    <w:multiLevelType w:val="hybridMultilevel"/>
    <w:tmpl w:val="7CB82134"/>
    <w:lvl w:ilvl="0" w:tplc="1D6C0876">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1">
    <w:nsid w:val="50870353"/>
    <w:multiLevelType w:val="hybridMultilevel"/>
    <w:tmpl w:val="C644A4F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2">
    <w:nsid w:val="50976545"/>
    <w:multiLevelType w:val="hybridMultilevel"/>
    <w:tmpl w:val="B7C80396"/>
    <w:lvl w:ilvl="0" w:tplc="64AC943E">
      <w:start w:val="1"/>
      <w:numFmt w:val="lowerLetter"/>
      <w:lvlText w:val="%1)"/>
      <w:lvlJc w:val="left"/>
      <w:pPr>
        <w:ind w:left="360" w:hanging="360"/>
      </w:pPr>
      <w:rPr>
        <w:rFonts w:hint="default"/>
        <w:sz w:val="14"/>
        <w:szCs w:val="14"/>
      </w:rPr>
    </w:lvl>
    <w:lvl w:ilvl="1" w:tplc="DA28EDA8">
      <w:start w:val="1"/>
      <w:numFmt w:val="lowerLetter"/>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3">
    <w:nsid w:val="52A01455"/>
    <w:multiLevelType w:val="hybridMultilevel"/>
    <w:tmpl w:val="6B82C874"/>
    <w:lvl w:ilvl="0" w:tplc="B3F0B052">
      <w:start w:val="1"/>
      <w:numFmt w:val="lowerLetter"/>
      <w:lvlText w:val="%1)"/>
      <w:lvlJc w:val="left"/>
      <w:pPr>
        <w:ind w:left="360" w:hanging="360"/>
      </w:pPr>
      <w:rPr>
        <w:rFonts w:hint="default"/>
        <w:sz w:val="14"/>
        <w:szCs w:val="14"/>
      </w:rPr>
    </w:lvl>
    <w:lvl w:ilvl="1" w:tplc="DA28EDA8">
      <w:start w:val="1"/>
      <w:numFmt w:val="lowerLetter"/>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4">
    <w:nsid w:val="558936E6"/>
    <w:multiLevelType w:val="hybridMultilevel"/>
    <w:tmpl w:val="92CC3C46"/>
    <w:lvl w:ilvl="0" w:tplc="8DD255B6">
      <w:start w:val="1"/>
      <w:numFmt w:val="lowerLetter"/>
      <w:lvlText w:val="%1)"/>
      <w:lvlJc w:val="left"/>
      <w:pPr>
        <w:ind w:left="360" w:hanging="360"/>
      </w:pPr>
      <w:rPr>
        <w:rFonts w:hint="default"/>
        <w:sz w:val="14"/>
        <w:szCs w:val="14"/>
      </w:rPr>
    </w:lvl>
    <w:lvl w:ilvl="1" w:tplc="DA28EDA8">
      <w:start w:val="1"/>
      <w:numFmt w:val="lowerLetter"/>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5">
    <w:nsid w:val="5604174C"/>
    <w:multiLevelType w:val="hybridMultilevel"/>
    <w:tmpl w:val="7D5EFD34"/>
    <w:lvl w:ilvl="0" w:tplc="6B2ACCEC">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6">
    <w:nsid w:val="5A31625B"/>
    <w:multiLevelType w:val="hybridMultilevel"/>
    <w:tmpl w:val="12386692"/>
    <w:lvl w:ilvl="0" w:tplc="5F8CDB9E">
      <w:start w:val="1"/>
      <w:numFmt w:val="lowerLetter"/>
      <w:lvlText w:val="%1)"/>
      <w:lvlJc w:val="left"/>
      <w:pPr>
        <w:ind w:left="360" w:hanging="360"/>
      </w:pPr>
      <w:rPr>
        <w:rFonts w:hint="default"/>
        <w:sz w:val="14"/>
        <w:szCs w:val="14"/>
      </w:rPr>
    </w:lvl>
    <w:lvl w:ilvl="1" w:tplc="DA28EDA8">
      <w:start w:val="1"/>
      <w:numFmt w:val="lowerLetter"/>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7">
    <w:nsid w:val="5AE66A8B"/>
    <w:multiLevelType w:val="hybridMultilevel"/>
    <w:tmpl w:val="95349AE4"/>
    <w:lvl w:ilvl="0" w:tplc="8A823028">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8">
    <w:nsid w:val="5C2E1E42"/>
    <w:multiLevelType w:val="hybridMultilevel"/>
    <w:tmpl w:val="9962CEE0"/>
    <w:lvl w:ilvl="0" w:tplc="0C090011">
      <w:start w:val="1"/>
      <w:numFmt w:val="decimal"/>
      <w:lvlText w:val="%1)"/>
      <w:lvlJc w:val="left"/>
      <w:pPr>
        <w:ind w:left="360" w:hanging="360"/>
      </w:pPr>
      <w:rPr>
        <w:rFonts w:hint="default"/>
        <w:sz w:val="14"/>
        <w:szCs w:val="1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9">
    <w:nsid w:val="5D1236B3"/>
    <w:multiLevelType w:val="hybridMultilevel"/>
    <w:tmpl w:val="C644A4F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0">
    <w:nsid w:val="5D2635E1"/>
    <w:multiLevelType w:val="hybridMultilevel"/>
    <w:tmpl w:val="C644A4F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1">
    <w:nsid w:val="5EF93B01"/>
    <w:multiLevelType w:val="hybridMultilevel"/>
    <w:tmpl w:val="3D847356"/>
    <w:lvl w:ilvl="0" w:tplc="0C090011">
      <w:start w:val="1"/>
      <w:numFmt w:val="decimal"/>
      <w:lvlText w:val="%1)"/>
      <w:lvlJc w:val="left"/>
      <w:pPr>
        <w:ind w:left="360" w:hanging="360"/>
      </w:pPr>
      <w:rPr>
        <w:rFonts w:hint="default"/>
        <w:sz w:val="14"/>
        <w:szCs w:val="1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2">
    <w:nsid w:val="5F55010A"/>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3">
    <w:nsid w:val="62B470D4"/>
    <w:multiLevelType w:val="hybridMultilevel"/>
    <w:tmpl w:val="5874BFAC"/>
    <w:lvl w:ilvl="0" w:tplc="0C090011">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4">
    <w:nsid w:val="659C62F2"/>
    <w:multiLevelType w:val="hybridMultilevel"/>
    <w:tmpl w:val="7012D0F6"/>
    <w:lvl w:ilvl="0" w:tplc="468E1B5A">
      <w:start w:val="1"/>
      <w:numFmt w:val="lowerLetter"/>
      <w:lvlText w:val="%1)"/>
      <w:lvlJc w:val="left"/>
      <w:pPr>
        <w:ind w:left="360" w:hanging="360"/>
      </w:pPr>
      <w:rPr>
        <w:rFonts w:hint="default"/>
        <w:sz w:val="14"/>
        <w:szCs w:val="14"/>
      </w:rPr>
    </w:lvl>
    <w:lvl w:ilvl="1" w:tplc="DA28EDA8">
      <w:start w:val="1"/>
      <w:numFmt w:val="lowerLetter"/>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5">
    <w:nsid w:val="65F538B9"/>
    <w:multiLevelType w:val="hybridMultilevel"/>
    <w:tmpl w:val="8BE8E414"/>
    <w:lvl w:ilvl="0" w:tplc="658AE1AA">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6">
    <w:nsid w:val="66A929F5"/>
    <w:multiLevelType w:val="hybridMultilevel"/>
    <w:tmpl w:val="A5F4FD8E"/>
    <w:lvl w:ilvl="0" w:tplc="6B984934">
      <w:start w:val="1"/>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7">
    <w:nsid w:val="670F051E"/>
    <w:multiLevelType w:val="hybridMultilevel"/>
    <w:tmpl w:val="6AF6CD7E"/>
    <w:lvl w:ilvl="0" w:tplc="E75C4EA0">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8">
    <w:nsid w:val="679F0E06"/>
    <w:multiLevelType w:val="hybridMultilevel"/>
    <w:tmpl w:val="4FEA4BE2"/>
    <w:lvl w:ilvl="0" w:tplc="98A6B2B8">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9">
    <w:nsid w:val="68AD149B"/>
    <w:multiLevelType w:val="hybridMultilevel"/>
    <w:tmpl w:val="7F346F9A"/>
    <w:lvl w:ilvl="0" w:tplc="9A5E9F54">
      <w:start w:val="1"/>
      <w:numFmt w:val="lowerLetter"/>
      <w:lvlText w:val="%1)"/>
      <w:lvlJc w:val="left"/>
      <w:pPr>
        <w:ind w:left="360" w:hanging="360"/>
      </w:pPr>
      <w:rPr>
        <w:rFonts w:hint="default"/>
        <w:sz w:val="14"/>
        <w:szCs w:val="14"/>
      </w:rPr>
    </w:lvl>
    <w:lvl w:ilvl="1" w:tplc="DA28EDA8">
      <w:start w:val="1"/>
      <w:numFmt w:val="lowerLetter"/>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0">
    <w:nsid w:val="69083445"/>
    <w:multiLevelType w:val="hybridMultilevel"/>
    <w:tmpl w:val="9D428EC0"/>
    <w:lvl w:ilvl="0" w:tplc="DEAE6972">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1">
    <w:nsid w:val="6A062FF3"/>
    <w:multiLevelType w:val="hybridMultilevel"/>
    <w:tmpl w:val="50C890E6"/>
    <w:lvl w:ilvl="0" w:tplc="58F66A70">
      <w:start w:val="1"/>
      <w:numFmt w:val="lowerLetter"/>
      <w:lvlText w:val="%1)"/>
      <w:lvlJc w:val="left"/>
      <w:pPr>
        <w:ind w:left="360" w:hanging="360"/>
      </w:pPr>
      <w:rPr>
        <w:rFonts w:hint="default"/>
        <w:sz w:val="14"/>
        <w:szCs w:val="14"/>
      </w:rPr>
    </w:lvl>
    <w:lvl w:ilvl="1" w:tplc="DA28EDA8">
      <w:start w:val="1"/>
      <w:numFmt w:val="lowerLetter"/>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2">
    <w:nsid w:val="6C31631A"/>
    <w:multiLevelType w:val="hybridMultilevel"/>
    <w:tmpl w:val="F6104686"/>
    <w:lvl w:ilvl="0" w:tplc="0234E920">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3">
    <w:nsid w:val="6D337B0E"/>
    <w:multiLevelType w:val="hybridMultilevel"/>
    <w:tmpl w:val="323ED4CA"/>
    <w:lvl w:ilvl="0" w:tplc="0C090017">
      <w:start w:val="1"/>
      <w:numFmt w:val="lowerLetter"/>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4">
    <w:nsid w:val="6D7318A7"/>
    <w:multiLevelType w:val="hybridMultilevel"/>
    <w:tmpl w:val="8B68B71A"/>
    <w:lvl w:ilvl="0" w:tplc="F146C120">
      <w:start w:val="1"/>
      <w:numFmt w:val="bullet"/>
      <w:pStyle w:val="Bullet2"/>
      <w:lvlText w:val="–"/>
      <w:lvlJc w:val="left"/>
      <w:pPr>
        <w:tabs>
          <w:tab w:val="num" w:pos="794"/>
        </w:tabs>
        <w:ind w:left="794" w:hanging="397"/>
      </w:pPr>
      <w:rPr>
        <w:rFonts w:ascii="Book Antiqua" w:hAnsi="Book Antiqua" w:hint="default"/>
        <w:b w:val="0"/>
        <w:i w:val="0"/>
        <w:color w:val="000000"/>
        <w:sz w:val="22"/>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5">
    <w:nsid w:val="705E1279"/>
    <w:multiLevelType w:val="hybridMultilevel"/>
    <w:tmpl w:val="DE3E84D6"/>
    <w:lvl w:ilvl="0" w:tplc="0A8E32F8">
      <w:start w:val="1"/>
      <w:numFmt w:val="lowerLetter"/>
      <w:lvlText w:val="%1)"/>
      <w:lvlJc w:val="left"/>
      <w:pPr>
        <w:ind w:left="360" w:hanging="360"/>
      </w:pPr>
      <w:rPr>
        <w:rFonts w:hint="default"/>
        <w:sz w:val="14"/>
        <w:szCs w:val="14"/>
      </w:rPr>
    </w:lvl>
    <w:lvl w:ilvl="1" w:tplc="DA28EDA8">
      <w:start w:val="1"/>
      <w:numFmt w:val="lowerLetter"/>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6">
    <w:nsid w:val="705E2842"/>
    <w:multiLevelType w:val="hybridMultilevel"/>
    <w:tmpl w:val="51663D4A"/>
    <w:lvl w:ilvl="0" w:tplc="B1DCC720">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7">
    <w:nsid w:val="70E13E3B"/>
    <w:multiLevelType w:val="hybridMultilevel"/>
    <w:tmpl w:val="3ED49F1A"/>
    <w:lvl w:ilvl="0" w:tplc="0C090017">
      <w:start w:val="1"/>
      <w:numFmt w:val="lowerLetter"/>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8">
    <w:nsid w:val="722A7B99"/>
    <w:multiLevelType w:val="hybridMultilevel"/>
    <w:tmpl w:val="F27069D6"/>
    <w:lvl w:ilvl="0" w:tplc="8E3E5D32">
      <w:start w:val="1"/>
      <w:numFmt w:val="lowerLetter"/>
      <w:lvlText w:val="%1)"/>
      <w:lvlJc w:val="left"/>
      <w:pPr>
        <w:ind w:left="360" w:hanging="360"/>
      </w:pPr>
      <w:rPr>
        <w:rFonts w:hint="default"/>
        <w:sz w:val="14"/>
        <w:szCs w:val="14"/>
      </w:rPr>
    </w:lvl>
    <w:lvl w:ilvl="1" w:tplc="DA28EDA8">
      <w:start w:val="1"/>
      <w:numFmt w:val="lowerLetter"/>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9">
    <w:nsid w:val="72627154"/>
    <w:multiLevelType w:val="hybridMultilevel"/>
    <w:tmpl w:val="C644A4F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0">
    <w:nsid w:val="740D7321"/>
    <w:multiLevelType w:val="hybridMultilevel"/>
    <w:tmpl w:val="18360DFC"/>
    <w:lvl w:ilvl="0" w:tplc="F3C67A78">
      <w:start w:val="1"/>
      <w:numFmt w:val="lowerLetter"/>
      <w:lvlText w:val="%1)"/>
      <w:lvlJc w:val="left"/>
      <w:pPr>
        <w:ind w:left="360" w:hanging="360"/>
      </w:pPr>
      <w:rPr>
        <w:rFonts w:hint="default"/>
        <w:sz w:val="14"/>
        <w:szCs w:val="14"/>
      </w:rPr>
    </w:lvl>
    <w:lvl w:ilvl="1" w:tplc="DA28EDA8">
      <w:start w:val="1"/>
      <w:numFmt w:val="lowerLetter"/>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1">
    <w:nsid w:val="7B3322ED"/>
    <w:multiLevelType w:val="hybridMultilevel"/>
    <w:tmpl w:val="3808E5EA"/>
    <w:lvl w:ilvl="0" w:tplc="10F83CD4">
      <w:start w:val="1"/>
      <w:numFmt w:val="lowerLetter"/>
      <w:lvlText w:val="%1)"/>
      <w:lvlJc w:val="left"/>
      <w:pPr>
        <w:ind w:left="360" w:hanging="360"/>
      </w:pPr>
      <w:rPr>
        <w:rFonts w:hint="default"/>
        <w:sz w:val="14"/>
        <w:szCs w:val="14"/>
      </w:rPr>
    </w:lvl>
    <w:lvl w:ilvl="1" w:tplc="DA28EDA8">
      <w:start w:val="1"/>
      <w:numFmt w:val="lowerLetter"/>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2">
    <w:nsid w:val="7C440B08"/>
    <w:multiLevelType w:val="hybridMultilevel"/>
    <w:tmpl w:val="C644A4F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3">
    <w:nsid w:val="7D7C458D"/>
    <w:multiLevelType w:val="hybridMultilevel"/>
    <w:tmpl w:val="CE34406C"/>
    <w:lvl w:ilvl="0" w:tplc="8C36933C">
      <w:start w:val="1"/>
      <w:numFmt w:val="lowerLetter"/>
      <w:lvlText w:val="%1)"/>
      <w:lvlJc w:val="left"/>
      <w:pPr>
        <w:ind w:left="360" w:hanging="360"/>
      </w:pPr>
      <w:rPr>
        <w:rFonts w:hint="default"/>
        <w:sz w:val="14"/>
        <w:szCs w:val="14"/>
      </w:rPr>
    </w:lvl>
    <w:lvl w:ilvl="1" w:tplc="DA28EDA8">
      <w:start w:val="1"/>
      <w:numFmt w:val="lowerLetter"/>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4">
    <w:nsid w:val="7DCF502D"/>
    <w:multiLevelType w:val="hybridMultilevel"/>
    <w:tmpl w:val="11960812"/>
    <w:lvl w:ilvl="0" w:tplc="CF28D522">
      <w:start w:val="1"/>
      <w:numFmt w:val="lowerLetter"/>
      <w:lvlText w:val="%1)"/>
      <w:lvlJc w:val="left"/>
      <w:pPr>
        <w:ind w:left="360" w:hanging="360"/>
      </w:pPr>
      <w:rPr>
        <w:rFonts w:hint="default"/>
        <w:sz w:val="14"/>
        <w:szCs w:val="14"/>
      </w:rPr>
    </w:lvl>
    <w:lvl w:ilvl="1" w:tplc="DA28EDA8">
      <w:start w:val="1"/>
      <w:numFmt w:val="lowerLetter"/>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104"/>
  </w:num>
  <w:num w:numId="2">
    <w:abstractNumId w:val="12"/>
  </w:num>
  <w:num w:numId="3">
    <w:abstractNumId w:val="92"/>
  </w:num>
  <w:num w:numId="4">
    <w:abstractNumId w:val="1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30"/>
  </w:num>
  <w:num w:numId="16">
    <w:abstractNumId w:val="59"/>
  </w:num>
  <w:num w:numId="17">
    <w:abstractNumId w:val="62"/>
  </w:num>
  <w:num w:numId="18">
    <w:abstractNumId w:val="67"/>
  </w:num>
  <w:num w:numId="19">
    <w:abstractNumId w:val="55"/>
  </w:num>
  <w:num w:numId="20">
    <w:abstractNumId w:val="21"/>
  </w:num>
  <w:num w:numId="21">
    <w:abstractNumId w:val="109"/>
  </w:num>
  <w:num w:numId="22">
    <w:abstractNumId w:val="32"/>
  </w:num>
  <w:num w:numId="23">
    <w:abstractNumId w:val="36"/>
  </w:num>
  <w:num w:numId="24">
    <w:abstractNumId w:val="81"/>
  </w:num>
  <w:num w:numId="25">
    <w:abstractNumId w:val="112"/>
  </w:num>
  <w:num w:numId="26">
    <w:abstractNumId w:val="58"/>
  </w:num>
  <w:num w:numId="27">
    <w:abstractNumId w:val="90"/>
  </w:num>
  <w:num w:numId="28">
    <w:abstractNumId w:val="11"/>
  </w:num>
  <w:num w:numId="29">
    <w:abstractNumId w:val="50"/>
  </w:num>
  <w:num w:numId="30">
    <w:abstractNumId w:val="89"/>
  </w:num>
  <w:num w:numId="31">
    <w:abstractNumId w:val="64"/>
  </w:num>
  <w:num w:numId="32">
    <w:abstractNumId w:val="39"/>
  </w:num>
  <w:num w:numId="33">
    <w:abstractNumId w:val="19"/>
  </w:num>
  <w:num w:numId="34">
    <w:abstractNumId w:val="17"/>
  </w:num>
  <w:num w:numId="35">
    <w:abstractNumId w:val="44"/>
  </w:num>
  <w:num w:numId="36">
    <w:abstractNumId w:val="85"/>
  </w:num>
  <w:num w:numId="37">
    <w:abstractNumId w:val="97"/>
  </w:num>
  <w:num w:numId="38">
    <w:abstractNumId w:val="87"/>
  </w:num>
  <w:num w:numId="39">
    <w:abstractNumId w:val="47"/>
  </w:num>
  <w:num w:numId="40">
    <w:abstractNumId w:val="106"/>
  </w:num>
  <w:num w:numId="41">
    <w:abstractNumId w:val="95"/>
  </w:num>
  <w:num w:numId="42">
    <w:abstractNumId w:val="51"/>
  </w:num>
  <w:num w:numId="43">
    <w:abstractNumId w:val="37"/>
  </w:num>
  <w:num w:numId="44">
    <w:abstractNumId w:val="100"/>
  </w:num>
  <w:num w:numId="45">
    <w:abstractNumId w:val="77"/>
  </w:num>
  <w:num w:numId="46">
    <w:abstractNumId w:val="80"/>
  </w:num>
  <w:num w:numId="47">
    <w:abstractNumId w:val="24"/>
  </w:num>
  <w:num w:numId="48">
    <w:abstractNumId w:val="18"/>
  </w:num>
  <w:num w:numId="49">
    <w:abstractNumId w:val="66"/>
  </w:num>
  <w:num w:numId="50">
    <w:abstractNumId w:val="98"/>
  </w:num>
  <w:num w:numId="51">
    <w:abstractNumId w:val="52"/>
  </w:num>
  <w:num w:numId="52">
    <w:abstractNumId w:val="102"/>
  </w:num>
  <w:num w:numId="53">
    <w:abstractNumId w:val="23"/>
  </w:num>
  <w:num w:numId="54">
    <w:abstractNumId w:val="56"/>
  </w:num>
  <w:num w:numId="55">
    <w:abstractNumId w:val="65"/>
  </w:num>
  <w:num w:numId="56">
    <w:abstractNumId w:val="25"/>
  </w:num>
  <w:num w:numId="57">
    <w:abstractNumId w:val="22"/>
  </w:num>
  <w:num w:numId="58">
    <w:abstractNumId w:val="13"/>
  </w:num>
  <w:num w:numId="59">
    <w:abstractNumId w:val="42"/>
  </w:num>
  <w:num w:numId="60">
    <w:abstractNumId w:val="45"/>
  </w:num>
  <w:num w:numId="61">
    <w:abstractNumId w:val="49"/>
  </w:num>
  <w:num w:numId="62">
    <w:abstractNumId w:val="113"/>
  </w:num>
  <w:num w:numId="63">
    <w:abstractNumId w:val="96"/>
  </w:num>
  <w:num w:numId="64">
    <w:abstractNumId w:val="99"/>
  </w:num>
  <w:num w:numId="65">
    <w:abstractNumId w:val="34"/>
  </w:num>
  <w:num w:numId="66">
    <w:abstractNumId w:val="57"/>
  </w:num>
  <w:num w:numId="67">
    <w:abstractNumId w:val="61"/>
  </w:num>
  <w:num w:numId="68">
    <w:abstractNumId w:val="41"/>
  </w:num>
  <w:num w:numId="69">
    <w:abstractNumId w:val="40"/>
  </w:num>
  <w:num w:numId="70">
    <w:abstractNumId w:val="107"/>
  </w:num>
  <w:num w:numId="71">
    <w:abstractNumId w:val="15"/>
  </w:num>
  <w:num w:numId="72">
    <w:abstractNumId w:val="103"/>
  </w:num>
  <w:num w:numId="73">
    <w:abstractNumId w:val="43"/>
  </w:num>
  <w:num w:numId="74">
    <w:abstractNumId w:val="110"/>
  </w:num>
  <w:num w:numId="75">
    <w:abstractNumId w:val="86"/>
  </w:num>
  <w:num w:numId="76">
    <w:abstractNumId w:val="84"/>
  </w:num>
  <w:num w:numId="77">
    <w:abstractNumId w:val="79"/>
  </w:num>
  <w:num w:numId="78">
    <w:abstractNumId w:val="69"/>
  </w:num>
  <w:num w:numId="79">
    <w:abstractNumId w:val="29"/>
  </w:num>
  <w:num w:numId="80">
    <w:abstractNumId w:val="38"/>
  </w:num>
  <w:num w:numId="81">
    <w:abstractNumId w:val="27"/>
  </w:num>
  <w:num w:numId="82">
    <w:abstractNumId w:val="46"/>
  </w:num>
  <w:num w:numId="83">
    <w:abstractNumId w:val="114"/>
  </w:num>
  <w:num w:numId="84">
    <w:abstractNumId w:val="28"/>
  </w:num>
  <w:num w:numId="85">
    <w:abstractNumId w:val="63"/>
  </w:num>
  <w:num w:numId="86">
    <w:abstractNumId w:val="111"/>
  </w:num>
  <w:num w:numId="87">
    <w:abstractNumId w:val="105"/>
  </w:num>
  <w:num w:numId="88">
    <w:abstractNumId w:val="88"/>
  </w:num>
  <w:num w:numId="89">
    <w:abstractNumId w:val="14"/>
  </w:num>
  <w:num w:numId="90">
    <w:abstractNumId w:val="94"/>
  </w:num>
  <w:num w:numId="91">
    <w:abstractNumId w:val="54"/>
  </w:num>
  <w:num w:numId="92">
    <w:abstractNumId w:val="31"/>
  </w:num>
  <w:num w:numId="93">
    <w:abstractNumId w:val="72"/>
  </w:num>
  <w:num w:numId="94">
    <w:abstractNumId w:val="75"/>
  </w:num>
  <w:num w:numId="95">
    <w:abstractNumId w:val="16"/>
  </w:num>
  <w:num w:numId="96">
    <w:abstractNumId w:val="33"/>
  </w:num>
  <w:num w:numId="97">
    <w:abstractNumId w:val="20"/>
  </w:num>
  <w:num w:numId="98">
    <w:abstractNumId w:val="74"/>
  </w:num>
  <w:num w:numId="99">
    <w:abstractNumId w:val="93"/>
  </w:num>
  <w:num w:numId="100">
    <w:abstractNumId w:val="48"/>
  </w:num>
  <w:num w:numId="101">
    <w:abstractNumId w:val="83"/>
  </w:num>
  <w:num w:numId="102">
    <w:abstractNumId w:val="91"/>
  </w:num>
  <w:num w:numId="103">
    <w:abstractNumId w:val="60"/>
  </w:num>
  <w:num w:numId="104">
    <w:abstractNumId w:val="53"/>
  </w:num>
  <w:num w:numId="105">
    <w:abstractNumId w:val="108"/>
  </w:num>
  <w:num w:numId="106">
    <w:abstractNumId w:val="82"/>
  </w:num>
  <w:num w:numId="107">
    <w:abstractNumId w:val="71"/>
  </w:num>
  <w:num w:numId="108">
    <w:abstractNumId w:val="26"/>
  </w:num>
  <w:num w:numId="109">
    <w:abstractNumId w:val="73"/>
  </w:num>
  <w:num w:numId="110">
    <w:abstractNumId w:val="68"/>
  </w:num>
  <w:num w:numId="111">
    <w:abstractNumId w:val="70"/>
  </w:num>
  <w:num w:numId="112">
    <w:abstractNumId w:val="76"/>
  </w:num>
  <w:num w:numId="113">
    <w:abstractNumId w:val="78"/>
  </w:num>
  <w:num w:numId="114">
    <w:abstractNumId w:val="35"/>
  </w:num>
  <w:num w:numId="115">
    <w:abstractNumId w:val="101"/>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styleLockTheme/>
  <w:styleLockQFSet/>
  <w:defaultTabStop w:val="709"/>
  <w:evenAndOddHeaders/>
  <w:characterSpacingControl w:val="doNotCompress"/>
  <w:hdrShapeDefaults>
    <o:shapedefaults v:ext="edit" spidmax="55297"/>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812DCB26-1CC9-42FF-825F-8439A0DBBDF4}"/>
    <w:docVar w:name="dgnword-eventsink" w:val="115313744"/>
    <w:docVar w:name="EN.InstantFormat" w:val="&lt;ENInstantFormat&gt;&lt;Enabled&gt;1&lt;/Enabled&gt;&lt;ScanUnformatted&gt;1&lt;/ScanUnformatted&gt;&lt;ScanChanges&gt;1&lt;/ScanChanges&gt;&lt;/ENInstantFormat&gt;"/>
    <w:docVar w:name="EN.Layout" w:val="&lt;ENLayout&gt;&lt;Style&gt;AIHW&lt;/Style&gt;&lt;LeftDelim&gt;{&lt;/LeftDelim&gt;&lt;RightDelim&gt;}&lt;/RightDelim&gt;&lt;FontName&gt;Book Antiqua&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s2w9zf0sma9dweewvf45evsb2w9dv99wd9d5&quot;&gt;AIHW&lt;record-ids&gt;&lt;item&gt;10226&lt;/item&gt;&lt;/record-ids&gt;&lt;/item&gt;&lt;/Libraries&gt;"/>
  </w:docVars>
  <w:rsids>
    <w:rsidRoot w:val="00502F93"/>
    <w:rsid w:val="000031E2"/>
    <w:rsid w:val="00003348"/>
    <w:rsid w:val="0000799C"/>
    <w:rsid w:val="00017E87"/>
    <w:rsid w:val="00024416"/>
    <w:rsid w:val="0002561B"/>
    <w:rsid w:val="00026EE7"/>
    <w:rsid w:val="0003145D"/>
    <w:rsid w:val="000348FD"/>
    <w:rsid w:val="00036C88"/>
    <w:rsid w:val="0004486C"/>
    <w:rsid w:val="00052939"/>
    <w:rsid w:val="000556D8"/>
    <w:rsid w:val="0006497C"/>
    <w:rsid w:val="00066E88"/>
    <w:rsid w:val="0007172A"/>
    <w:rsid w:val="000725C2"/>
    <w:rsid w:val="00076860"/>
    <w:rsid w:val="0007737D"/>
    <w:rsid w:val="00090C7D"/>
    <w:rsid w:val="0009309E"/>
    <w:rsid w:val="000A6F9D"/>
    <w:rsid w:val="000B2821"/>
    <w:rsid w:val="000B37E4"/>
    <w:rsid w:val="000C3DEA"/>
    <w:rsid w:val="000C5ACA"/>
    <w:rsid w:val="000C60AC"/>
    <w:rsid w:val="000E0677"/>
    <w:rsid w:val="000E3F6C"/>
    <w:rsid w:val="000E3F97"/>
    <w:rsid w:val="000E77A4"/>
    <w:rsid w:val="000F16DB"/>
    <w:rsid w:val="000F1B66"/>
    <w:rsid w:val="000F45B9"/>
    <w:rsid w:val="000F4B5D"/>
    <w:rsid w:val="00142B75"/>
    <w:rsid w:val="00157EBD"/>
    <w:rsid w:val="00161D26"/>
    <w:rsid w:val="001847B6"/>
    <w:rsid w:val="00191BBE"/>
    <w:rsid w:val="001928A4"/>
    <w:rsid w:val="001B0A9F"/>
    <w:rsid w:val="001B1E83"/>
    <w:rsid w:val="001C1AD8"/>
    <w:rsid w:val="001D2462"/>
    <w:rsid w:val="001E3FA3"/>
    <w:rsid w:val="001F0D51"/>
    <w:rsid w:val="001F5F41"/>
    <w:rsid w:val="001F6E1F"/>
    <w:rsid w:val="00212B9B"/>
    <w:rsid w:val="00223307"/>
    <w:rsid w:val="0022499B"/>
    <w:rsid w:val="00225BC7"/>
    <w:rsid w:val="002265C7"/>
    <w:rsid w:val="00232418"/>
    <w:rsid w:val="00255113"/>
    <w:rsid w:val="00256E8D"/>
    <w:rsid w:val="002613B9"/>
    <w:rsid w:val="00261BCF"/>
    <w:rsid w:val="00263946"/>
    <w:rsid w:val="00265D85"/>
    <w:rsid w:val="00267E86"/>
    <w:rsid w:val="00275F22"/>
    <w:rsid w:val="00276367"/>
    <w:rsid w:val="00277622"/>
    <w:rsid w:val="002907CB"/>
    <w:rsid w:val="00290F75"/>
    <w:rsid w:val="002A0668"/>
    <w:rsid w:val="002A621F"/>
    <w:rsid w:val="002A6FD9"/>
    <w:rsid w:val="002B3E26"/>
    <w:rsid w:val="002B6B4B"/>
    <w:rsid w:val="002D2B4B"/>
    <w:rsid w:val="002F37F6"/>
    <w:rsid w:val="00314C48"/>
    <w:rsid w:val="003164BF"/>
    <w:rsid w:val="003342B3"/>
    <w:rsid w:val="003365B1"/>
    <w:rsid w:val="0033783A"/>
    <w:rsid w:val="00343BF0"/>
    <w:rsid w:val="00350F47"/>
    <w:rsid w:val="003610FF"/>
    <w:rsid w:val="003621B4"/>
    <w:rsid w:val="003723A7"/>
    <w:rsid w:val="00376170"/>
    <w:rsid w:val="0038101F"/>
    <w:rsid w:val="00386761"/>
    <w:rsid w:val="003A7FEA"/>
    <w:rsid w:val="003B637B"/>
    <w:rsid w:val="003D2B2B"/>
    <w:rsid w:val="003E1924"/>
    <w:rsid w:val="003E6FE0"/>
    <w:rsid w:val="004018E8"/>
    <w:rsid w:val="0040638B"/>
    <w:rsid w:val="00437154"/>
    <w:rsid w:val="00437CDF"/>
    <w:rsid w:val="00441D04"/>
    <w:rsid w:val="0044293E"/>
    <w:rsid w:val="00466888"/>
    <w:rsid w:val="004734FE"/>
    <w:rsid w:val="00475794"/>
    <w:rsid w:val="00481A2F"/>
    <w:rsid w:val="0048321D"/>
    <w:rsid w:val="00485B51"/>
    <w:rsid w:val="004920CB"/>
    <w:rsid w:val="00493C36"/>
    <w:rsid w:val="00493C5F"/>
    <w:rsid w:val="00494196"/>
    <w:rsid w:val="00495E88"/>
    <w:rsid w:val="004A40F4"/>
    <w:rsid w:val="004C1ACE"/>
    <w:rsid w:val="004C444B"/>
    <w:rsid w:val="004C5779"/>
    <w:rsid w:val="004D727D"/>
    <w:rsid w:val="004E1061"/>
    <w:rsid w:val="004E250D"/>
    <w:rsid w:val="004E56BD"/>
    <w:rsid w:val="005015C3"/>
    <w:rsid w:val="00502F93"/>
    <w:rsid w:val="0050357C"/>
    <w:rsid w:val="00511620"/>
    <w:rsid w:val="00512E44"/>
    <w:rsid w:val="005344C6"/>
    <w:rsid w:val="00540186"/>
    <w:rsid w:val="00541ED8"/>
    <w:rsid w:val="005505CD"/>
    <w:rsid w:val="00553DA5"/>
    <w:rsid w:val="00566C0D"/>
    <w:rsid w:val="00581701"/>
    <w:rsid w:val="00581F7D"/>
    <w:rsid w:val="0058535B"/>
    <w:rsid w:val="0058565E"/>
    <w:rsid w:val="00591C25"/>
    <w:rsid w:val="00591D14"/>
    <w:rsid w:val="005924B2"/>
    <w:rsid w:val="00594F32"/>
    <w:rsid w:val="00596D3B"/>
    <w:rsid w:val="005A73FF"/>
    <w:rsid w:val="005B2C04"/>
    <w:rsid w:val="005C0913"/>
    <w:rsid w:val="005D5A2D"/>
    <w:rsid w:val="005E3B19"/>
    <w:rsid w:val="005E406B"/>
    <w:rsid w:val="005E5A15"/>
    <w:rsid w:val="005F6DCC"/>
    <w:rsid w:val="00614CCC"/>
    <w:rsid w:val="00621901"/>
    <w:rsid w:val="00631EB9"/>
    <w:rsid w:val="00633CA0"/>
    <w:rsid w:val="006376DE"/>
    <w:rsid w:val="0064003D"/>
    <w:rsid w:val="00645110"/>
    <w:rsid w:val="0064617E"/>
    <w:rsid w:val="00660014"/>
    <w:rsid w:val="006678CF"/>
    <w:rsid w:val="00677E6A"/>
    <w:rsid w:val="006876F2"/>
    <w:rsid w:val="00694F64"/>
    <w:rsid w:val="00695D95"/>
    <w:rsid w:val="006A3943"/>
    <w:rsid w:val="006A53E6"/>
    <w:rsid w:val="006B2ED0"/>
    <w:rsid w:val="006B4284"/>
    <w:rsid w:val="006B7411"/>
    <w:rsid w:val="006C192B"/>
    <w:rsid w:val="006D0C92"/>
    <w:rsid w:val="006D4A12"/>
    <w:rsid w:val="006D710B"/>
    <w:rsid w:val="006E4B28"/>
    <w:rsid w:val="006E6760"/>
    <w:rsid w:val="006F67B7"/>
    <w:rsid w:val="0070420B"/>
    <w:rsid w:val="007245C2"/>
    <w:rsid w:val="007253FD"/>
    <w:rsid w:val="00742038"/>
    <w:rsid w:val="007429F2"/>
    <w:rsid w:val="00782498"/>
    <w:rsid w:val="007A6F8F"/>
    <w:rsid w:val="007B1D37"/>
    <w:rsid w:val="007B7B80"/>
    <w:rsid w:val="007C08B5"/>
    <w:rsid w:val="007C1A5C"/>
    <w:rsid w:val="007C26A4"/>
    <w:rsid w:val="007C75A1"/>
    <w:rsid w:val="007E1D68"/>
    <w:rsid w:val="007E627E"/>
    <w:rsid w:val="0081479E"/>
    <w:rsid w:val="00840733"/>
    <w:rsid w:val="008439B1"/>
    <w:rsid w:val="00855EF5"/>
    <w:rsid w:val="008623DD"/>
    <w:rsid w:val="0086346C"/>
    <w:rsid w:val="008640EF"/>
    <w:rsid w:val="0088194D"/>
    <w:rsid w:val="00881A30"/>
    <w:rsid w:val="00882DBC"/>
    <w:rsid w:val="0088346D"/>
    <w:rsid w:val="00884885"/>
    <w:rsid w:val="00886170"/>
    <w:rsid w:val="00887365"/>
    <w:rsid w:val="008A3F74"/>
    <w:rsid w:val="008C2A85"/>
    <w:rsid w:val="008E1422"/>
    <w:rsid w:val="008E4A1C"/>
    <w:rsid w:val="008E579B"/>
    <w:rsid w:val="008F7A00"/>
    <w:rsid w:val="00900037"/>
    <w:rsid w:val="00902A3C"/>
    <w:rsid w:val="00903DEC"/>
    <w:rsid w:val="0091651A"/>
    <w:rsid w:val="0092010A"/>
    <w:rsid w:val="00926D8E"/>
    <w:rsid w:val="0092726F"/>
    <w:rsid w:val="00937F0D"/>
    <w:rsid w:val="009465F3"/>
    <w:rsid w:val="009474EF"/>
    <w:rsid w:val="00953F15"/>
    <w:rsid w:val="0095684B"/>
    <w:rsid w:val="00957421"/>
    <w:rsid w:val="0096114C"/>
    <w:rsid w:val="00962872"/>
    <w:rsid w:val="00963773"/>
    <w:rsid w:val="00964472"/>
    <w:rsid w:val="0096503C"/>
    <w:rsid w:val="0097112F"/>
    <w:rsid w:val="00981EDC"/>
    <w:rsid w:val="0098660E"/>
    <w:rsid w:val="00987128"/>
    <w:rsid w:val="009921E5"/>
    <w:rsid w:val="00993976"/>
    <w:rsid w:val="0099647E"/>
    <w:rsid w:val="009A001D"/>
    <w:rsid w:val="009A17BE"/>
    <w:rsid w:val="009A7AD9"/>
    <w:rsid w:val="009B2765"/>
    <w:rsid w:val="009E13B7"/>
    <w:rsid w:val="009E38EF"/>
    <w:rsid w:val="00A13322"/>
    <w:rsid w:val="00A22385"/>
    <w:rsid w:val="00A30A53"/>
    <w:rsid w:val="00A33440"/>
    <w:rsid w:val="00A37EDF"/>
    <w:rsid w:val="00A41517"/>
    <w:rsid w:val="00A462E9"/>
    <w:rsid w:val="00A47329"/>
    <w:rsid w:val="00A534C6"/>
    <w:rsid w:val="00A539DD"/>
    <w:rsid w:val="00A562C0"/>
    <w:rsid w:val="00A66CCF"/>
    <w:rsid w:val="00A72CA9"/>
    <w:rsid w:val="00A83097"/>
    <w:rsid w:val="00A9134F"/>
    <w:rsid w:val="00A9206D"/>
    <w:rsid w:val="00A94F6E"/>
    <w:rsid w:val="00AA00B1"/>
    <w:rsid w:val="00AA0F41"/>
    <w:rsid w:val="00AC2EA7"/>
    <w:rsid w:val="00AC65F1"/>
    <w:rsid w:val="00AD044E"/>
    <w:rsid w:val="00AD7CD9"/>
    <w:rsid w:val="00AF46B7"/>
    <w:rsid w:val="00B07417"/>
    <w:rsid w:val="00B13FA8"/>
    <w:rsid w:val="00B219FD"/>
    <w:rsid w:val="00B24562"/>
    <w:rsid w:val="00B25354"/>
    <w:rsid w:val="00B2640B"/>
    <w:rsid w:val="00B27FBD"/>
    <w:rsid w:val="00B3054F"/>
    <w:rsid w:val="00B321FB"/>
    <w:rsid w:val="00B3253A"/>
    <w:rsid w:val="00B47B1D"/>
    <w:rsid w:val="00B47EDF"/>
    <w:rsid w:val="00B522A7"/>
    <w:rsid w:val="00B61BE0"/>
    <w:rsid w:val="00B63AF9"/>
    <w:rsid w:val="00B64133"/>
    <w:rsid w:val="00B748EC"/>
    <w:rsid w:val="00B74E30"/>
    <w:rsid w:val="00B82043"/>
    <w:rsid w:val="00B85B20"/>
    <w:rsid w:val="00B92561"/>
    <w:rsid w:val="00B977D5"/>
    <w:rsid w:val="00BB0FA7"/>
    <w:rsid w:val="00BB5B45"/>
    <w:rsid w:val="00BC0B4B"/>
    <w:rsid w:val="00BC2119"/>
    <w:rsid w:val="00BC3DD5"/>
    <w:rsid w:val="00BD0686"/>
    <w:rsid w:val="00BD7809"/>
    <w:rsid w:val="00BD7A83"/>
    <w:rsid w:val="00BE19E3"/>
    <w:rsid w:val="00BE6005"/>
    <w:rsid w:val="00BE6531"/>
    <w:rsid w:val="00BF6CF5"/>
    <w:rsid w:val="00C00A5C"/>
    <w:rsid w:val="00C01BD7"/>
    <w:rsid w:val="00C032DB"/>
    <w:rsid w:val="00C15A7A"/>
    <w:rsid w:val="00C20604"/>
    <w:rsid w:val="00C2188A"/>
    <w:rsid w:val="00C36889"/>
    <w:rsid w:val="00C42A4F"/>
    <w:rsid w:val="00C46B49"/>
    <w:rsid w:val="00C510E1"/>
    <w:rsid w:val="00C63B3B"/>
    <w:rsid w:val="00C911D7"/>
    <w:rsid w:val="00CA6779"/>
    <w:rsid w:val="00CB7CCD"/>
    <w:rsid w:val="00CC76C9"/>
    <w:rsid w:val="00CD1D61"/>
    <w:rsid w:val="00CD777B"/>
    <w:rsid w:val="00CE0143"/>
    <w:rsid w:val="00CE4AF7"/>
    <w:rsid w:val="00CE4E3E"/>
    <w:rsid w:val="00CE566B"/>
    <w:rsid w:val="00CE7641"/>
    <w:rsid w:val="00CF2281"/>
    <w:rsid w:val="00CF293D"/>
    <w:rsid w:val="00CF55E3"/>
    <w:rsid w:val="00CF7A64"/>
    <w:rsid w:val="00D01233"/>
    <w:rsid w:val="00D22EB8"/>
    <w:rsid w:val="00D23BEE"/>
    <w:rsid w:val="00D27CEC"/>
    <w:rsid w:val="00D27E9B"/>
    <w:rsid w:val="00D27F8A"/>
    <w:rsid w:val="00D30F75"/>
    <w:rsid w:val="00D3443B"/>
    <w:rsid w:val="00D41476"/>
    <w:rsid w:val="00D54B04"/>
    <w:rsid w:val="00D71F50"/>
    <w:rsid w:val="00D72783"/>
    <w:rsid w:val="00D859F2"/>
    <w:rsid w:val="00D96C6C"/>
    <w:rsid w:val="00DA43C9"/>
    <w:rsid w:val="00DA7E6E"/>
    <w:rsid w:val="00DB645A"/>
    <w:rsid w:val="00DC78FB"/>
    <w:rsid w:val="00DD759E"/>
    <w:rsid w:val="00DE5AE9"/>
    <w:rsid w:val="00DF59C8"/>
    <w:rsid w:val="00E03F2F"/>
    <w:rsid w:val="00E044DF"/>
    <w:rsid w:val="00E06D9C"/>
    <w:rsid w:val="00E15A87"/>
    <w:rsid w:val="00E17C0A"/>
    <w:rsid w:val="00E25101"/>
    <w:rsid w:val="00E254F6"/>
    <w:rsid w:val="00E2736D"/>
    <w:rsid w:val="00E32587"/>
    <w:rsid w:val="00E3784F"/>
    <w:rsid w:val="00E441F7"/>
    <w:rsid w:val="00E44983"/>
    <w:rsid w:val="00E50969"/>
    <w:rsid w:val="00E52E01"/>
    <w:rsid w:val="00E53420"/>
    <w:rsid w:val="00E5610E"/>
    <w:rsid w:val="00E6181C"/>
    <w:rsid w:val="00E719A3"/>
    <w:rsid w:val="00E909A5"/>
    <w:rsid w:val="00EA2676"/>
    <w:rsid w:val="00EA5C10"/>
    <w:rsid w:val="00EA6343"/>
    <w:rsid w:val="00EA7BC0"/>
    <w:rsid w:val="00EB453A"/>
    <w:rsid w:val="00EB4FD2"/>
    <w:rsid w:val="00F269A8"/>
    <w:rsid w:val="00F5188A"/>
    <w:rsid w:val="00F5619A"/>
    <w:rsid w:val="00F72FB9"/>
    <w:rsid w:val="00F84941"/>
    <w:rsid w:val="00F85F48"/>
    <w:rsid w:val="00F94276"/>
    <w:rsid w:val="00FA0B63"/>
    <w:rsid w:val="00FA3E15"/>
    <w:rsid w:val="00FC4ABC"/>
    <w:rsid w:val="00FC5F5C"/>
    <w:rsid w:val="00FD0123"/>
    <w:rsid w:val="00FD04ED"/>
    <w:rsid w:val="00FD3416"/>
    <w:rsid w:val="00FE042C"/>
    <w:rsid w:val="00FE25A6"/>
    <w:rsid w:val="00FF69A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Book Antiqua" w:eastAsia="Times New Roman" w:hAnsi="Book Antiqua"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uiPriority="1" w:qFormat="1"/>
    <w:lsdException w:name="heading 3" w:uiPriority="1" w:qFormat="1"/>
    <w:lsdException w:name="heading 4" w:qFormat="1"/>
    <w:lsdException w:name="heading 5" w:qFormat="1"/>
    <w:lsdException w:name="heading 6" w:qFormat="1"/>
    <w:lsdException w:name="heading 7" w:locked="1"/>
    <w:lsdException w:name="heading 8" w:locked="1" w:qFormat="1"/>
    <w:lsdException w:name="heading 9" w:locked="1"/>
    <w:lsdException w:name="index 1" w:semiHidden="1" w:uiPriority="19" w:unhideWhenUsed="1"/>
    <w:lsdException w:name="index 2" w:semiHidden="1" w:uiPriority="19" w:unhideWhenUsed="1"/>
    <w:lsdException w:name="index 3" w:semiHidden="1" w:uiPriority="19" w:unhideWhenUsed="1"/>
    <w:lsdException w:name="index 4" w:semiHidden="1" w:uiPriority="19" w:unhideWhenUsed="1"/>
    <w:lsdException w:name="index 5" w:semiHidden="1" w:uiPriority="19" w:unhideWhenUsed="1"/>
    <w:lsdException w:name="index 6" w:semiHidden="1" w:uiPriority="19" w:unhideWhenUsed="1"/>
    <w:lsdException w:name="index 7" w:semiHidden="1" w:uiPriority="19" w:unhideWhenUsed="1"/>
    <w:lsdException w:name="index 8" w:semiHidden="1" w:uiPriority="19" w:unhideWhenUsed="1"/>
    <w:lsdException w:name="index 9" w:semiHidden="1" w:uiPriority="19" w:unhideWhenUsed="1"/>
    <w:lsdException w:name="toc 1" w:uiPriority="39"/>
    <w:lsdException w:name="toc 2" w:uiPriority="39"/>
    <w:lsdException w:name="toc 3" w:uiPriority="39"/>
    <w:lsdException w:name="toc 4" w:semiHidden="1"/>
    <w:lsdException w:name="toc 5" w:semiHidden="1"/>
    <w:lsdException w:name="toc 6" w:semiHidden="1"/>
    <w:lsdException w:name="toc 7" w:semiHidden="1"/>
    <w:lsdException w:name="toc 8" w:semiHidden="1"/>
    <w:lsdException w:name="toc 9" w:semiHidden="1"/>
    <w:lsdException w:name="header" w:uiPriority="99"/>
    <w:lsdException w:name="footer" w:uiPriority="99"/>
    <w:lsdException w:name="index heading" w:semiHidden="1"/>
    <w:lsdException w:name="caption" w:semiHidden="1" w:qFormat="1"/>
    <w:lsdException w:name="table of figures" w:uiPriority="99"/>
    <w:lsdException w:name="endnote reference" w:semiHidden="1" w:unhideWhenUsed="1"/>
    <w:lsdException w:name="endnote text" w:semiHidden="1" w:unhideWhenUsed="1"/>
    <w:lsdException w:name="table of authorities" w:semiHidden="1" w:uiPriority="13" w:unhideWhenUsed="1"/>
    <w:lsdException w:name="macro" w:semiHidden="1"/>
    <w:lsdException w:name="toa heading" w:semiHidden="1"/>
    <w:lsdException w:name="Title" w:semiHidden="1" w:uiPriority="10" w:qFormat="1"/>
    <w:lsdException w:name="Subtitle" w:semiHidden="1" w:qFormat="1"/>
    <w:lsdException w:name="Hyperlink" w:uiPriority="99"/>
    <w:lsdException w:name="Strong" w:semiHidden="1" w:uiPriority="22" w:qFormat="1"/>
    <w:lsdException w:name="Emphasis" w:semiHidden="1" w:qFormat="1"/>
    <w:lsdException w:name="Normal (Web)" w:uiPriority="99"/>
    <w:lsdException w:name="Placeholder Text" w:semiHidden="1" w:uiPriority="99"/>
    <w:lsdException w:name="No Spacing" w:semiHidden="1" w:uiPriority="99"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next w:val="AIHWbodytext"/>
    <w:uiPriority w:val="19"/>
    <w:unhideWhenUsed/>
    <w:qFormat/>
    <w:rsid w:val="00D96C6C"/>
    <w:pPr>
      <w:spacing w:before="60" w:after="120" w:line="260" w:lineRule="atLeast"/>
    </w:pPr>
    <w:rPr>
      <w:sz w:val="22"/>
      <w:szCs w:val="22"/>
    </w:rPr>
  </w:style>
  <w:style w:type="paragraph" w:styleId="Heading1">
    <w:name w:val="heading 1"/>
    <w:next w:val="Heading2"/>
    <w:link w:val="Heading1Char"/>
    <w:uiPriority w:val="1"/>
    <w:qFormat/>
    <w:rsid w:val="00265D85"/>
    <w:pPr>
      <w:keepNext/>
      <w:keepLines/>
      <w:pageBreakBefore/>
      <w:tabs>
        <w:tab w:val="left" w:pos="794"/>
        <w:tab w:val="left" w:pos="1191"/>
        <w:tab w:val="left" w:pos="2778"/>
      </w:tabs>
      <w:spacing w:before="60" w:after="360" w:line="480" w:lineRule="atLeast"/>
      <w:outlineLvl w:val="0"/>
    </w:pPr>
    <w:rPr>
      <w:rFonts w:ascii="Arial" w:hAnsi="Arial"/>
      <w:b/>
      <w:color w:val="000000"/>
      <w:sz w:val="44"/>
      <w:szCs w:val="22"/>
      <w:lang w:eastAsia="en-US"/>
    </w:rPr>
  </w:style>
  <w:style w:type="paragraph" w:styleId="Heading2">
    <w:name w:val="heading 2"/>
    <w:basedOn w:val="Heading1"/>
    <w:next w:val="AIHWbodytext"/>
    <w:link w:val="Heading2Char"/>
    <w:uiPriority w:val="1"/>
    <w:qFormat/>
    <w:rsid w:val="00BE6005"/>
    <w:pPr>
      <w:pageBreakBefore w:val="0"/>
      <w:spacing w:before="300" w:after="120" w:line="440" w:lineRule="atLeast"/>
      <w:outlineLvl w:val="1"/>
    </w:pPr>
    <w:rPr>
      <w:sz w:val="36"/>
    </w:rPr>
  </w:style>
  <w:style w:type="paragraph" w:styleId="Heading3">
    <w:name w:val="heading 3"/>
    <w:basedOn w:val="Heading2"/>
    <w:next w:val="AIHWbodytext"/>
    <w:link w:val="Heading3Char"/>
    <w:uiPriority w:val="1"/>
    <w:qFormat/>
    <w:rsid w:val="00BE6005"/>
    <w:pPr>
      <w:spacing w:line="320" w:lineRule="atLeast"/>
      <w:outlineLvl w:val="2"/>
    </w:pPr>
    <w:rPr>
      <w:sz w:val="28"/>
    </w:rPr>
  </w:style>
  <w:style w:type="paragraph" w:styleId="Heading4">
    <w:name w:val="heading 4"/>
    <w:basedOn w:val="Heading3"/>
    <w:next w:val="AIHWbodytext"/>
    <w:link w:val="Heading4Char"/>
    <w:uiPriority w:val="1"/>
    <w:qFormat/>
    <w:rsid w:val="003621B4"/>
    <w:pPr>
      <w:spacing w:before="240" w:after="80" w:line="280" w:lineRule="atLeast"/>
      <w:outlineLvl w:val="3"/>
    </w:pPr>
    <w:rPr>
      <w:sz w:val="24"/>
    </w:rPr>
  </w:style>
  <w:style w:type="paragraph" w:styleId="Heading5">
    <w:name w:val="heading 5"/>
    <w:basedOn w:val="Heading4"/>
    <w:next w:val="AIHWbodytext"/>
    <w:link w:val="Heading5Char"/>
    <w:uiPriority w:val="1"/>
    <w:qFormat/>
    <w:rsid w:val="003621B4"/>
    <w:pPr>
      <w:spacing w:before="180" w:after="40" w:line="260" w:lineRule="atLeast"/>
      <w:outlineLvl w:val="4"/>
    </w:pPr>
    <w:rPr>
      <w:rFonts w:ascii="Book Antiqua" w:hAnsi="Book Antiqua"/>
      <w:sz w:val="22"/>
    </w:rPr>
  </w:style>
  <w:style w:type="paragraph" w:styleId="Heading6">
    <w:name w:val="heading 6"/>
    <w:basedOn w:val="Heading5"/>
    <w:next w:val="AIHWbodytext"/>
    <w:link w:val="Heading6Char"/>
    <w:uiPriority w:val="1"/>
    <w:qFormat/>
    <w:rsid w:val="003621B4"/>
    <w:pPr>
      <w:spacing w:before="120"/>
      <w:outlineLvl w:val="5"/>
    </w:pPr>
    <w:rPr>
      <w:b w:val="0"/>
      <w:i/>
    </w:rPr>
  </w:style>
  <w:style w:type="paragraph" w:styleId="Heading7">
    <w:name w:val="heading 7"/>
    <w:basedOn w:val="Normal"/>
    <w:next w:val="Normal"/>
    <w:semiHidden/>
    <w:locked/>
    <w:rsid w:val="003B637B"/>
    <w:pPr>
      <w:spacing w:before="240" w:after="60"/>
      <w:outlineLvl w:val="6"/>
    </w:pPr>
    <w:rPr>
      <w:rFonts w:ascii="Times New Roman" w:hAnsi="Times New Roman"/>
      <w:sz w:val="24"/>
    </w:rPr>
  </w:style>
  <w:style w:type="paragraph" w:styleId="Heading8">
    <w:name w:val="heading 8"/>
    <w:basedOn w:val="Normal"/>
    <w:next w:val="Normal"/>
    <w:semiHidden/>
    <w:qFormat/>
    <w:locked/>
    <w:rsid w:val="003B637B"/>
    <w:pPr>
      <w:spacing w:before="240" w:after="60"/>
      <w:outlineLvl w:val="7"/>
    </w:pPr>
    <w:rPr>
      <w:rFonts w:ascii="Times New Roman" w:hAnsi="Times New Roman"/>
      <w:i/>
      <w:iCs/>
      <w:sz w:val="24"/>
    </w:rPr>
  </w:style>
  <w:style w:type="paragraph" w:styleId="Heading9">
    <w:name w:val="heading 9"/>
    <w:basedOn w:val="Normal"/>
    <w:next w:val="Normal"/>
    <w:semiHidden/>
    <w:locked/>
    <w:rsid w:val="003B637B"/>
    <w:p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IHWbodytext">
    <w:name w:val="AIHW body text"/>
    <w:basedOn w:val="Normal"/>
    <w:link w:val="AIHWbodytextChar"/>
    <w:qFormat/>
    <w:rsid w:val="00FC5F5C"/>
    <w:rPr>
      <w:szCs w:val="20"/>
      <w:lang w:eastAsia="en-US"/>
    </w:rPr>
  </w:style>
  <w:style w:type="paragraph" w:customStyle="1" w:styleId="Bullet1">
    <w:name w:val="Bullet 1"/>
    <w:basedOn w:val="AIHWbodytext"/>
    <w:link w:val="Bullet1Char"/>
    <w:uiPriority w:val="2"/>
    <w:qFormat/>
    <w:rsid w:val="00D30F75"/>
    <w:pPr>
      <w:numPr>
        <w:numId w:val="15"/>
      </w:numPr>
      <w:spacing w:before="40" w:after="80"/>
    </w:pPr>
  </w:style>
  <w:style w:type="paragraph" w:customStyle="1" w:styleId="Bullet2">
    <w:name w:val="Bullet 2"/>
    <w:basedOn w:val="Bullet1"/>
    <w:uiPriority w:val="2"/>
    <w:qFormat/>
    <w:rsid w:val="0033783A"/>
    <w:pPr>
      <w:numPr>
        <w:numId w:val="1"/>
      </w:numPr>
    </w:pPr>
  </w:style>
  <w:style w:type="character" w:styleId="PageNumber">
    <w:name w:val="page number"/>
    <w:uiPriority w:val="14"/>
    <w:unhideWhenUsed/>
    <w:rsid w:val="00026EE7"/>
    <w:rPr>
      <w:rFonts w:ascii="Arial" w:hAnsi="Arial"/>
      <w:dstrike w:val="0"/>
      <w:color w:val="000000"/>
      <w:sz w:val="20"/>
      <w:u w:val="none"/>
      <w:vertAlign w:val="baseline"/>
    </w:rPr>
  </w:style>
  <w:style w:type="paragraph" w:customStyle="1" w:styleId="BoxHeading2">
    <w:name w:val="Box: Heading 2"/>
    <w:basedOn w:val="BoxText"/>
    <w:next w:val="BoxText"/>
    <w:uiPriority w:val="3"/>
    <w:qFormat/>
    <w:rsid w:val="00BE6005"/>
    <w:pPr>
      <w:spacing w:before="120" w:after="60"/>
    </w:pPr>
    <w:rPr>
      <w:b/>
    </w:rPr>
  </w:style>
  <w:style w:type="table" w:customStyle="1" w:styleId="AIHWTable">
    <w:name w:val="AIHW Table"/>
    <w:basedOn w:val="TableNormal"/>
    <w:rsid w:val="000F4B5D"/>
    <w:pPr>
      <w:tabs>
        <w:tab w:val="left" w:pos="198"/>
      </w:tabs>
      <w:spacing w:after="60" w:line="200" w:lineRule="atLeast"/>
      <w:jc w:val="right"/>
    </w:pPr>
    <w:rPr>
      <w:rFonts w:ascii="Arial" w:hAnsi="Arial"/>
      <w:color w:val="000000"/>
      <w:sz w:val="16"/>
    </w:rPr>
    <w:tblPr>
      <w:tblBorders>
        <w:top w:val="single" w:sz="4" w:space="0" w:color="000000"/>
        <w:bottom w:val="single" w:sz="4" w:space="0" w:color="000000"/>
      </w:tblBorders>
      <w:tblCellMar>
        <w:left w:w="85" w:type="dxa"/>
        <w:right w:w="85" w:type="dxa"/>
      </w:tblCellMar>
    </w:tblPr>
    <w:tcPr>
      <w:shd w:val="clear" w:color="auto" w:fill="auto"/>
      <w:vAlign w:val="bottom"/>
    </w:tcPr>
    <w:tblStylePr w:type="firstRow">
      <w:rPr>
        <w:rFonts w:ascii="Arial" w:hAnsi="Arial"/>
        <w:b/>
        <w:i w:val="0"/>
        <w:caps w:val="0"/>
        <w:smallCaps w:val="0"/>
        <w:strike w:val="0"/>
        <w:dstrike w:val="0"/>
        <w:vanish w:val="0"/>
        <w:color w:val="000000"/>
        <w:sz w:val="16"/>
        <w14:shadow w14:blurRad="0" w14:dist="0" w14:dir="0" w14:sx="0" w14:sy="0" w14:kx="0" w14:ky="0" w14:algn="none">
          <w14:srgbClr w14:val="000000"/>
        </w14:shadow>
        <w14:textOutline w14:w="0" w14:cap="rnd" w14:cmpd="sng" w14:algn="ctr">
          <w14:noFill/>
          <w14:prstDash w14:val="solid"/>
          <w14:bevel/>
        </w14:textOutline>
      </w:rPr>
      <w:tblPr/>
      <w:tcPr>
        <w:tcBorders>
          <w:top w:val="single" w:sz="4" w:space="0" w:color="000000"/>
          <w:left w:val="nil"/>
          <w:bottom w:val="single" w:sz="4" w:space="0" w:color="000000"/>
          <w:right w:val="nil"/>
          <w:insideH w:val="nil"/>
          <w:insideV w:val="nil"/>
          <w:tl2br w:val="nil"/>
          <w:tr2bl w:val="nil"/>
        </w:tcBorders>
      </w:tcPr>
    </w:tblStylePr>
    <w:tblStylePr w:type="firstCol">
      <w:pPr>
        <w:wordWrap/>
        <w:jc w:val="left"/>
      </w:pPr>
    </w:tblStylePr>
  </w:style>
  <w:style w:type="paragraph" w:customStyle="1" w:styleId="TableFigText">
    <w:name w:val="Table/Fig: Text"/>
    <w:basedOn w:val="AIHWbodytext"/>
    <w:link w:val="TableFigTextChar"/>
    <w:uiPriority w:val="6"/>
    <w:rsid w:val="0098660E"/>
    <w:pPr>
      <w:keepLines/>
      <w:tabs>
        <w:tab w:val="left" w:pos="198"/>
      </w:tabs>
      <w:spacing w:after="60" w:line="200" w:lineRule="atLeast"/>
    </w:pPr>
    <w:rPr>
      <w:rFonts w:ascii="Arial" w:hAnsi="Arial"/>
      <w:sz w:val="16"/>
    </w:rPr>
  </w:style>
  <w:style w:type="table" w:styleId="LightShading">
    <w:name w:val="Light Shading"/>
    <w:basedOn w:val="TableNormal"/>
    <w:uiPriority w:val="60"/>
    <w:locked/>
    <w:rsid w:val="00F5188A"/>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HeaderChar">
    <w:name w:val="Header Char"/>
    <w:link w:val="Header"/>
    <w:uiPriority w:val="15"/>
    <w:rsid w:val="00232418"/>
    <w:rPr>
      <w:sz w:val="22"/>
      <w:szCs w:val="22"/>
    </w:rPr>
  </w:style>
  <w:style w:type="paragraph" w:styleId="EndnoteText">
    <w:name w:val="endnote text"/>
    <w:basedOn w:val="Normal"/>
    <w:link w:val="EndnoteTextChar"/>
    <w:uiPriority w:val="12"/>
    <w:semiHidden/>
    <w:unhideWhenUsed/>
    <w:rsid w:val="00F5188A"/>
    <w:rPr>
      <w:sz w:val="20"/>
      <w:szCs w:val="20"/>
    </w:rPr>
  </w:style>
  <w:style w:type="character" w:customStyle="1" w:styleId="EndnoteTextChar">
    <w:name w:val="Endnote Text Char"/>
    <w:link w:val="EndnoteText"/>
    <w:uiPriority w:val="12"/>
    <w:semiHidden/>
    <w:rsid w:val="00CD1D61"/>
  </w:style>
  <w:style w:type="character" w:styleId="EndnoteReference">
    <w:name w:val="endnote reference"/>
    <w:uiPriority w:val="12"/>
    <w:semiHidden/>
    <w:unhideWhenUsed/>
    <w:rsid w:val="00F5188A"/>
    <w:rPr>
      <w:vertAlign w:val="superscript"/>
    </w:rPr>
  </w:style>
  <w:style w:type="paragraph" w:customStyle="1" w:styleId="BoxText">
    <w:name w:val="Box: Text"/>
    <w:basedOn w:val="AIHWbodytext"/>
    <w:next w:val="AIHWbodytext"/>
    <w:link w:val="BoxTextChar"/>
    <w:uiPriority w:val="3"/>
    <w:qFormat/>
    <w:rsid w:val="00E06D9C"/>
    <w:pPr>
      <w:pBdr>
        <w:top w:val="single" w:sz="4" w:space="10" w:color="000000"/>
        <w:left w:val="single" w:sz="4" w:space="10" w:color="000000"/>
        <w:bottom w:val="single" w:sz="4" w:space="10" w:color="000000"/>
        <w:right w:val="single" w:sz="4" w:space="10" w:color="000000"/>
      </w:pBdr>
      <w:tabs>
        <w:tab w:val="left" w:pos="397"/>
      </w:tabs>
      <w:spacing w:after="20" w:line="240" w:lineRule="atLeast"/>
      <w:ind w:left="255" w:right="255"/>
    </w:pPr>
    <w:rPr>
      <w:sz w:val="21"/>
    </w:rPr>
  </w:style>
  <w:style w:type="paragraph" w:customStyle="1" w:styleId="BoxBullet1">
    <w:name w:val="Box: Bullet 1"/>
    <w:basedOn w:val="BoxText"/>
    <w:uiPriority w:val="3"/>
    <w:qFormat/>
    <w:rsid w:val="00EA6343"/>
    <w:pPr>
      <w:numPr>
        <w:numId w:val="16"/>
      </w:numPr>
      <w:tabs>
        <w:tab w:val="clear" w:pos="397"/>
        <w:tab w:val="clear" w:pos="964"/>
        <w:tab w:val="num" w:pos="714"/>
      </w:tabs>
      <w:ind w:left="709" w:hanging="454"/>
    </w:pPr>
  </w:style>
  <w:style w:type="paragraph" w:customStyle="1" w:styleId="BoxHeading1">
    <w:name w:val="Box: Heading 1"/>
    <w:basedOn w:val="BoxText"/>
    <w:next w:val="BoxText"/>
    <w:uiPriority w:val="3"/>
    <w:qFormat/>
    <w:rsid w:val="008E579B"/>
    <w:pPr>
      <w:keepNext/>
      <w:keepLines/>
      <w:tabs>
        <w:tab w:val="clear" w:pos="397"/>
      </w:tabs>
      <w:spacing w:before="120" w:after="60"/>
    </w:pPr>
    <w:rPr>
      <w:rFonts w:ascii="Arial" w:hAnsi="Arial"/>
      <w:b/>
      <w:sz w:val="22"/>
    </w:rPr>
  </w:style>
  <w:style w:type="paragraph" w:customStyle="1" w:styleId="FigureCaption">
    <w:name w:val="Figure: Caption"/>
    <w:basedOn w:val="TableCaption"/>
    <w:next w:val="AIHWbodytext"/>
    <w:uiPriority w:val="5"/>
    <w:rsid w:val="00B2640B"/>
    <w:pPr>
      <w:spacing w:before="120"/>
    </w:pPr>
  </w:style>
  <w:style w:type="paragraph" w:customStyle="1" w:styleId="FigureSourcefootnotes">
    <w:name w:val="Figure: Source &amp; footnotes"/>
    <w:basedOn w:val="TableSourcefootnotes"/>
    <w:next w:val="FigureCaption"/>
    <w:uiPriority w:val="5"/>
    <w:rsid w:val="003164BF"/>
  </w:style>
  <w:style w:type="character" w:styleId="FootnoteReference">
    <w:name w:val="footnote reference"/>
    <w:uiPriority w:val="21"/>
    <w:unhideWhenUsed/>
    <w:rsid w:val="004734FE"/>
    <w:rPr>
      <w:dstrike w:val="0"/>
      <w:vertAlign w:val="superscript"/>
    </w:rPr>
  </w:style>
  <w:style w:type="paragraph" w:styleId="FootnoteText">
    <w:name w:val="footnote text"/>
    <w:basedOn w:val="AIHWbodytext"/>
    <w:uiPriority w:val="21"/>
    <w:unhideWhenUsed/>
    <w:rsid w:val="004734FE"/>
    <w:pPr>
      <w:spacing w:after="20" w:line="220" w:lineRule="atLeast"/>
      <w:ind w:left="397" w:hanging="397"/>
    </w:pPr>
    <w:rPr>
      <w:sz w:val="18"/>
    </w:rPr>
  </w:style>
  <w:style w:type="paragraph" w:customStyle="1" w:styleId="IndentedQuotes">
    <w:name w:val="Indented: Quotes"/>
    <w:aliases w:val="etc."/>
    <w:basedOn w:val="AIHWbodytext"/>
    <w:next w:val="AIHWbodytext"/>
    <w:uiPriority w:val="4"/>
    <w:qFormat/>
    <w:rsid w:val="004734FE"/>
    <w:pPr>
      <w:spacing w:before="40"/>
      <w:ind w:left="397"/>
    </w:pPr>
  </w:style>
  <w:style w:type="paragraph" w:customStyle="1" w:styleId="TableFigSubtotal">
    <w:name w:val="Table/Fig: Subtotal"/>
    <w:basedOn w:val="TableFigText"/>
    <w:next w:val="TableFigText"/>
    <w:uiPriority w:val="6"/>
    <w:rsid w:val="004734FE"/>
    <w:rPr>
      <w:i/>
    </w:rPr>
  </w:style>
  <w:style w:type="paragraph" w:customStyle="1" w:styleId="TableCaption">
    <w:name w:val="Table: Caption"/>
    <w:basedOn w:val="AIHWbodytext"/>
    <w:next w:val="TableFigHeadingtotal"/>
    <w:uiPriority w:val="5"/>
    <w:rsid w:val="00BE6005"/>
    <w:pPr>
      <w:keepNext/>
      <w:keepLines/>
      <w:spacing w:before="240" w:line="240" w:lineRule="atLeast"/>
    </w:pPr>
    <w:rPr>
      <w:b/>
      <w:sz w:val="20"/>
    </w:rPr>
  </w:style>
  <w:style w:type="paragraph" w:styleId="TOC1">
    <w:name w:val="toc 1"/>
    <w:basedOn w:val="AIHWbodytext"/>
    <w:next w:val="TOC2"/>
    <w:uiPriority w:val="9"/>
    <w:unhideWhenUsed/>
    <w:rsid w:val="004734FE"/>
    <w:pPr>
      <w:keepNext/>
      <w:keepLines/>
      <w:tabs>
        <w:tab w:val="left" w:pos="397"/>
        <w:tab w:val="right" w:leader="dot" w:pos="9072"/>
      </w:tabs>
      <w:spacing w:before="80"/>
      <w:ind w:left="397" w:hanging="397"/>
    </w:pPr>
    <w:rPr>
      <w:b/>
    </w:rPr>
  </w:style>
  <w:style w:type="paragraph" w:styleId="TOC2">
    <w:name w:val="toc 2"/>
    <w:basedOn w:val="TOC1"/>
    <w:uiPriority w:val="39"/>
    <w:unhideWhenUsed/>
    <w:rsid w:val="004734FE"/>
    <w:pPr>
      <w:tabs>
        <w:tab w:val="clear" w:pos="397"/>
        <w:tab w:val="left" w:pos="794"/>
      </w:tabs>
      <w:spacing w:before="40"/>
      <w:ind w:left="794"/>
    </w:pPr>
    <w:rPr>
      <w:b w:val="0"/>
    </w:rPr>
  </w:style>
  <w:style w:type="paragraph" w:styleId="TOC3">
    <w:name w:val="toc 3"/>
    <w:basedOn w:val="TOC2"/>
    <w:uiPriority w:val="39"/>
    <w:unhideWhenUsed/>
    <w:rsid w:val="004734FE"/>
    <w:pPr>
      <w:tabs>
        <w:tab w:val="clear" w:pos="794"/>
        <w:tab w:val="left" w:pos="1389"/>
      </w:tabs>
      <w:ind w:left="1389" w:hanging="595"/>
    </w:pPr>
  </w:style>
  <w:style w:type="paragraph" w:customStyle="1" w:styleId="TableSourcefootnotes">
    <w:name w:val="Table: Source &amp; footnotes"/>
    <w:basedOn w:val="AIHWbodytext"/>
    <w:next w:val="AIHWbodytext"/>
    <w:uiPriority w:val="5"/>
    <w:rsid w:val="003164BF"/>
    <w:pPr>
      <w:keepLines/>
      <w:tabs>
        <w:tab w:val="left" w:pos="397"/>
      </w:tabs>
      <w:spacing w:before="120" w:line="180" w:lineRule="atLeast"/>
    </w:pPr>
    <w:rPr>
      <w:rFonts w:ascii="Arial" w:hAnsi="Arial"/>
      <w:sz w:val="14"/>
    </w:rPr>
  </w:style>
  <w:style w:type="numbering" w:styleId="111111">
    <w:name w:val="Outline List 2"/>
    <w:basedOn w:val="NoList"/>
    <w:semiHidden/>
    <w:rsid w:val="003B637B"/>
    <w:pPr>
      <w:numPr>
        <w:numId w:val="2"/>
      </w:numPr>
    </w:pPr>
  </w:style>
  <w:style w:type="numbering" w:styleId="1ai">
    <w:name w:val="Outline List 1"/>
    <w:basedOn w:val="NoList"/>
    <w:semiHidden/>
    <w:rsid w:val="003B637B"/>
    <w:pPr>
      <w:numPr>
        <w:numId w:val="3"/>
      </w:numPr>
    </w:pPr>
  </w:style>
  <w:style w:type="numbering" w:styleId="ArticleSection">
    <w:name w:val="Outline List 3"/>
    <w:basedOn w:val="NoList"/>
    <w:semiHidden/>
    <w:rsid w:val="003B637B"/>
    <w:pPr>
      <w:numPr>
        <w:numId w:val="4"/>
      </w:numPr>
    </w:pPr>
  </w:style>
  <w:style w:type="paragraph" w:styleId="BlockText">
    <w:name w:val="Block Text"/>
    <w:basedOn w:val="Normal"/>
    <w:semiHidden/>
    <w:rsid w:val="003B637B"/>
    <w:pPr>
      <w:ind w:left="1440" w:right="1440"/>
    </w:pPr>
  </w:style>
  <w:style w:type="paragraph" w:styleId="BodyText">
    <w:name w:val="Body Text"/>
    <w:basedOn w:val="Normal"/>
    <w:semiHidden/>
    <w:rsid w:val="003B637B"/>
  </w:style>
  <w:style w:type="paragraph" w:styleId="BodyText2">
    <w:name w:val="Body Text 2"/>
    <w:basedOn w:val="Normal"/>
    <w:semiHidden/>
    <w:rsid w:val="003B637B"/>
    <w:pPr>
      <w:spacing w:line="480" w:lineRule="auto"/>
    </w:pPr>
  </w:style>
  <w:style w:type="paragraph" w:styleId="BodyText3">
    <w:name w:val="Body Text 3"/>
    <w:basedOn w:val="Normal"/>
    <w:semiHidden/>
    <w:rsid w:val="003B637B"/>
    <w:rPr>
      <w:sz w:val="16"/>
      <w:szCs w:val="16"/>
    </w:rPr>
  </w:style>
  <w:style w:type="paragraph" w:styleId="BodyTextFirstIndent">
    <w:name w:val="Body Text First Indent"/>
    <w:basedOn w:val="BodyText"/>
    <w:semiHidden/>
    <w:rsid w:val="003B637B"/>
    <w:pPr>
      <w:ind w:firstLine="210"/>
    </w:pPr>
  </w:style>
  <w:style w:type="paragraph" w:styleId="BodyTextIndent">
    <w:name w:val="Body Text Indent"/>
    <w:basedOn w:val="Normal"/>
    <w:semiHidden/>
    <w:rsid w:val="003B637B"/>
    <w:pPr>
      <w:ind w:left="283"/>
    </w:pPr>
  </w:style>
  <w:style w:type="paragraph" w:styleId="BodyTextFirstIndent2">
    <w:name w:val="Body Text First Indent 2"/>
    <w:basedOn w:val="BodyTextIndent"/>
    <w:semiHidden/>
    <w:rsid w:val="003B637B"/>
    <w:pPr>
      <w:ind w:firstLine="210"/>
    </w:pPr>
  </w:style>
  <w:style w:type="paragraph" w:styleId="BodyTextIndent2">
    <w:name w:val="Body Text Indent 2"/>
    <w:basedOn w:val="Normal"/>
    <w:semiHidden/>
    <w:rsid w:val="003B637B"/>
    <w:pPr>
      <w:spacing w:line="480" w:lineRule="auto"/>
      <w:ind w:left="283"/>
    </w:pPr>
  </w:style>
  <w:style w:type="paragraph" w:styleId="BodyTextIndent3">
    <w:name w:val="Body Text Indent 3"/>
    <w:basedOn w:val="Normal"/>
    <w:semiHidden/>
    <w:rsid w:val="003B637B"/>
    <w:pPr>
      <w:ind w:left="283"/>
    </w:pPr>
    <w:rPr>
      <w:sz w:val="16"/>
      <w:szCs w:val="16"/>
    </w:rPr>
  </w:style>
  <w:style w:type="paragraph" w:styleId="Closing">
    <w:name w:val="Closing"/>
    <w:basedOn w:val="Normal"/>
    <w:semiHidden/>
    <w:rsid w:val="003B637B"/>
    <w:pPr>
      <w:ind w:left="4252"/>
    </w:pPr>
  </w:style>
  <w:style w:type="paragraph" w:styleId="Date">
    <w:name w:val="Date"/>
    <w:basedOn w:val="Normal"/>
    <w:next w:val="Normal"/>
    <w:semiHidden/>
    <w:rsid w:val="003B637B"/>
  </w:style>
  <w:style w:type="paragraph" w:styleId="E-mailSignature">
    <w:name w:val="E-mail Signature"/>
    <w:basedOn w:val="Normal"/>
    <w:semiHidden/>
    <w:rsid w:val="003B637B"/>
  </w:style>
  <w:style w:type="paragraph" w:customStyle="1" w:styleId="Bullet3">
    <w:name w:val="Bullet 3"/>
    <w:basedOn w:val="Bullet2"/>
    <w:uiPriority w:val="2"/>
    <w:qFormat/>
    <w:rsid w:val="0033783A"/>
    <w:pPr>
      <w:numPr>
        <w:ilvl w:val="1"/>
        <w:numId w:val="17"/>
      </w:numPr>
      <w:tabs>
        <w:tab w:val="clear" w:pos="1440"/>
      </w:tabs>
      <w:ind w:left="1276" w:hanging="425"/>
    </w:pPr>
  </w:style>
  <w:style w:type="paragraph" w:styleId="EnvelopeAddress">
    <w:name w:val="envelope address"/>
    <w:basedOn w:val="Normal"/>
    <w:semiHidden/>
    <w:rsid w:val="003B637B"/>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semiHidden/>
    <w:rsid w:val="003B637B"/>
    <w:rPr>
      <w:rFonts w:ascii="Arial" w:hAnsi="Arial" w:cs="Arial"/>
      <w:sz w:val="20"/>
      <w:szCs w:val="20"/>
    </w:rPr>
  </w:style>
  <w:style w:type="character" w:styleId="FollowedHyperlink">
    <w:name w:val="FollowedHyperlink"/>
    <w:uiPriority w:val="16"/>
    <w:unhideWhenUsed/>
    <w:rsid w:val="00232418"/>
    <w:rPr>
      <w:color w:val="5F497A" w:themeColor="accent4" w:themeShade="BF"/>
      <w:u w:val="single"/>
    </w:rPr>
  </w:style>
  <w:style w:type="paragraph" w:styleId="Footer">
    <w:name w:val="footer"/>
    <w:basedOn w:val="Normal"/>
    <w:link w:val="FooterChar"/>
    <w:uiPriority w:val="99"/>
    <w:rsid w:val="00D96C6C"/>
    <w:pPr>
      <w:tabs>
        <w:tab w:val="center" w:pos="4153"/>
        <w:tab w:val="right" w:pos="8306"/>
      </w:tabs>
      <w:jc w:val="center"/>
    </w:pPr>
    <w:rPr>
      <w:rFonts w:ascii="Calibri" w:hAnsi="Calibri"/>
      <w:color w:val="484848"/>
      <w:sz w:val="18"/>
      <w:szCs w:val="20"/>
      <w:lang w:eastAsia="en-US"/>
    </w:rPr>
  </w:style>
  <w:style w:type="paragraph" w:styleId="Header">
    <w:name w:val="header"/>
    <w:basedOn w:val="Normal"/>
    <w:link w:val="HeaderChar"/>
    <w:uiPriority w:val="15"/>
    <w:rsid w:val="00CD1D61"/>
    <w:pPr>
      <w:tabs>
        <w:tab w:val="center" w:pos="4153"/>
        <w:tab w:val="right" w:pos="8306"/>
      </w:tabs>
    </w:pPr>
  </w:style>
  <w:style w:type="character" w:styleId="HTMLAcronym">
    <w:name w:val="HTML Acronym"/>
    <w:basedOn w:val="DefaultParagraphFont"/>
    <w:semiHidden/>
    <w:rsid w:val="003B637B"/>
  </w:style>
  <w:style w:type="paragraph" w:styleId="HTMLAddress">
    <w:name w:val="HTML Address"/>
    <w:basedOn w:val="Normal"/>
    <w:semiHidden/>
    <w:rsid w:val="003B637B"/>
    <w:rPr>
      <w:i/>
      <w:iCs/>
    </w:rPr>
  </w:style>
  <w:style w:type="character" w:styleId="HTMLCite">
    <w:name w:val="HTML Cite"/>
    <w:semiHidden/>
    <w:rsid w:val="003B637B"/>
    <w:rPr>
      <w:i/>
      <w:iCs/>
    </w:rPr>
  </w:style>
  <w:style w:type="character" w:styleId="HTMLCode">
    <w:name w:val="HTML Code"/>
    <w:semiHidden/>
    <w:rsid w:val="003B637B"/>
    <w:rPr>
      <w:rFonts w:ascii="Courier New" w:hAnsi="Courier New" w:cs="Courier New"/>
      <w:sz w:val="20"/>
      <w:szCs w:val="20"/>
    </w:rPr>
  </w:style>
  <w:style w:type="character" w:styleId="HTMLDefinition">
    <w:name w:val="HTML Definition"/>
    <w:semiHidden/>
    <w:rsid w:val="003B637B"/>
    <w:rPr>
      <w:i/>
      <w:iCs/>
    </w:rPr>
  </w:style>
  <w:style w:type="character" w:styleId="HTMLKeyboard">
    <w:name w:val="HTML Keyboard"/>
    <w:semiHidden/>
    <w:rsid w:val="003B637B"/>
    <w:rPr>
      <w:rFonts w:ascii="Courier New" w:hAnsi="Courier New" w:cs="Courier New"/>
      <w:sz w:val="20"/>
      <w:szCs w:val="20"/>
    </w:rPr>
  </w:style>
  <w:style w:type="paragraph" w:styleId="HTMLPreformatted">
    <w:name w:val="HTML Preformatted"/>
    <w:basedOn w:val="Normal"/>
    <w:semiHidden/>
    <w:rsid w:val="003B637B"/>
    <w:rPr>
      <w:rFonts w:ascii="Courier New" w:hAnsi="Courier New" w:cs="Courier New"/>
      <w:sz w:val="20"/>
      <w:szCs w:val="20"/>
    </w:rPr>
  </w:style>
  <w:style w:type="character" w:styleId="HTMLSample">
    <w:name w:val="HTML Sample"/>
    <w:semiHidden/>
    <w:rsid w:val="003B637B"/>
    <w:rPr>
      <w:rFonts w:ascii="Courier New" w:hAnsi="Courier New" w:cs="Courier New"/>
    </w:rPr>
  </w:style>
  <w:style w:type="character" w:styleId="HTMLTypewriter">
    <w:name w:val="HTML Typewriter"/>
    <w:semiHidden/>
    <w:rsid w:val="003B637B"/>
    <w:rPr>
      <w:rFonts w:ascii="Courier New" w:hAnsi="Courier New" w:cs="Courier New"/>
      <w:sz w:val="20"/>
      <w:szCs w:val="20"/>
    </w:rPr>
  </w:style>
  <w:style w:type="character" w:styleId="HTMLVariable">
    <w:name w:val="HTML Variable"/>
    <w:semiHidden/>
    <w:rsid w:val="003B637B"/>
    <w:rPr>
      <w:i/>
      <w:iCs/>
    </w:rPr>
  </w:style>
  <w:style w:type="character" w:styleId="Hyperlink">
    <w:name w:val="Hyperlink"/>
    <w:uiPriority w:val="99"/>
    <w:unhideWhenUsed/>
    <w:rsid w:val="00466888"/>
    <w:rPr>
      <w:color w:val="1F497D"/>
      <w:u w:val="single"/>
    </w:rPr>
  </w:style>
  <w:style w:type="character" w:styleId="LineNumber">
    <w:name w:val="line number"/>
    <w:basedOn w:val="DefaultParagraphFont"/>
    <w:semiHidden/>
    <w:rsid w:val="003B637B"/>
  </w:style>
  <w:style w:type="paragraph" w:styleId="List">
    <w:name w:val="List"/>
    <w:basedOn w:val="Normal"/>
    <w:semiHidden/>
    <w:rsid w:val="003B637B"/>
    <w:pPr>
      <w:ind w:left="283" w:hanging="283"/>
    </w:pPr>
  </w:style>
  <w:style w:type="paragraph" w:styleId="List2">
    <w:name w:val="List 2"/>
    <w:basedOn w:val="Normal"/>
    <w:semiHidden/>
    <w:rsid w:val="003B637B"/>
    <w:pPr>
      <w:ind w:left="566" w:hanging="283"/>
    </w:pPr>
  </w:style>
  <w:style w:type="paragraph" w:styleId="List3">
    <w:name w:val="List 3"/>
    <w:basedOn w:val="Normal"/>
    <w:semiHidden/>
    <w:rsid w:val="003B637B"/>
    <w:pPr>
      <w:ind w:left="849" w:hanging="283"/>
    </w:pPr>
  </w:style>
  <w:style w:type="paragraph" w:styleId="List4">
    <w:name w:val="List 4"/>
    <w:basedOn w:val="Normal"/>
    <w:semiHidden/>
    <w:rsid w:val="003B637B"/>
    <w:pPr>
      <w:ind w:left="1132" w:hanging="283"/>
    </w:pPr>
  </w:style>
  <w:style w:type="paragraph" w:styleId="List5">
    <w:name w:val="List 5"/>
    <w:basedOn w:val="Normal"/>
    <w:semiHidden/>
    <w:rsid w:val="003B637B"/>
    <w:pPr>
      <w:ind w:left="1415" w:hanging="283"/>
    </w:pPr>
  </w:style>
  <w:style w:type="paragraph" w:styleId="ListBullet">
    <w:name w:val="List Bullet"/>
    <w:basedOn w:val="Normal"/>
    <w:semiHidden/>
    <w:rsid w:val="003B637B"/>
    <w:pPr>
      <w:numPr>
        <w:numId w:val="5"/>
      </w:numPr>
    </w:pPr>
  </w:style>
  <w:style w:type="paragraph" w:styleId="ListBullet2">
    <w:name w:val="List Bullet 2"/>
    <w:basedOn w:val="Normal"/>
    <w:semiHidden/>
    <w:rsid w:val="003B637B"/>
    <w:pPr>
      <w:numPr>
        <w:numId w:val="6"/>
      </w:numPr>
    </w:pPr>
  </w:style>
  <w:style w:type="paragraph" w:styleId="ListBullet3">
    <w:name w:val="List Bullet 3"/>
    <w:basedOn w:val="Normal"/>
    <w:semiHidden/>
    <w:rsid w:val="003B637B"/>
    <w:pPr>
      <w:numPr>
        <w:numId w:val="7"/>
      </w:numPr>
    </w:pPr>
  </w:style>
  <w:style w:type="paragraph" w:styleId="ListBullet4">
    <w:name w:val="List Bullet 4"/>
    <w:basedOn w:val="Normal"/>
    <w:semiHidden/>
    <w:rsid w:val="003B637B"/>
    <w:pPr>
      <w:numPr>
        <w:numId w:val="8"/>
      </w:numPr>
    </w:pPr>
  </w:style>
  <w:style w:type="paragraph" w:styleId="ListBullet5">
    <w:name w:val="List Bullet 5"/>
    <w:basedOn w:val="Normal"/>
    <w:semiHidden/>
    <w:rsid w:val="003B637B"/>
    <w:pPr>
      <w:numPr>
        <w:numId w:val="9"/>
      </w:numPr>
    </w:pPr>
  </w:style>
  <w:style w:type="paragraph" w:styleId="ListContinue">
    <w:name w:val="List Continue"/>
    <w:basedOn w:val="Normal"/>
    <w:semiHidden/>
    <w:rsid w:val="003B637B"/>
    <w:pPr>
      <w:ind w:left="283"/>
    </w:pPr>
  </w:style>
  <w:style w:type="paragraph" w:styleId="ListContinue2">
    <w:name w:val="List Continue 2"/>
    <w:basedOn w:val="Normal"/>
    <w:semiHidden/>
    <w:rsid w:val="003B637B"/>
    <w:pPr>
      <w:ind w:left="566"/>
    </w:pPr>
  </w:style>
  <w:style w:type="paragraph" w:styleId="ListContinue3">
    <w:name w:val="List Continue 3"/>
    <w:basedOn w:val="Normal"/>
    <w:semiHidden/>
    <w:rsid w:val="003B637B"/>
    <w:pPr>
      <w:ind w:left="849"/>
    </w:pPr>
  </w:style>
  <w:style w:type="paragraph" w:styleId="ListContinue4">
    <w:name w:val="List Continue 4"/>
    <w:basedOn w:val="Normal"/>
    <w:semiHidden/>
    <w:rsid w:val="003B637B"/>
    <w:pPr>
      <w:ind w:left="1132"/>
    </w:pPr>
  </w:style>
  <w:style w:type="paragraph" w:styleId="ListContinue5">
    <w:name w:val="List Continue 5"/>
    <w:basedOn w:val="Normal"/>
    <w:semiHidden/>
    <w:rsid w:val="003B637B"/>
    <w:pPr>
      <w:ind w:left="1415"/>
    </w:pPr>
  </w:style>
  <w:style w:type="paragraph" w:styleId="ListNumber">
    <w:name w:val="List Number"/>
    <w:basedOn w:val="Normal"/>
    <w:semiHidden/>
    <w:rsid w:val="003B637B"/>
    <w:pPr>
      <w:numPr>
        <w:numId w:val="10"/>
      </w:numPr>
    </w:pPr>
  </w:style>
  <w:style w:type="paragraph" w:styleId="ListNumber2">
    <w:name w:val="List Number 2"/>
    <w:basedOn w:val="Normal"/>
    <w:semiHidden/>
    <w:rsid w:val="003B637B"/>
    <w:pPr>
      <w:numPr>
        <w:numId w:val="11"/>
      </w:numPr>
    </w:pPr>
  </w:style>
  <w:style w:type="paragraph" w:styleId="ListNumber3">
    <w:name w:val="List Number 3"/>
    <w:basedOn w:val="Normal"/>
    <w:semiHidden/>
    <w:rsid w:val="003B637B"/>
    <w:pPr>
      <w:numPr>
        <w:numId w:val="12"/>
      </w:numPr>
    </w:pPr>
  </w:style>
  <w:style w:type="paragraph" w:styleId="ListNumber4">
    <w:name w:val="List Number 4"/>
    <w:basedOn w:val="Normal"/>
    <w:semiHidden/>
    <w:rsid w:val="003B637B"/>
    <w:pPr>
      <w:numPr>
        <w:numId w:val="13"/>
      </w:numPr>
    </w:pPr>
  </w:style>
  <w:style w:type="paragraph" w:styleId="ListNumber5">
    <w:name w:val="List Number 5"/>
    <w:basedOn w:val="Normal"/>
    <w:semiHidden/>
    <w:rsid w:val="003B637B"/>
    <w:pPr>
      <w:numPr>
        <w:numId w:val="14"/>
      </w:numPr>
    </w:pPr>
  </w:style>
  <w:style w:type="paragraph" w:styleId="MessageHeader">
    <w:name w:val="Message Header"/>
    <w:basedOn w:val="Normal"/>
    <w:semiHidden/>
    <w:rsid w:val="003B637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ormalWeb">
    <w:name w:val="Normal (Web)"/>
    <w:basedOn w:val="Normal"/>
    <w:uiPriority w:val="99"/>
    <w:rsid w:val="003B637B"/>
    <w:rPr>
      <w:rFonts w:ascii="Times New Roman" w:hAnsi="Times New Roman"/>
      <w:sz w:val="24"/>
    </w:rPr>
  </w:style>
  <w:style w:type="paragraph" w:styleId="NormalIndent">
    <w:name w:val="Normal Indent"/>
    <w:basedOn w:val="Normal"/>
    <w:semiHidden/>
    <w:rsid w:val="003B637B"/>
    <w:pPr>
      <w:ind w:left="720"/>
    </w:pPr>
  </w:style>
  <w:style w:type="paragraph" w:styleId="NoteHeading">
    <w:name w:val="Note Heading"/>
    <w:basedOn w:val="Normal"/>
    <w:next w:val="Normal"/>
    <w:semiHidden/>
    <w:rsid w:val="003B637B"/>
  </w:style>
  <w:style w:type="paragraph" w:styleId="PlainText">
    <w:name w:val="Plain Text"/>
    <w:basedOn w:val="Normal"/>
    <w:semiHidden/>
    <w:rsid w:val="003B637B"/>
    <w:rPr>
      <w:rFonts w:ascii="Courier New" w:hAnsi="Courier New" w:cs="Courier New"/>
      <w:sz w:val="20"/>
      <w:szCs w:val="20"/>
    </w:rPr>
  </w:style>
  <w:style w:type="paragraph" w:styleId="Salutation">
    <w:name w:val="Salutation"/>
    <w:basedOn w:val="Normal"/>
    <w:next w:val="Normal"/>
    <w:semiHidden/>
    <w:rsid w:val="003B637B"/>
  </w:style>
  <w:style w:type="paragraph" w:styleId="Signature">
    <w:name w:val="Signature"/>
    <w:basedOn w:val="Normal"/>
    <w:semiHidden/>
    <w:rsid w:val="003B637B"/>
    <w:pPr>
      <w:ind w:left="4252"/>
    </w:pPr>
  </w:style>
  <w:style w:type="table" w:styleId="Table3Deffects1">
    <w:name w:val="Table 3D effects 1"/>
    <w:basedOn w:val="TableNormal"/>
    <w:semiHidden/>
    <w:rsid w:val="003B637B"/>
    <w:pPr>
      <w:spacing w:after="4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3B637B"/>
    <w:pPr>
      <w:spacing w:after="4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3B637B"/>
    <w:pPr>
      <w:spacing w:after="4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3B637B"/>
    <w:pPr>
      <w:spacing w:after="4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3B637B"/>
    <w:pPr>
      <w:spacing w:after="40"/>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3B637B"/>
    <w:pPr>
      <w:spacing w:after="4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3B637B"/>
    <w:pPr>
      <w:spacing w:after="4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3B637B"/>
    <w:pPr>
      <w:spacing w:after="4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3B637B"/>
    <w:pPr>
      <w:spacing w:after="4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3B637B"/>
    <w:pPr>
      <w:spacing w:after="4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3B637B"/>
    <w:pPr>
      <w:spacing w:after="4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3B637B"/>
    <w:pPr>
      <w:spacing w:after="40"/>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3B637B"/>
    <w:pPr>
      <w:spacing w:after="4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3B637B"/>
    <w:pPr>
      <w:spacing w:after="4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3B637B"/>
    <w:pPr>
      <w:spacing w:after="4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3B637B"/>
    <w:pPr>
      <w:spacing w:after="4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3B637B"/>
    <w:pPr>
      <w:spacing w:after="4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F4B5D"/>
    <w:pPr>
      <w:spacing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3B637B"/>
    <w:pPr>
      <w:spacing w:after="4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3B637B"/>
    <w:pPr>
      <w:spacing w:after="40"/>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3B637B"/>
    <w:pPr>
      <w:spacing w:after="4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3B637B"/>
    <w:pPr>
      <w:spacing w:after="4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3B637B"/>
    <w:pPr>
      <w:spacing w:after="4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3B637B"/>
    <w:pPr>
      <w:spacing w:after="4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3B637B"/>
    <w:pPr>
      <w:spacing w:after="4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3B637B"/>
    <w:pPr>
      <w:spacing w:after="4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3B637B"/>
    <w:pPr>
      <w:spacing w:after="40"/>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3B637B"/>
    <w:pPr>
      <w:spacing w:after="40"/>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3B637B"/>
    <w:pPr>
      <w:spacing w:after="4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3B637B"/>
    <w:pPr>
      <w:spacing w:after="4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3B637B"/>
    <w:pPr>
      <w:spacing w:after="4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3B637B"/>
    <w:pPr>
      <w:spacing w:after="4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3B637B"/>
    <w:pPr>
      <w:spacing w:after="4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3B637B"/>
    <w:pPr>
      <w:spacing w:after="4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Figures">
    <w:name w:val="table of figures"/>
    <w:basedOn w:val="TOC1"/>
    <w:next w:val="AIHWbodytext"/>
    <w:uiPriority w:val="21"/>
    <w:unhideWhenUsed/>
    <w:rsid w:val="009B2765"/>
    <w:pPr>
      <w:tabs>
        <w:tab w:val="clear" w:pos="397"/>
      </w:tabs>
      <w:spacing w:before="60" w:line="240" w:lineRule="atLeast"/>
      <w:ind w:left="992" w:hanging="992"/>
    </w:pPr>
    <w:rPr>
      <w:b w:val="0"/>
      <w:sz w:val="20"/>
    </w:rPr>
  </w:style>
  <w:style w:type="table" w:styleId="TableProfessional">
    <w:name w:val="Table Professional"/>
    <w:basedOn w:val="TableNormal"/>
    <w:semiHidden/>
    <w:rsid w:val="003B637B"/>
    <w:pPr>
      <w:spacing w:after="4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3B637B"/>
    <w:pPr>
      <w:spacing w:after="40"/>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3B637B"/>
    <w:pPr>
      <w:spacing w:after="4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3B637B"/>
    <w:pPr>
      <w:spacing w:after="40"/>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3B637B"/>
    <w:pPr>
      <w:spacing w:after="40"/>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3B637B"/>
    <w:pPr>
      <w:spacing w:after="40"/>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3B637B"/>
    <w:pPr>
      <w:spacing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3B637B"/>
    <w:pPr>
      <w:spacing w:after="4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3B637B"/>
    <w:pPr>
      <w:spacing w:after="40"/>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3B637B"/>
    <w:pPr>
      <w:spacing w:after="4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ableFigHeadingtotal">
    <w:name w:val="Table/Fig: Heading &amp; total"/>
    <w:basedOn w:val="TableFigText"/>
    <w:next w:val="TableFigText"/>
    <w:uiPriority w:val="6"/>
    <w:rsid w:val="009B2765"/>
    <w:rPr>
      <w:b/>
    </w:rPr>
  </w:style>
  <w:style w:type="character" w:customStyle="1" w:styleId="Heading1Char">
    <w:name w:val="Heading 1 Char"/>
    <w:link w:val="Heading1"/>
    <w:uiPriority w:val="1"/>
    <w:rsid w:val="00EA5C10"/>
    <w:rPr>
      <w:rFonts w:ascii="Arial" w:hAnsi="Arial"/>
      <w:b/>
      <w:color w:val="000000"/>
      <w:sz w:val="44"/>
      <w:lang w:eastAsia="en-US"/>
    </w:rPr>
  </w:style>
  <w:style w:type="character" w:customStyle="1" w:styleId="TableFigTextChar">
    <w:name w:val="Table/Fig: Text Char"/>
    <w:link w:val="TableFigText"/>
    <w:uiPriority w:val="6"/>
    <w:rsid w:val="000E3F97"/>
    <w:rPr>
      <w:rFonts w:ascii="Arial" w:hAnsi="Arial"/>
      <w:sz w:val="16"/>
      <w:szCs w:val="20"/>
      <w:lang w:eastAsia="en-US"/>
    </w:rPr>
  </w:style>
  <w:style w:type="paragraph" w:styleId="BalloonText">
    <w:name w:val="Balloon Text"/>
    <w:basedOn w:val="Normal"/>
    <w:semiHidden/>
    <w:rsid w:val="005E5A15"/>
    <w:rPr>
      <w:rFonts w:ascii="Tahoma" w:hAnsi="Tahoma" w:cs="Tahoma"/>
      <w:sz w:val="16"/>
      <w:szCs w:val="16"/>
    </w:rPr>
  </w:style>
  <w:style w:type="paragraph" w:styleId="DocumentMap">
    <w:name w:val="Document Map"/>
    <w:basedOn w:val="Normal"/>
    <w:semiHidden/>
    <w:rsid w:val="004E250D"/>
    <w:pPr>
      <w:shd w:val="clear" w:color="auto" w:fill="000080"/>
    </w:pPr>
    <w:rPr>
      <w:rFonts w:ascii="Tahoma" w:hAnsi="Tahoma" w:cs="Tahoma"/>
      <w:sz w:val="20"/>
      <w:szCs w:val="20"/>
    </w:rPr>
  </w:style>
  <w:style w:type="character" w:customStyle="1" w:styleId="AIHWbodytextChar">
    <w:name w:val="AIHW body text Char"/>
    <w:link w:val="AIHWbodytext"/>
    <w:locked/>
    <w:rsid w:val="00FC5F5C"/>
    <w:rPr>
      <w:color w:val="000000"/>
      <w:sz w:val="22"/>
      <w:lang w:eastAsia="en-US"/>
    </w:rPr>
  </w:style>
  <w:style w:type="character" w:customStyle="1" w:styleId="Heading2Char">
    <w:name w:val="Heading 2 Char"/>
    <w:link w:val="Heading2"/>
    <w:uiPriority w:val="1"/>
    <w:rsid w:val="00BE6005"/>
    <w:rPr>
      <w:rFonts w:ascii="Arial" w:hAnsi="Arial"/>
      <w:b/>
      <w:color w:val="000000"/>
      <w:sz w:val="36"/>
      <w:lang w:eastAsia="en-US"/>
    </w:rPr>
  </w:style>
  <w:style w:type="character" w:customStyle="1" w:styleId="Heading3Char">
    <w:name w:val="Heading 3 Char"/>
    <w:link w:val="Heading3"/>
    <w:uiPriority w:val="1"/>
    <w:rsid w:val="00BE6005"/>
    <w:rPr>
      <w:rFonts w:ascii="Arial" w:hAnsi="Arial"/>
      <w:b/>
      <w:color w:val="000000"/>
      <w:sz w:val="28"/>
      <w:lang w:eastAsia="en-US"/>
    </w:rPr>
  </w:style>
  <w:style w:type="character" w:customStyle="1" w:styleId="Heading4Char">
    <w:name w:val="Heading 4 Char"/>
    <w:link w:val="Heading4"/>
    <w:uiPriority w:val="1"/>
    <w:rsid w:val="00EA5C10"/>
    <w:rPr>
      <w:rFonts w:ascii="Arial" w:hAnsi="Arial"/>
      <w:b/>
      <w:color w:val="000000"/>
      <w:sz w:val="24"/>
      <w:lang w:eastAsia="en-US"/>
    </w:rPr>
  </w:style>
  <w:style w:type="character" w:customStyle="1" w:styleId="Heading5Char">
    <w:name w:val="Heading 5 Char"/>
    <w:link w:val="Heading5"/>
    <w:uiPriority w:val="1"/>
    <w:rsid w:val="000E3F97"/>
    <w:rPr>
      <w:b/>
      <w:color w:val="000000"/>
      <w:lang w:eastAsia="en-US"/>
    </w:rPr>
  </w:style>
  <w:style w:type="character" w:customStyle="1" w:styleId="Heading6Char">
    <w:name w:val="Heading 6 Char"/>
    <w:link w:val="Heading6"/>
    <w:uiPriority w:val="1"/>
    <w:rsid w:val="000E3F97"/>
    <w:rPr>
      <w:i/>
      <w:color w:val="000000"/>
      <w:lang w:eastAsia="en-US"/>
    </w:rPr>
  </w:style>
  <w:style w:type="character" w:styleId="CommentReference">
    <w:name w:val="annotation reference"/>
    <w:unhideWhenUsed/>
    <w:rsid w:val="00BC3DD5"/>
    <w:rPr>
      <w:sz w:val="16"/>
      <w:szCs w:val="16"/>
    </w:rPr>
  </w:style>
  <w:style w:type="paragraph" w:styleId="CommentText">
    <w:name w:val="annotation text"/>
    <w:basedOn w:val="Normal"/>
    <w:link w:val="CommentTextChar"/>
    <w:uiPriority w:val="21"/>
    <w:unhideWhenUsed/>
    <w:rsid w:val="00BC3DD5"/>
    <w:rPr>
      <w:sz w:val="20"/>
      <w:szCs w:val="20"/>
    </w:rPr>
  </w:style>
  <w:style w:type="character" w:customStyle="1" w:styleId="CommentTextChar">
    <w:name w:val="Comment Text Char"/>
    <w:link w:val="CommentText"/>
    <w:uiPriority w:val="21"/>
    <w:rsid w:val="00232418"/>
  </w:style>
  <w:style w:type="paragraph" w:styleId="CommentSubject">
    <w:name w:val="annotation subject"/>
    <w:basedOn w:val="CommentText"/>
    <w:next w:val="CommentText"/>
    <w:link w:val="CommentSubjectChar"/>
    <w:uiPriority w:val="21"/>
    <w:unhideWhenUsed/>
    <w:rsid w:val="00BC3DD5"/>
    <w:rPr>
      <w:b/>
      <w:bCs/>
    </w:rPr>
  </w:style>
  <w:style w:type="character" w:customStyle="1" w:styleId="CommentSubjectChar">
    <w:name w:val="Comment Subject Char"/>
    <w:link w:val="CommentSubject"/>
    <w:uiPriority w:val="21"/>
    <w:rsid w:val="00232418"/>
    <w:rPr>
      <w:b/>
      <w:bCs/>
    </w:rPr>
  </w:style>
  <w:style w:type="paragraph" w:customStyle="1" w:styleId="BoxItalics">
    <w:name w:val="Box: Italics"/>
    <w:basedOn w:val="BoxText"/>
    <w:next w:val="BoxText"/>
    <w:link w:val="BoxItalicsChar"/>
    <w:uiPriority w:val="3"/>
    <w:qFormat/>
    <w:rsid w:val="00C42A4F"/>
    <w:rPr>
      <w:i/>
    </w:rPr>
  </w:style>
  <w:style w:type="character" w:customStyle="1" w:styleId="BoxTextChar">
    <w:name w:val="Box: Text Char"/>
    <w:link w:val="BoxText"/>
    <w:uiPriority w:val="3"/>
    <w:rsid w:val="000E3F97"/>
    <w:rPr>
      <w:sz w:val="21"/>
      <w:szCs w:val="20"/>
      <w:lang w:eastAsia="en-US"/>
    </w:rPr>
  </w:style>
  <w:style w:type="character" w:customStyle="1" w:styleId="BoxItalicsChar">
    <w:name w:val="Box: Italics Char"/>
    <w:link w:val="BoxItalics"/>
    <w:uiPriority w:val="3"/>
    <w:rsid w:val="000E3F97"/>
    <w:rPr>
      <w:i/>
      <w:sz w:val="21"/>
      <w:szCs w:val="20"/>
      <w:lang w:eastAsia="en-US"/>
    </w:rPr>
  </w:style>
  <w:style w:type="character" w:customStyle="1" w:styleId="FooterChar">
    <w:name w:val="Footer Char"/>
    <w:link w:val="Footer"/>
    <w:uiPriority w:val="99"/>
    <w:rsid w:val="00D96C6C"/>
    <w:rPr>
      <w:rFonts w:ascii="Calibri" w:hAnsi="Calibri"/>
      <w:color w:val="484848"/>
      <w:sz w:val="18"/>
      <w:lang w:eastAsia="en-US"/>
    </w:rPr>
  </w:style>
  <w:style w:type="paragraph" w:customStyle="1" w:styleId="AIHWbodytextintable">
    <w:name w:val="AIHW body text in table"/>
    <w:basedOn w:val="AIHWbodytext"/>
    <w:next w:val="AIHWbodytext"/>
    <w:rsid w:val="00CD777B"/>
    <w:pPr>
      <w:spacing w:before="80" w:after="80"/>
    </w:pPr>
  </w:style>
  <w:style w:type="paragraph" w:customStyle="1" w:styleId="Boxcontinued">
    <w:name w:val="Box: (continued)"/>
    <w:basedOn w:val="BoxText"/>
    <w:next w:val="BoxHeading1"/>
    <w:uiPriority w:val="4"/>
    <w:rsid w:val="00BE6005"/>
    <w:pPr>
      <w:spacing w:before="0" w:after="0"/>
      <w:jc w:val="right"/>
    </w:pPr>
    <w:rPr>
      <w:i/>
      <w:sz w:val="20"/>
    </w:rPr>
  </w:style>
  <w:style w:type="character" w:customStyle="1" w:styleId="Bullet1Char">
    <w:name w:val="Bullet 1 Char"/>
    <w:basedOn w:val="DefaultParagraphFont"/>
    <w:link w:val="Bullet1"/>
    <w:uiPriority w:val="2"/>
    <w:locked/>
    <w:rsid w:val="00502F93"/>
    <w:rPr>
      <w:sz w:val="22"/>
      <w:lang w:eastAsia="en-US"/>
    </w:rPr>
  </w:style>
  <w:style w:type="paragraph" w:styleId="Title">
    <w:name w:val="Title"/>
    <w:basedOn w:val="Normal"/>
    <w:next w:val="Normal"/>
    <w:link w:val="TitleChar"/>
    <w:uiPriority w:val="10"/>
    <w:qFormat/>
    <w:rsid w:val="00502F93"/>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02F93"/>
    <w:rPr>
      <w:rFonts w:asciiTheme="majorHAnsi" w:eastAsiaTheme="majorEastAsia" w:hAnsiTheme="majorHAnsi" w:cstheme="majorBidi"/>
      <w:color w:val="17365D" w:themeColor="text2" w:themeShade="BF"/>
      <w:spacing w:val="5"/>
      <w:kern w:val="28"/>
      <w:sz w:val="52"/>
      <w:szCs w:val="52"/>
    </w:rPr>
  </w:style>
  <w:style w:type="character" w:styleId="Strong">
    <w:name w:val="Strong"/>
    <w:basedOn w:val="DefaultParagraphFont"/>
    <w:uiPriority w:val="22"/>
    <w:qFormat/>
    <w:rsid w:val="00502F93"/>
    <w:rPr>
      <w:b/>
      <w:bCs/>
    </w:rPr>
  </w:style>
  <w:style w:type="paragraph" w:customStyle="1" w:styleId="Default">
    <w:name w:val="Default"/>
    <w:rsid w:val="00502F93"/>
    <w:pPr>
      <w:autoSpaceDE w:val="0"/>
      <w:autoSpaceDN w:val="0"/>
      <w:adjustRightInd w:val="0"/>
      <w:spacing w:after="200" w:line="276" w:lineRule="auto"/>
    </w:pPr>
    <w:rPr>
      <w:rFonts w:ascii="Arial" w:eastAsiaTheme="minorEastAsia" w:hAnsi="Arial" w:cs="Arial"/>
      <w:color w:val="000000"/>
      <w:sz w:val="24"/>
      <w:szCs w:val="24"/>
    </w:rPr>
  </w:style>
  <w:style w:type="paragraph" w:styleId="ListParagraph">
    <w:name w:val="List Paragraph"/>
    <w:basedOn w:val="Normal"/>
    <w:uiPriority w:val="34"/>
    <w:qFormat/>
    <w:rsid w:val="00502F93"/>
    <w:pPr>
      <w:spacing w:before="0" w:after="200" w:line="276" w:lineRule="auto"/>
      <w:ind w:left="720"/>
      <w:contextualSpacing/>
    </w:pPr>
    <w:rPr>
      <w:rFonts w:asciiTheme="minorHAnsi" w:eastAsiaTheme="minorEastAsia" w:hAnsiTheme="minorHAnsi" w:cstheme="minorBidi"/>
    </w:rPr>
  </w:style>
  <w:style w:type="character" w:customStyle="1" w:styleId="H4Char">
    <w:name w:val="H4 Char"/>
    <w:basedOn w:val="Bullet1Char"/>
    <w:link w:val="H4"/>
    <w:locked/>
    <w:rsid w:val="00502F93"/>
    <w:rPr>
      <w:b/>
      <w:sz w:val="22"/>
      <w:lang w:eastAsia="en-US"/>
    </w:rPr>
  </w:style>
  <w:style w:type="paragraph" w:customStyle="1" w:styleId="H4">
    <w:name w:val="H4"/>
    <w:basedOn w:val="Bullet1"/>
    <w:link w:val="H4Char"/>
    <w:rsid w:val="00502F93"/>
    <w:pPr>
      <w:numPr>
        <w:numId w:val="0"/>
      </w:numPr>
    </w:pPr>
    <w:rPr>
      <w:b/>
    </w:rPr>
  </w:style>
  <w:style w:type="table" w:styleId="LightList-Accent1">
    <w:name w:val="Light List Accent 1"/>
    <w:basedOn w:val="TableNormal"/>
    <w:uiPriority w:val="61"/>
    <w:locked/>
    <w:rsid w:val="00502F93"/>
    <w:pPr>
      <w:spacing w:after="200" w:line="276" w:lineRule="auto"/>
    </w:pPr>
    <w:rPr>
      <w:rFonts w:eastAsiaTheme="minorEastAsia" w:cstheme="minorBidi"/>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TOCHeading">
    <w:name w:val="TOC Heading"/>
    <w:basedOn w:val="Heading1"/>
    <w:next w:val="Normal"/>
    <w:uiPriority w:val="39"/>
    <w:semiHidden/>
    <w:unhideWhenUsed/>
    <w:qFormat/>
    <w:rsid w:val="00502F93"/>
    <w:pPr>
      <w:pageBreakBefore w:val="0"/>
      <w:tabs>
        <w:tab w:val="clear" w:pos="794"/>
        <w:tab w:val="clear" w:pos="1191"/>
        <w:tab w:val="clear" w:pos="2778"/>
      </w:tabs>
      <w:spacing w:before="480" w:after="0" w:line="276" w:lineRule="auto"/>
      <w:outlineLvl w:val="9"/>
    </w:pPr>
    <w:rPr>
      <w:rFonts w:asciiTheme="majorHAnsi" w:eastAsiaTheme="majorEastAsia" w:hAnsiTheme="majorHAnsi" w:cstheme="majorBidi"/>
      <w:bCs/>
      <w:color w:val="365F91" w:themeColor="accent1" w:themeShade="BF"/>
      <w:sz w:val="28"/>
      <w:szCs w:val="28"/>
      <w:lang w:eastAsia="en-AU"/>
    </w:rPr>
  </w:style>
  <w:style w:type="character" w:customStyle="1" w:styleId="apple-converted-space">
    <w:name w:val="apple-converted-space"/>
    <w:basedOn w:val="DefaultParagraphFont"/>
    <w:rsid w:val="00D54B04"/>
  </w:style>
  <w:style w:type="character" w:customStyle="1" w:styleId="table-note">
    <w:name w:val="table-note"/>
    <w:basedOn w:val="DefaultParagraphFont"/>
    <w:qFormat/>
    <w:rsid w:val="00D54B04"/>
  </w:style>
  <w:style w:type="paragraph" w:customStyle="1" w:styleId="TableFigNotesnumbered">
    <w:name w:val="Table/Fig: Notes numbered"/>
    <w:basedOn w:val="TableSourcefootnotes"/>
    <w:link w:val="TableFigNotesnumberedChar"/>
    <w:uiPriority w:val="6"/>
    <w:rsid w:val="00621901"/>
    <w:pPr>
      <w:tabs>
        <w:tab w:val="clear" w:pos="397"/>
      </w:tabs>
      <w:spacing w:after="0"/>
      <w:ind w:left="397" w:hanging="397"/>
    </w:pPr>
  </w:style>
  <w:style w:type="character" w:customStyle="1" w:styleId="TableFigNotesnumberedChar">
    <w:name w:val="Table/Fig: Notes numbered Char"/>
    <w:link w:val="TableFigNotesnumbered"/>
    <w:uiPriority w:val="6"/>
    <w:rsid w:val="00621901"/>
    <w:rPr>
      <w:rFonts w:ascii="Arial" w:hAnsi="Arial"/>
      <w:sz w:val="14"/>
      <w:lang w:eastAsia="en-US"/>
    </w:rPr>
  </w:style>
  <w:style w:type="paragraph" w:styleId="Revision">
    <w:name w:val="Revision"/>
    <w:hidden/>
    <w:uiPriority w:val="99"/>
    <w:semiHidden/>
    <w:rsid w:val="001F6E1F"/>
    <w:rPr>
      <w:sz w:val="22"/>
      <w:szCs w:val="22"/>
    </w:rPr>
  </w:style>
  <w:style w:type="paragraph" w:customStyle="1" w:styleId="Heading1-Cover">
    <w:name w:val="Heading 1 - Cover"/>
    <w:basedOn w:val="Heading1"/>
    <w:uiPriority w:val="19"/>
    <w:qFormat/>
    <w:rsid w:val="00493C36"/>
    <w:pPr>
      <w:pageBreakBefore w:val="0"/>
      <w:spacing w:before="300" w:after="120" w:line="240" w:lineRule="auto"/>
      <w:jc w:val="center"/>
    </w:pPr>
    <w:rPr>
      <w:rFonts w:asciiTheme="majorHAnsi" w:eastAsiaTheme="majorEastAsia" w:hAnsiTheme="majorHAnsi"/>
      <w:b w:val="0"/>
      <w:color w:val="17365D" w:themeColor="text2" w:themeShade="BF"/>
      <w:sz w:val="4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Book Antiqua" w:eastAsia="Times New Roman" w:hAnsi="Book Antiqua"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uiPriority="1" w:qFormat="1"/>
    <w:lsdException w:name="heading 3" w:uiPriority="1" w:qFormat="1"/>
    <w:lsdException w:name="heading 4" w:qFormat="1"/>
    <w:lsdException w:name="heading 5" w:qFormat="1"/>
    <w:lsdException w:name="heading 6" w:qFormat="1"/>
    <w:lsdException w:name="heading 7" w:locked="1"/>
    <w:lsdException w:name="heading 8" w:locked="1" w:qFormat="1"/>
    <w:lsdException w:name="heading 9" w:locked="1"/>
    <w:lsdException w:name="index 1" w:semiHidden="1" w:uiPriority="19" w:unhideWhenUsed="1"/>
    <w:lsdException w:name="index 2" w:semiHidden="1" w:uiPriority="19" w:unhideWhenUsed="1"/>
    <w:lsdException w:name="index 3" w:semiHidden="1" w:uiPriority="19" w:unhideWhenUsed="1"/>
    <w:lsdException w:name="index 4" w:semiHidden="1" w:uiPriority="19" w:unhideWhenUsed="1"/>
    <w:lsdException w:name="index 5" w:semiHidden="1" w:uiPriority="19" w:unhideWhenUsed="1"/>
    <w:lsdException w:name="index 6" w:semiHidden="1" w:uiPriority="19" w:unhideWhenUsed="1"/>
    <w:lsdException w:name="index 7" w:semiHidden="1" w:uiPriority="19" w:unhideWhenUsed="1"/>
    <w:lsdException w:name="index 8" w:semiHidden="1" w:uiPriority="19" w:unhideWhenUsed="1"/>
    <w:lsdException w:name="index 9" w:semiHidden="1" w:uiPriority="19" w:unhideWhenUsed="1"/>
    <w:lsdException w:name="toc 1" w:uiPriority="39"/>
    <w:lsdException w:name="toc 2" w:uiPriority="39"/>
    <w:lsdException w:name="toc 3" w:uiPriority="39"/>
    <w:lsdException w:name="toc 4" w:semiHidden="1"/>
    <w:lsdException w:name="toc 5" w:semiHidden="1"/>
    <w:lsdException w:name="toc 6" w:semiHidden="1"/>
    <w:lsdException w:name="toc 7" w:semiHidden="1"/>
    <w:lsdException w:name="toc 8" w:semiHidden="1"/>
    <w:lsdException w:name="toc 9" w:semiHidden="1"/>
    <w:lsdException w:name="header" w:uiPriority="99"/>
    <w:lsdException w:name="footer" w:uiPriority="99"/>
    <w:lsdException w:name="index heading" w:semiHidden="1"/>
    <w:lsdException w:name="caption" w:semiHidden="1" w:qFormat="1"/>
    <w:lsdException w:name="table of figures" w:uiPriority="99"/>
    <w:lsdException w:name="endnote reference" w:semiHidden="1" w:unhideWhenUsed="1"/>
    <w:lsdException w:name="endnote text" w:semiHidden="1" w:unhideWhenUsed="1"/>
    <w:lsdException w:name="table of authorities" w:semiHidden="1" w:uiPriority="13" w:unhideWhenUsed="1"/>
    <w:lsdException w:name="macro" w:semiHidden="1"/>
    <w:lsdException w:name="toa heading" w:semiHidden="1"/>
    <w:lsdException w:name="Title" w:semiHidden="1" w:uiPriority="10" w:qFormat="1"/>
    <w:lsdException w:name="Subtitle" w:semiHidden="1" w:qFormat="1"/>
    <w:lsdException w:name="Hyperlink" w:uiPriority="99"/>
    <w:lsdException w:name="Strong" w:semiHidden="1" w:uiPriority="22" w:qFormat="1"/>
    <w:lsdException w:name="Emphasis" w:semiHidden="1" w:qFormat="1"/>
    <w:lsdException w:name="Normal (Web)" w:uiPriority="99"/>
    <w:lsdException w:name="Placeholder Text" w:semiHidden="1" w:uiPriority="99"/>
    <w:lsdException w:name="No Spacing" w:semiHidden="1" w:uiPriority="99"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next w:val="AIHWbodytext"/>
    <w:uiPriority w:val="19"/>
    <w:unhideWhenUsed/>
    <w:qFormat/>
    <w:rsid w:val="00D96C6C"/>
    <w:pPr>
      <w:spacing w:before="60" w:after="120" w:line="260" w:lineRule="atLeast"/>
    </w:pPr>
    <w:rPr>
      <w:sz w:val="22"/>
      <w:szCs w:val="22"/>
    </w:rPr>
  </w:style>
  <w:style w:type="paragraph" w:styleId="Heading1">
    <w:name w:val="heading 1"/>
    <w:next w:val="Heading2"/>
    <w:link w:val="Heading1Char"/>
    <w:uiPriority w:val="1"/>
    <w:qFormat/>
    <w:rsid w:val="00265D85"/>
    <w:pPr>
      <w:keepNext/>
      <w:keepLines/>
      <w:pageBreakBefore/>
      <w:tabs>
        <w:tab w:val="left" w:pos="794"/>
        <w:tab w:val="left" w:pos="1191"/>
        <w:tab w:val="left" w:pos="2778"/>
      </w:tabs>
      <w:spacing w:before="60" w:after="360" w:line="480" w:lineRule="atLeast"/>
      <w:outlineLvl w:val="0"/>
    </w:pPr>
    <w:rPr>
      <w:rFonts w:ascii="Arial" w:hAnsi="Arial"/>
      <w:b/>
      <w:color w:val="000000"/>
      <w:sz w:val="44"/>
      <w:szCs w:val="22"/>
      <w:lang w:eastAsia="en-US"/>
    </w:rPr>
  </w:style>
  <w:style w:type="paragraph" w:styleId="Heading2">
    <w:name w:val="heading 2"/>
    <w:basedOn w:val="Heading1"/>
    <w:next w:val="AIHWbodytext"/>
    <w:link w:val="Heading2Char"/>
    <w:uiPriority w:val="1"/>
    <w:qFormat/>
    <w:rsid w:val="00BE6005"/>
    <w:pPr>
      <w:pageBreakBefore w:val="0"/>
      <w:spacing w:before="300" w:after="120" w:line="440" w:lineRule="atLeast"/>
      <w:outlineLvl w:val="1"/>
    </w:pPr>
    <w:rPr>
      <w:sz w:val="36"/>
    </w:rPr>
  </w:style>
  <w:style w:type="paragraph" w:styleId="Heading3">
    <w:name w:val="heading 3"/>
    <w:basedOn w:val="Heading2"/>
    <w:next w:val="AIHWbodytext"/>
    <w:link w:val="Heading3Char"/>
    <w:uiPriority w:val="1"/>
    <w:qFormat/>
    <w:rsid w:val="00BE6005"/>
    <w:pPr>
      <w:spacing w:line="320" w:lineRule="atLeast"/>
      <w:outlineLvl w:val="2"/>
    </w:pPr>
    <w:rPr>
      <w:sz w:val="28"/>
    </w:rPr>
  </w:style>
  <w:style w:type="paragraph" w:styleId="Heading4">
    <w:name w:val="heading 4"/>
    <w:basedOn w:val="Heading3"/>
    <w:next w:val="AIHWbodytext"/>
    <w:link w:val="Heading4Char"/>
    <w:uiPriority w:val="1"/>
    <w:qFormat/>
    <w:rsid w:val="003621B4"/>
    <w:pPr>
      <w:spacing w:before="240" w:after="80" w:line="280" w:lineRule="atLeast"/>
      <w:outlineLvl w:val="3"/>
    </w:pPr>
    <w:rPr>
      <w:sz w:val="24"/>
    </w:rPr>
  </w:style>
  <w:style w:type="paragraph" w:styleId="Heading5">
    <w:name w:val="heading 5"/>
    <w:basedOn w:val="Heading4"/>
    <w:next w:val="AIHWbodytext"/>
    <w:link w:val="Heading5Char"/>
    <w:uiPriority w:val="1"/>
    <w:qFormat/>
    <w:rsid w:val="003621B4"/>
    <w:pPr>
      <w:spacing w:before="180" w:after="40" w:line="260" w:lineRule="atLeast"/>
      <w:outlineLvl w:val="4"/>
    </w:pPr>
    <w:rPr>
      <w:rFonts w:ascii="Book Antiqua" w:hAnsi="Book Antiqua"/>
      <w:sz w:val="22"/>
    </w:rPr>
  </w:style>
  <w:style w:type="paragraph" w:styleId="Heading6">
    <w:name w:val="heading 6"/>
    <w:basedOn w:val="Heading5"/>
    <w:next w:val="AIHWbodytext"/>
    <w:link w:val="Heading6Char"/>
    <w:uiPriority w:val="1"/>
    <w:qFormat/>
    <w:rsid w:val="003621B4"/>
    <w:pPr>
      <w:spacing w:before="120"/>
      <w:outlineLvl w:val="5"/>
    </w:pPr>
    <w:rPr>
      <w:b w:val="0"/>
      <w:i/>
    </w:rPr>
  </w:style>
  <w:style w:type="paragraph" w:styleId="Heading7">
    <w:name w:val="heading 7"/>
    <w:basedOn w:val="Normal"/>
    <w:next w:val="Normal"/>
    <w:semiHidden/>
    <w:locked/>
    <w:rsid w:val="003B637B"/>
    <w:pPr>
      <w:spacing w:before="240" w:after="60"/>
      <w:outlineLvl w:val="6"/>
    </w:pPr>
    <w:rPr>
      <w:rFonts w:ascii="Times New Roman" w:hAnsi="Times New Roman"/>
      <w:sz w:val="24"/>
    </w:rPr>
  </w:style>
  <w:style w:type="paragraph" w:styleId="Heading8">
    <w:name w:val="heading 8"/>
    <w:basedOn w:val="Normal"/>
    <w:next w:val="Normal"/>
    <w:semiHidden/>
    <w:qFormat/>
    <w:locked/>
    <w:rsid w:val="003B637B"/>
    <w:pPr>
      <w:spacing w:before="240" w:after="60"/>
      <w:outlineLvl w:val="7"/>
    </w:pPr>
    <w:rPr>
      <w:rFonts w:ascii="Times New Roman" w:hAnsi="Times New Roman"/>
      <w:i/>
      <w:iCs/>
      <w:sz w:val="24"/>
    </w:rPr>
  </w:style>
  <w:style w:type="paragraph" w:styleId="Heading9">
    <w:name w:val="heading 9"/>
    <w:basedOn w:val="Normal"/>
    <w:next w:val="Normal"/>
    <w:semiHidden/>
    <w:locked/>
    <w:rsid w:val="003B637B"/>
    <w:p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IHWbodytext">
    <w:name w:val="AIHW body text"/>
    <w:basedOn w:val="Normal"/>
    <w:link w:val="AIHWbodytextChar"/>
    <w:qFormat/>
    <w:rsid w:val="00FC5F5C"/>
    <w:rPr>
      <w:szCs w:val="20"/>
      <w:lang w:eastAsia="en-US"/>
    </w:rPr>
  </w:style>
  <w:style w:type="paragraph" w:customStyle="1" w:styleId="Bullet1">
    <w:name w:val="Bullet 1"/>
    <w:basedOn w:val="AIHWbodytext"/>
    <w:link w:val="Bullet1Char"/>
    <w:uiPriority w:val="2"/>
    <w:qFormat/>
    <w:rsid w:val="00D30F75"/>
    <w:pPr>
      <w:numPr>
        <w:numId w:val="15"/>
      </w:numPr>
      <w:spacing w:before="40" w:after="80"/>
    </w:pPr>
  </w:style>
  <w:style w:type="paragraph" w:customStyle="1" w:styleId="Bullet2">
    <w:name w:val="Bullet 2"/>
    <w:basedOn w:val="Bullet1"/>
    <w:uiPriority w:val="2"/>
    <w:qFormat/>
    <w:rsid w:val="0033783A"/>
    <w:pPr>
      <w:numPr>
        <w:numId w:val="1"/>
      </w:numPr>
    </w:pPr>
  </w:style>
  <w:style w:type="character" w:styleId="PageNumber">
    <w:name w:val="page number"/>
    <w:uiPriority w:val="14"/>
    <w:unhideWhenUsed/>
    <w:rsid w:val="00026EE7"/>
    <w:rPr>
      <w:rFonts w:ascii="Arial" w:hAnsi="Arial"/>
      <w:dstrike w:val="0"/>
      <w:color w:val="000000"/>
      <w:sz w:val="20"/>
      <w:u w:val="none"/>
      <w:vertAlign w:val="baseline"/>
    </w:rPr>
  </w:style>
  <w:style w:type="paragraph" w:customStyle="1" w:styleId="BoxHeading2">
    <w:name w:val="Box: Heading 2"/>
    <w:basedOn w:val="BoxText"/>
    <w:next w:val="BoxText"/>
    <w:uiPriority w:val="3"/>
    <w:qFormat/>
    <w:rsid w:val="00BE6005"/>
    <w:pPr>
      <w:spacing w:before="120" w:after="60"/>
    </w:pPr>
    <w:rPr>
      <w:b/>
    </w:rPr>
  </w:style>
  <w:style w:type="table" w:customStyle="1" w:styleId="AIHWTable">
    <w:name w:val="AIHW Table"/>
    <w:basedOn w:val="TableNormal"/>
    <w:rsid w:val="000F4B5D"/>
    <w:pPr>
      <w:tabs>
        <w:tab w:val="left" w:pos="198"/>
      </w:tabs>
      <w:spacing w:after="60" w:line="200" w:lineRule="atLeast"/>
      <w:jc w:val="right"/>
    </w:pPr>
    <w:rPr>
      <w:rFonts w:ascii="Arial" w:hAnsi="Arial"/>
      <w:color w:val="000000"/>
      <w:sz w:val="16"/>
    </w:rPr>
    <w:tblPr>
      <w:tblBorders>
        <w:top w:val="single" w:sz="4" w:space="0" w:color="000000"/>
        <w:bottom w:val="single" w:sz="4" w:space="0" w:color="000000"/>
      </w:tblBorders>
      <w:tblCellMar>
        <w:left w:w="85" w:type="dxa"/>
        <w:right w:w="85" w:type="dxa"/>
      </w:tblCellMar>
    </w:tblPr>
    <w:tcPr>
      <w:shd w:val="clear" w:color="auto" w:fill="auto"/>
      <w:vAlign w:val="bottom"/>
    </w:tcPr>
    <w:tblStylePr w:type="firstRow">
      <w:rPr>
        <w:rFonts w:ascii="Arial" w:hAnsi="Arial"/>
        <w:b/>
        <w:i w:val="0"/>
        <w:caps w:val="0"/>
        <w:smallCaps w:val="0"/>
        <w:strike w:val="0"/>
        <w:dstrike w:val="0"/>
        <w:vanish w:val="0"/>
        <w:color w:val="000000"/>
        <w:sz w:val="16"/>
        <w14:shadow w14:blurRad="0" w14:dist="0" w14:dir="0" w14:sx="0" w14:sy="0" w14:kx="0" w14:ky="0" w14:algn="none">
          <w14:srgbClr w14:val="000000"/>
        </w14:shadow>
        <w14:textOutline w14:w="0" w14:cap="rnd" w14:cmpd="sng" w14:algn="ctr">
          <w14:noFill/>
          <w14:prstDash w14:val="solid"/>
          <w14:bevel/>
        </w14:textOutline>
      </w:rPr>
      <w:tblPr/>
      <w:tcPr>
        <w:tcBorders>
          <w:top w:val="single" w:sz="4" w:space="0" w:color="000000"/>
          <w:left w:val="nil"/>
          <w:bottom w:val="single" w:sz="4" w:space="0" w:color="000000"/>
          <w:right w:val="nil"/>
          <w:insideH w:val="nil"/>
          <w:insideV w:val="nil"/>
          <w:tl2br w:val="nil"/>
          <w:tr2bl w:val="nil"/>
        </w:tcBorders>
      </w:tcPr>
    </w:tblStylePr>
    <w:tblStylePr w:type="firstCol">
      <w:pPr>
        <w:wordWrap/>
        <w:jc w:val="left"/>
      </w:pPr>
    </w:tblStylePr>
  </w:style>
  <w:style w:type="paragraph" w:customStyle="1" w:styleId="TableFigText">
    <w:name w:val="Table/Fig: Text"/>
    <w:basedOn w:val="AIHWbodytext"/>
    <w:link w:val="TableFigTextChar"/>
    <w:uiPriority w:val="6"/>
    <w:rsid w:val="0098660E"/>
    <w:pPr>
      <w:keepLines/>
      <w:tabs>
        <w:tab w:val="left" w:pos="198"/>
      </w:tabs>
      <w:spacing w:after="60" w:line="200" w:lineRule="atLeast"/>
    </w:pPr>
    <w:rPr>
      <w:rFonts w:ascii="Arial" w:hAnsi="Arial"/>
      <w:sz w:val="16"/>
    </w:rPr>
  </w:style>
  <w:style w:type="table" w:styleId="LightShading">
    <w:name w:val="Light Shading"/>
    <w:basedOn w:val="TableNormal"/>
    <w:uiPriority w:val="60"/>
    <w:locked/>
    <w:rsid w:val="00F5188A"/>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HeaderChar">
    <w:name w:val="Header Char"/>
    <w:link w:val="Header"/>
    <w:uiPriority w:val="15"/>
    <w:rsid w:val="00232418"/>
    <w:rPr>
      <w:sz w:val="22"/>
      <w:szCs w:val="22"/>
    </w:rPr>
  </w:style>
  <w:style w:type="paragraph" w:styleId="EndnoteText">
    <w:name w:val="endnote text"/>
    <w:basedOn w:val="Normal"/>
    <w:link w:val="EndnoteTextChar"/>
    <w:uiPriority w:val="12"/>
    <w:semiHidden/>
    <w:unhideWhenUsed/>
    <w:rsid w:val="00F5188A"/>
    <w:rPr>
      <w:sz w:val="20"/>
      <w:szCs w:val="20"/>
    </w:rPr>
  </w:style>
  <w:style w:type="character" w:customStyle="1" w:styleId="EndnoteTextChar">
    <w:name w:val="Endnote Text Char"/>
    <w:link w:val="EndnoteText"/>
    <w:uiPriority w:val="12"/>
    <w:semiHidden/>
    <w:rsid w:val="00CD1D61"/>
  </w:style>
  <w:style w:type="character" w:styleId="EndnoteReference">
    <w:name w:val="endnote reference"/>
    <w:uiPriority w:val="12"/>
    <w:semiHidden/>
    <w:unhideWhenUsed/>
    <w:rsid w:val="00F5188A"/>
    <w:rPr>
      <w:vertAlign w:val="superscript"/>
    </w:rPr>
  </w:style>
  <w:style w:type="paragraph" w:customStyle="1" w:styleId="BoxText">
    <w:name w:val="Box: Text"/>
    <w:basedOn w:val="AIHWbodytext"/>
    <w:next w:val="AIHWbodytext"/>
    <w:link w:val="BoxTextChar"/>
    <w:uiPriority w:val="3"/>
    <w:qFormat/>
    <w:rsid w:val="00E06D9C"/>
    <w:pPr>
      <w:pBdr>
        <w:top w:val="single" w:sz="4" w:space="10" w:color="000000"/>
        <w:left w:val="single" w:sz="4" w:space="10" w:color="000000"/>
        <w:bottom w:val="single" w:sz="4" w:space="10" w:color="000000"/>
        <w:right w:val="single" w:sz="4" w:space="10" w:color="000000"/>
      </w:pBdr>
      <w:tabs>
        <w:tab w:val="left" w:pos="397"/>
      </w:tabs>
      <w:spacing w:after="20" w:line="240" w:lineRule="atLeast"/>
      <w:ind w:left="255" w:right="255"/>
    </w:pPr>
    <w:rPr>
      <w:sz w:val="21"/>
    </w:rPr>
  </w:style>
  <w:style w:type="paragraph" w:customStyle="1" w:styleId="BoxBullet1">
    <w:name w:val="Box: Bullet 1"/>
    <w:basedOn w:val="BoxText"/>
    <w:uiPriority w:val="3"/>
    <w:qFormat/>
    <w:rsid w:val="00EA6343"/>
    <w:pPr>
      <w:numPr>
        <w:numId w:val="16"/>
      </w:numPr>
      <w:tabs>
        <w:tab w:val="clear" w:pos="397"/>
        <w:tab w:val="clear" w:pos="964"/>
        <w:tab w:val="num" w:pos="714"/>
      </w:tabs>
      <w:ind w:left="709" w:hanging="454"/>
    </w:pPr>
  </w:style>
  <w:style w:type="paragraph" w:customStyle="1" w:styleId="BoxHeading1">
    <w:name w:val="Box: Heading 1"/>
    <w:basedOn w:val="BoxText"/>
    <w:next w:val="BoxText"/>
    <w:uiPriority w:val="3"/>
    <w:qFormat/>
    <w:rsid w:val="008E579B"/>
    <w:pPr>
      <w:keepNext/>
      <w:keepLines/>
      <w:tabs>
        <w:tab w:val="clear" w:pos="397"/>
      </w:tabs>
      <w:spacing w:before="120" w:after="60"/>
    </w:pPr>
    <w:rPr>
      <w:rFonts w:ascii="Arial" w:hAnsi="Arial"/>
      <w:b/>
      <w:sz w:val="22"/>
    </w:rPr>
  </w:style>
  <w:style w:type="paragraph" w:customStyle="1" w:styleId="FigureCaption">
    <w:name w:val="Figure: Caption"/>
    <w:basedOn w:val="TableCaption"/>
    <w:next w:val="AIHWbodytext"/>
    <w:uiPriority w:val="5"/>
    <w:rsid w:val="00B2640B"/>
    <w:pPr>
      <w:spacing w:before="120"/>
    </w:pPr>
  </w:style>
  <w:style w:type="paragraph" w:customStyle="1" w:styleId="FigureSourcefootnotes">
    <w:name w:val="Figure: Source &amp; footnotes"/>
    <w:basedOn w:val="TableSourcefootnotes"/>
    <w:next w:val="FigureCaption"/>
    <w:uiPriority w:val="5"/>
    <w:rsid w:val="003164BF"/>
  </w:style>
  <w:style w:type="character" w:styleId="FootnoteReference">
    <w:name w:val="footnote reference"/>
    <w:uiPriority w:val="21"/>
    <w:unhideWhenUsed/>
    <w:rsid w:val="004734FE"/>
    <w:rPr>
      <w:dstrike w:val="0"/>
      <w:vertAlign w:val="superscript"/>
    </w:rPr>
  </w:style>
  <w:style w:type="paragraph" w:styleId="FootnoteText">
    <w:name w:val="footnote text"/>
    <w:basedOn w:val="AIHWbodytext"/>
    <w:uiPriority w:val="21"/>
    <w:unhideWhenUsed/>
    <w:rsid w:val="004734FE"/>
    <w:pPr>
      <w:spacing w:after="20" w:line="220" w:lineRule="atLeast"/>
      <w:ind w:left="397" w:hanging="397"/>
    </w:pPr>
    <w:rPr>
      <w:sz w:val="18"/>
    </w:rPr>
  </w:style>
  <w:style w:type="paragraph" w:customStyle="1" w:styleId="IndentedQuotes">
    <w:name w:val="Indented: Quotes"/>
    <w:aliases w:val="etc."/>
    <w:basedOn w:val="AIHWbodytext"/>
    <w:next w:val="AIHWbodytext"/>
    <w:uiPriority w:val="4"/>
    <w:qFormat/>
    <w:rsid w:val="004734FE"/>
    <w:pPr>
      <w:spacing w:before="40"/>
      <w:ind w:left="397"/>
    </w:pPr>
  </w:style>
  <w:style w:type="paragraph" w:customStyle="1" w:styleId="TableFigSubtotal">
    <w:name w:val="Table/Fig: Subtotal"/>
    <w:basedOn w:val="TableFigText"/>
    <w:next w:val="TableFigText"/>
    <w:uiPriority w:val="6"/>
    <w:rsid w:val="004734FE"/>
    <w:rPr>
      <w:i/>
    </w:rPr>
  </w:style>
  <w:style w:type="paragraph" w:customStyle="1" w:styleId="TableCaption">
    <w:name w:val="Table: Caption"/>
    <w:basedOn w:val="AIHWbodytext"/>
    <w:next w:val="TableFigHeadingtotal"/>
    <w:uiPriority w:val="5"/>
    <w:rsid w:val="00BE6005"/>
    <w:pPr>
      <w:keepNext/>
      <w:keepLines/>
      <w:spacing w:before="240" w:line="240" w:lineRule="atLeast"/>
    </w:pPr>
    <w:rPr>
      <w:b/>
      <w:sz w:val="20"/>
    </w:rPr>
  </w:style>
  <w:style w:type="paragraph" w:styleId="TOC1">
    <w:name w:val="toc 1"/>
    <w:basedOn w:val="AIHWbodytext"/>
    <w:next w:val="TOC2"/>
    <w:uiPriority w:val="9"/>
    <w:unhideWhenUsed/>
    <w:rsid w:val="004734FE"/>
    <w:pPr>
      <w:keepNext/>
      <w:keepLines/>
      <w:tabs>
        <w:tab w:val="left" w:pos="397"/>
        <w:tab w:val="right" w:leader="dot" w:pos="9072"/>
      </w:tabs>
      <w:spacing w:before="80"/>
      <w:ind w:left="397" w:hanging="397"/>
    </w:pPr>
    <w:rPr>
      <w:b/>
    </w:rPr>
  </w:style>
  <w:style w:type="paragraph" w:styleId="TOC2">
    <w:name w:val="toc 2"/>
    <w:basedOn w:val="TOC1"/>
    <w:uiPriority w:val="39"/>
    <w:unhideWhenUsed/>
    <w:rsid w:val="004734FE"/>
    <w:pPr>
      <w:tabs>
        <w:tab w:val="clear" w:pos="397"/>
        <w:tab w:val="left" w:pos="794"/>
      </w:tabs>
      <w:spacing w:before="40"/>
      <w:ind w:left="794"/>
    </w:pPr>
    <w:rPr>
      <w:b w:val="0"/>
    </w:rPr>
  </w:style>
  <w:style w:type="paragraph" w:styleId="TOC3">
    <w:name w:val="toc 3"/>
    <w:basedOn w:val="TOC2"/>
    <w:uiPriority w:val="39"/>
    <w:unhideWhenUsed/>
    <w:rsid w:val="004734FE"/>
    <w:pPr>
      <w:tabs>
        <w:tab w:val="clear" w:pos="794"/>
        <w:tab w:val="left" w:pos="1389"/>
      </w:tabs>
      <w:ind w:left="1389" w:hanging="595"/>
    </w:pPr>
  </w:style>
  <w:style w:type="paragraph" w:customStyle="1" w:styleId="TableSourcefootnotes">
    <w:name w:val="Table: Source &amp; footnotes"/>
    <w:basedOn w:val="AIHWbodytext"/>
    <w:next w:val="AIHWbodytext"/>
    <w:uiPriority w:val="5"/>
    <w:rsid w:val="003164BF"/>
    <w:pPr>
      <w:keepLines/>
      <w:tabs>
        <w:tab w:val="left" w:pos="397"/>
      </w:tabs>
      <w:spacing w:before="120" w:line="180" w:lineRule="atLeast"/>
    </w:pPr>
    <w:rPr>
      <w:rFonts w:ascii="Arial" w:hAnsi="Arial"/>
      <w:sz w:val="14"/>
    </w:rPr>
  </w:style>
  <w:style w:type="numbering" w:styleId="111111">
    <w:name w:val="Outline List 2"/>
    <w:basedOn w:val="NoList"/>
    <w:semiHidden/>
    <w:rsid w:val="003B637B"/>
    <w:pPr>
      <w:numPr>
        <w:numId w:val="2"/>
      </w:numPr>
    </w:pPr>
  </w:style>
  <w:style w:type="numbering" w:styleId="1ai">
    <w:name w:val="Outline List 1"/>
    <w:basedOn w:val="NoList"/>
    <w:semiHidden/>
    <w:rsid w:val="003B637B"/>
    <w:pPr>
      <w:numPr>
        <w:numId w:val="3"/>
      </w:numPr>
    </w:pPr>
  </w:style>
  <w:style w:type="numbering" w:styleId="ArticleSection">
    <w:name w:val="Outline List 3"/>
    <w:basedOn w:val="NoList"/>
    <w:semiHidden/>
    <w:rsid w:val="003B637B"/>
    <w:pPr>
      <w:numPr>
        <w:numId w:val="4"/>
      </w:numPr>
    </w:pPr>
  </w:style>
  <w:style w:type="paragraph" w:styleId="BlockText">
    <w:name w:val="Block Text"/>
    <w:basedOn w:val="Normal"/>
    <w:semiHidden/>
    <w:rsid w:val="003B637B"/>
    <w:pPr>
      <w:ind w:left="1440" w:right="1440"/>
    </w:pPr>
  </w:style>
  <w:style w:type="paragraph" w:styleId="BodyText">
    <w:name w:val="Body Text"/>
    <w:basedOn w:val="Normal"/>
    <w:semiHidden/>
    <w:rsid w:val="003B637B"/>
  </w:style>
  <w:style w:type="paragraph" w:styleId="BodyText2">
    <w:name w:val="Body Text 2"/>
    <w:basedOn w:val="Normal"/>
    <w:semiHidden/>
    <w:rsid w:val="003B637B"/>
    <w:pPr>
      <w:spacing w:line="480" w:lineRule="auto"/>
    </w:pPr>
  </w:style>
  <w:style w:type="paragraph" w:styleId="BodyText3">
    <w:name w:val="Body Text 3"/>
    <w:basedOn w:val="Normal"/>
    <w:semiHidden/>
    <w:rsid w:val="003B637B"/>
    <w:rPr>
      <w:sz w:val="16"/>
      <w:szCs w:val="16"/>
    </w:rPr>
  </w:style>
  <w:style w:type="paragraph" w:styleId="BodyTextFirstIndent">
    <w:name w:val="Body Text First Indent"/>
    <w:basedOn w:val="BodyText"/>
    <w:semiHidden/>
    <w:rsid w:val="003B637B"/>
    <w:pPr>
      <w:ind w:firstLine="210"/>
    </w:pPr>
  </w:style>
  <w:style w:type="paragraph" w:styleId="BodyTextIndent">
    <w:name w:val="Body Text Indent"/>
    <w:basedOn w:val="Normal"/>
    <w:semiHidden/>
    <w:rsid w:val="003B637B"/>
    <w:pPr>
      <w:ind w:left="283"/>
    </w:pPr>
  </w:style>
  <w:style w:type="paragraph" w:styleId="BodyTextFirstIndent2">
    <w:name w:val="Body Text First Indent 2"/>
    <w:basedOn w:val="BodyTextIndent"/>
    <w:semiHidden/>
    <w:rsid w:val="003B637B"/>
    <w:pPr>
      <w:ind w:firstLine="210"/>
    </w:pPr>
  </w:style>
  <w:style w:type="paragraph" w:styleId="BodyTextIndent2">
    <w:name w:val="Body Text Indent 2"/>
    <w:basedOn w:val="Normal"/>
    <w:semiHidden/>
    <w:rsid w:val="003B637B"/>
    <w:pPr>
      <w:spacing w:line="480" w:lineRule="auto"/>
      <w:ind w:left="283"/>
    </w:pPr>
  </w:style>
  <w:style w:type="paragraph" w:styleId="BodyTextIndent3">
    <w:name w:val="Body Text Indent 3"/>
    <w:basedOn w:val="Normal"/>
    <w:semiHidden/>
    <w:rsid w:val="003B637B"/>
    <w:pPr>
      <w:ind w:left="283"/>
    </w:pPr>
    <w:rPr>
      <w:sz w:val="16"/>
      <w:szCs w:val="16"/>
    </w:rPr>
  </w:style>
  <w:style w:type="paragraph" w:styleId="Closing">
    <w:name w:val="Closing"/>
    <w:basedOn w:val="Normal"/>
    <w:semiHidden/>
    <w:rsid w:val="003B637B"/>
    <w:pPr>
      <w:ind w:left="4252"/>
    </w:pPr>
  </w:style>
  <w:style w:type="paragraph" w:styleId="Date">
    <w:name w:val="Date"/>
    <w:basedOn w:val="Normal"/>
    <w:next w:val="Normal"/>
    <w:semiHidden/>
    <w:rsid w:val="003B637B"/>
  </w:style>
  <w:style w:type="paragraph" w:styleId="E-mailSignature">
    <w:name w:val="E-mail Signature"/>
    <w:basedOn w:val="Normal"/>
    <w:semiHidden/>
    <w:rsid w:val="003B637B"/>
  </w:style>
  <w:style w:type="paragraph" w:customStyle="1" w:styleId="Bullet3">
    <w:name w:val="Bullet 3"/>
    <w:basedOn w:val="Bullet2"/>
    <w:uiPriority w:val="2"/>
    <w:qFormat/>
    <w:rsid w:val="0033783A"/>
    <w:pPr>
      <w:numPr>
        <w:ilvl w:val="1"/>
        <w:numId w:val="17"/>
      </w:numPr>
      <w:tabs>
        <w:tab w:val="clear" w:pos="1440"/>
      </w:tabs>
      <w:ind w:left="1276" w:hanging="425"/>
    </w:pPr>
  </w:style>
  <w:style w:type="paragraph" w:styleId="EnvelopeAddress">
    <w:name w:val="envelope address"/>
    <w:basedOn w:val="Normal"/>
    <w:semiHidden/>
    <w:rsid w:val="003B637B"/>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semiHidden/>
    <w:rsid w:val="003B637B"/>
    <w:rPr>
      <w:rFonts w:ascii="Arial" w:hAnsi="Arial" w:cs="Arial"/>
      <w:sz w:val="20"/>
      <w:szCs w:val="20"/>
    </w:rPr>
  </w:style>
  <w:style w:type="character" w:styleId="FollowedHyperlink">
    <w:name w:val="FollowedHyperlink"/>
    <w:uiPriority w:val="16"/>
    <w:unhideWhenUsed/>
    <w:rsid w:val="00232418"/>
    <w:rPr>
      <w:color w:val="5F497A" w:themeColor="accent4" w:themeShade="BF"/>
      <w:u w:val="single"/>
    </w:rPr>
  </w:style>
  <w:style w:type="paragraph" w:styleId="Footer">
    <w:name w:val="footer"/>
    <w:basedOn w:val="Normal"/>
    <w:link w:val="FooterChar"/>
    <w:uiPriority w:val="99"/>
    <w:rsid w:val="00D96C6C"/>
    <w:pPr>
      <w:tabs>
        <w:tab w:val="center" w:pos="4153"/>
        <w:tab w:val="right" w:pos="8306"/>
      </w:tabs>
      <w:jc w:val="center"/>
    </w:pPr>
    <w:rPr>
      <w:rFonts w:ascii="Calibri" w:hAnsi="Calibri"/>
      <w:color w:val="484848"/>
      <w:sz w:val="18"/>
      <w:szCs w:val="20"/>
      <w:lang w:eastAsia="en-US"/>
    </w:rPr>
  </w:style>
  <w:style w:type="paragraph" w:styleId="Header">
    <w:name w:val="header"/>
    <w:basedOn w:val="Normal"/>
    <w:link w:val="HeaderChar"/>
    <w:uiPriority w:val="15"/>
    <w:rsid w:val="00CD1D61"/>
    <w:pPr>
      <w:tabs>
        <w:tab w:val="center" w:pos="4153"/>
        <w:tab w:val="right" w:pos="8306"/>
      </w:tabs>
    </w:pPr>
  </w:style>
  <w:style w:type="character" w:styleId="HTMLAcronym">
    <w:name w:val="HTML Acronym"/>
    <w:basedOn w:val="DefaultParagraphFont"/>
    <w:semiHidden/>
    <w:rsid w:val="003B637B"/>
  </w:style>
  <w:style w:type="paragraph" w:styleId="HTMLAddress">
    <w:name w:val="HTML Address"/>
    <w:basedOn w:val="Normal"/>
    <w:semiHidden/>
    <w:rsid w:val="003B637B"/>
    <w:rPr>
      <w:i/>
      <w:iCs/>
    </w:rPr>
  </w:style>
  <w:style w:type="character" w:styleId="HTMLCite">
    <w:name w:val="HTML Cite"/>
    <w:semiHidden/>
    <w:rsid w:val="003B637B"/>
    <w:rPr>
      <w:i/>
      <w:iCs/>
    </w:rPr>
  </w:style>
  <w:style w:type="character" w:styleId="HTMLCode">
    <w:name w:val="HTML Code"/>
    <w:semiHidden/>
    <w:rsid w:val="003B637B"/>
    <w:rPr>
      <w:rFonts w:ascii="Courier New" w:hAnsi="Courier New" w:cs="Courier New"/>
      <w:sz w:val="20"/>
      <w:szCs w:val="20"/>
    </w:rPr>
  </w:style>
  <w:style w:type="character" w:styleId="HTMLDefinition">
    <w:name w:val="HTML Definition"/>
    <w:semiHidden/>
    <w:rsid w:val="003B637B"/>
    <w:rPr>
      <w:i/>
      <w:iCs/>
    </w:rPr>
  </w:style>
  <w:style w:type="character" w:styleId="HTMLKeyboard">
    <w:name w:val="HTML Keyboard"/>
    <w:semiHidden/>
    <w:rsid w:val="003B637B"/>
    <w:rPr>
      <w:rFonts w:ascii="Courier New" w:hAnsi="Courier New" w:cs="Courier New"/>
      <w:sz w:val="20"/>
      <w:szCs w:val="20"/>
    </w:rPr>
  </w:style>
  <w:style w:type="paragraph" w:styleId="HTMLPreformatted">
    <w:name w:val="HTML Preformatted"/>
    <w:basedOn w:val="Normal"/>
    <w:semiHidden/>
    <w:rsid w:val="003B637B"/>
    <w:rPr>
      <w:rFonts w:ascii="Courier New" w:hAnsi="Courier New" w:cs="Courier New"/>
      <w:sz w:val="20"/>
      <w:szCs w:val="20"/>
    </w:rPr>
  </w:style>
  <w:style w:type="character" w:styleId="HTMLSample">
    <w:name w:val="HTML Sample"/>
    <w:semiHidden/>
    <w:rsid w:val="003B637B"/>
    <w:rPr>
      <w:rFonts w:ascii="Courier New" w:hAnsi="Courier New" w:cs="Courier New"/>
    </w:rPr>
  </w:style>
  <w:style w:type="character" w:styleId="HTMLTypewriter">
    <w:name w:val="HTML Typewriter"/>
    <w:semiHidden/>
    <w:rsid w:val="003B637B"/>
    <w:rPr>
      <w:rFonts w:ascii="Courier New" w:hAnsi="Courier New" w:cs="Courier New"/>
      <w:sz w:val="20"/>
      <w:szCs w:val="20"/>
    </w:rPr>
  </w:style>
  <w:style w:type="character" w:styleId="HTMLVariable">
    <w:name w:val="HTML Variable"/>
    <w:semiHidden/>
    <w:rsid w:val="003B637B"/>
    <w:rPr>
      <w:i/>
      <w:iCs/>
    </w:rPr>
  </w:style>
  <w:style w:type="character" w:styleId="Hyperlink">
    <w:name w:val="Hyperlink"/>
    <w:uiPriority w:val="99"/>
    <w:unhideWhenUsed/>
    <w:rsid w:val="00466888"/>
    <w:rPr>
      <w:color w:val="1F497D"/>
      <w:u w:val="single"/>
    </w:rPr>
  </w:style>
  <w:style w:type="character" w:styleId="LineNumber">
    <w:name w:val="line number"/>
    <w:basedOn w:val="DefaultParagraphFont"/>
    <w:semiHidden/>
    <w:rsid w:val="003B637B"/>
  </w:style>
  <w:style w:type="paragraph" w:styleId="List">
    <w:name w:val="List"/>
    <w:basedOn w:val="Normal"/>
    <w:semiHidden/>
    <w:rsid w:val="003B637B"/>
    <w:pPr>
      <w:ind w:left="283" w:hanging="283"/>
    </w:pPr>
  </w:style>
  <w:style w:type="paragraph" w:styleId="List2">
    <w:name w:val="List 2"/>
    <w:basedOn w:val="Normal"/>
    <w:semiHidden/>
    <w:rsid w:val="003B637B"/>
    <w:pPr>
      <w:ind w:left="566" w:hanging="283"/>
    </w:pPr>
  </w:style>
  <w:style w:type="paragraph" w:styleId="List3">
    <w:name w:val="List 3"/>
    <w:basedOn w:val="Normal"/>
    <w:semiHidden/>
    <w:rsid w:val="003B637B"/>
    <w:pPr>
      <w:ind w:left="849" w:hanging="283"/>
    </w:pPr>
  </w:style>
  <w:style w:type="paragraph" w:styleId="List4">
    <w:name w:val="List 4"/>
    <w:basedOn w:val="Normal"/>
    <w:semiHidden/>
    <w:rsid w:val="003B637B"/>
    <w:pPr>
      <w:ind w:left="1132" w:hanging="283"/>
    </w:pPr>
  </w:style>
  <w:style w:type="paragraph" w:styleId="List5">
    <w:name w:val="List 5"/>
    <w:basedOn w:val="Normal"/>
    <w:semiHidden/>
    <w:rsid w:val="003B637B"/>
    <w:pPr>
      <w:ind w:left="1415" w:hanging="283"/>
    </w:pPr>
  </w:style>
  <w:style w:type="paragraph" w:styleId="ListBullet">
    <w:name w:val="List Bullet"/>
    <w:basedOn w:val="Normal"/>
    <w:semiHidden/>
    <w:rsid w:val="003B637B"/>
    <w:pPr>
      <w:numPr>
        <w:numId w:val="5"/>
      </w:numPr>
    </w:pPr>
  </w:style>
  <w:style w:type="paragraph" w:styleId="ListBullet2">
    <w:name w:val="List Bullet 2"/>
    <w:basedOn w:val="Normal"/>
    <w:semiHidden/>
    <w:rsid w:val="003B637B"/>
    <w:pPr>
      <w:numPr>
        <w:numId w:val="6"/>
      </w:numPr>
    </w:pPr>
  </w:style>
  <w:style w:type="paragraph" w:styleId="ListBullet3">
    <w:name w:val="List Bullet 3"/>
    <w:basedOn w:val="Normal"/>
    <w:semiHidden/>
    <w:rsid w:val="003B637B"/>
    <w:pPr>
      <w:numPr>
        <w:numId w:val="7"/>
      </w:numPr>
    </w:pPr>
  </w:style>
  <w:style w:type="paragraph" w:styleId="ListBullet4">
    <w:name w:val="List Bullet 4"/>
    <w:basedOn w:val="Normal"/>
    <w:semiHidden/>
    <w:rsid w:val="003B637B"/>
    <w:pPr>
      <w:numPr>
        <w:numId w:val="8"/>
      </w:numPr>
    </w:pPr>
  </w:style>
  <w:style w:type="paragraph" w:styleId="ListBullet5">
    <w:name w:val="List Bullet 5"/>
    <w:basedOn w:val="Normal"/>
    <w:semiHidden/>
    <w:rsid w:val="003B637B"/>
    <w:pPr>
      <w:numPr>
        <w:numId w:val="9"/>
      </w:numPr>
    </w:pPr>
  </w:style>
  <w:style w:type="paragraph" w:styleId="ListContinue">
    <w:name w:val="List Continue"/>
    <w:basedOn w:val="Normal"/>
    <w:semiHidden/>
    <w:rsid w:val="003B637B"/>
    <w:pPr>
      <w:ind w:left="283"/>
    </w:pPr>
  </w:style>
  <w:style w:type="paragraph" w:styleId="ListContinue2">
    <w:name w:val="List Continue 2"/>
    <w:basedOn w:val="Normal"/>
    <w:semiHidden/>
    <w:rsid w:val="003B637B"/>
    <w:pPr>
      <w:ind w:left="566"/>
    </w:pPr>
  </w:style>
  <w:style w:type="paragraph" w:styleId="ListContinue3">
    <w:name w:val="List Continue 3"/>
    <w:basedOn w:val="Normal"/>
    <w:semiHidden/>
    <w:rsid w:val="003B637B"/>
    <w:pPr>
      <w:ind w:left="849"/>
    </w:pPr>
  </w:style>
  <w:style w:type="paragraph" w:styleId="ListContinue4">
    <w:name w:val="List Continue 4"/>
    <w:basedOn w:val="Normal"/>
    <w:semiHidden/>
    <w:rsid w:val="003B637B"/>
    <w:pPr>
      <w:ind w:left="1132"/>
    </w:pPr>
  </w:style>
  <w:style w:type="paragraph" w:styleId="ListContinue5">
    <w:name w:val="List Continue 5"/>
    <w:basedOn w:val="Normal"/>
    <w:semiHidden/>
    <w:rsid w:val="003B637B"/>
    <w:pPr>
      <w:ind w:left="1415"/>
    </w:pPr>
  </w:style>
  <w:style w:type="paragraph" w:styleId="ListNumber">
    <w:name w:val="List Number"/>
    <w:basedOn w:val="Normal"/>
    <w:semiHidden/>
    <w:rsid w:val="003B637B"/>
    <w:pPr>
      <w:numPr>
        <w:numId w:val="10"/>
      </w:numPr>
    </w:pPr>
  </w:style>
  <w:style w:type="paragraph" w:styleId="ListNumber2">
    <w:name w:val="List Number 2"/>
    <w:basedOn w:val="Normal"/>
    <w:semiHidden/>
    <w:rsid w:val="003B637B"/>
    <w:pPr>
      <w:numPr>
        <w:numId w:val="11"/>
      </w:numPr>
    </w:pPr>
  </w:style>
  <w:style w:type="paragraph" w:styleId="ListNumber3">
    <w:name w:val="List Number 3"/>
    <w:basedOn w:val="Normal"/>
    <w:semiHidden/>
    <w:rsid w:val="003B637B"/>
    <w:pPr>
      <w:numPr>
        <w:numId w:val="12"/>
      </w:numPr>
    </w:pPr>
  </w:style>
  <w:style w:type="paragraph" w:styleId="ListNumber4">
    <w:name w:val="List Number 4"/>
    <w:basedOn w:val="Normal"/>
    <w:semiHidden/>
    <w:rsid w:val="003B637B"/>
    <w:pPr>
      <w:numPr>
        <w:numId w:val="13"/>
      </w:numPr>
    </w:pPr>
  </w:style>
  <w:style w:type="paragraph" w:styleId="ListNumber5">
    <w:name w:val="List Number 5"/>
    <w:basedOn w:val="Normal"/>
    <w:semiHidden/>
    <w:rsid w:val="003B637B"/>
    <w:pPr>
      <w:numPr>
        <w:numId w:val="14"/>
      </w:numPr>
    </w:pPr>
  </w:style>
  <w:style w:type="paragraph" w:styleId="MessageHeader">
    <w:name w:val="Message Header"/>
    <w:basedOn w:val="Normal"/>
    <w:semiHidden/>
    <w:rsid w:val="003B637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ormalWeb">
    <w:name w:val="Normal (Web)"/>
    <w:basedOn w:val="Normal"/>
    <w:uiPriority w:val="99"/>
    <w:rsid w:val="003B637B"/>
    <w:rPr>
      <w:rFonts w:ascii="Times New Roman" w:hAnsi="Times New Roman"/>
      <w:sz w:val="24"/>
    </w:rPr>
  </w:style>
  <w:style w:type="paragraph" w:styleId="NormalIndent">
    <w:name w:val="Normal Indent"/>
    <w:basedOn w:val="Normal"/>
    <w:semiHidden/>
    <w:rsid w:val="003B637B"/>
    <w:pPr>
      <w:ind w:left="720"/>
    </w:pPr>
  </w:style>
  <w:style w:type="paragraph" w:styleId="NoteHeading">
    <w:name w:val="Note Heading"/>
    <w:basedOn w:val="Normal"/>
    <w:next w:val="Normal"/>
    <w:semiHidden/>
    <w:rsid w:val="003B637B"/>
  </w:style>
  <w:style w:type="paragraph" w:styleId="PlainText">
    <w:name w:val="Plain Text"/>
    <w:basedOn w:val="Normal"/>
    <w:semiHidden/>
    <w:rsid w:val="003B637B"/>
    <w:rPr>
      <w:rFonts w:ascii="Courier New" w:hAnsi="Courier New" w:cs="Courier New"/>
      <w:sz w:val="20"/>
      <w:szCs w:val="20"/>
    </w:rPr>
  </w:style>
  <w:style w:type="paragraph" w:styleId="Salutation">
    <w:name w:val="Salutation"/>
    <w:basedOn w:val="Normal"/>
    <w:next w:val="Normal"/>
    <w:semiHidden/>
    <w:rsid w:val="003B637B"/>
  </w:style>
  <w:style w:type="paragraph" w:styleId="Signature">
    <w:name w:val="Signature"/>
    <w:basedOn w:val="Normal"/>
    <w:semiHidden/>
    <w:rsid w:val="003B637B"/>
    <w:pPr>
      <w:ind w:left="4252"/>
    </w:pPr>
  </w:style>
  <w:style w:type="table" w:styleId="Table3Deffects1">
    <w:name w:val="Table 3D effects 1"/>
    <w:basedOn w:val="TableNormal"/>
    <w:semiHidden/>
    <w:rsid w:val="003B637B"/>
    <w:pPr>
      <w:spacing w:after="4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3B637B"/>
    <w:pPr>
      <w:spacing w:after="4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3B637B"/>
    <w:pPr>
      <w:spacing w:after="4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3B637B"/>
    <w:pPr>
      <w:spacing w:after="4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3B637B"/>
    <w:pPr>
      <w:spacing w:after="40"/>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3B637B"/>
    <w:pPr>
      <w:spacing w:after="4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3B637B"/>
    <w:pPr>
      <w:spacing w:after="4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3B637B"/>
    <w:pPr>
      <w:spacing w:after="4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3B637B"/>
    <w:pPr>
      <w:spacing w:after="4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3B637B"/>
    <w:pPr>
      <w:spacing w:after="4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3B637B"/>
    <w:pPr>
      <w:spacing w:after="4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3B637B"/>
    <w:pPr>
      <w:spacing w:after="40"/>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3B637B"/>
    <w:pPr>
      <w:spacing w:after="4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3B637B"/>
    <w:pPr>
      <w:spacing w:after="4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3B637B"/>
    <w:pPr>
      <w:spacing w:after="4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3B637B"/>
    <w:pPr>
      <w:spacing w:after="4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3B637B"/>
    <w:pPr>
      <w:spacing w:after="4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F4B5D"/>
    <w:pPr>
      <w:spacing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3B637B"/>
    <w:pPr>
      <w:spacing w:after="4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3B637B"/>
    <w:pPr>
      <w:spacing w:after="40"/>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3B637B"/>
    <w:pPr>
      <w:spacing w:after="4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3B637B"/>
    <w:pPr>
      <w:spacing w:after="4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3B637B"/>
    <w:pPr>
      <w:spacing w:after="4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3B637B"/>
    <w:pPr>
      <w:spacing w:after="4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3B637B"/>
    <w:pPr>
      <w:spacing w:after="4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3B637B"/>
    <w:pPr>
      <w:spacing w:after="4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3B637B"/>
    <w:pPr>
      <w:spacing w:after="40"/>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3B637B"/>
    <w:pPr>
      <w:spacing w:after="40"/>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3B637B"/>
    <w:pPr>
      <w:spacing w:after="4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3B637B"/>
    <w:pPr>
      <w:spacing w:after="4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3B637B"/>
    <w:pPr>
      <w:spacing w:after="4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3B637B"/>
    <w:pPr>
      <w:spacing w:after="4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3B637B"/>
    <w:pPr>
      <w:spacing w:after="4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3B637B"/>
    <w:pPr>
      <w:spacing w:after="4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Figures">
    <w:name w:val="table of figures"/>
    <w:basedOn w:val="TOC1"/>
    <w:next w:val="AIHWbodytext"/>
    <w:uiPriority w:val="21"/>
    <w:unhideWhenUsed/>
    <w:rsid w:val="009B2765"/>
    <w:pPr>
      <w:tabs>
        <w:tab w:val="clear" w:pos="397"/>
      </w:tabs>
      <w:spacing w:before="60" w:line="240" w:lineRule="atLeast"/>
      <w:ind w:left="992" w:hanging="992"/>
    </w:pPr>
    <w:rPr>
      <w:b w:val="0"/>
      <w:sz w:val="20"/>
    </w:rPr>
  </w:style>
  <w:style w:type="table" w:styleId="TableProfessional">
    <w:name w:val="Table Professional"/>
    <w:basedOn w:val="TableNormal"/>
    <w:semiHidden/>
    <w:rsid w:val="003B637B"/>
    <w:pPr>
      <w:spacing w:after="4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3B637B"/>
    <w:pPr>
      <w:spacing w:after="40"/>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3B637B"/>
    <w:pPr>
      <w:spacing w:after="4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3B637B"/>
    <w:pPr>
      <w:spacing w:after="40"/>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3B637B"/>
    <w:pPr>
      <w:spacing w:after="40"/>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3B637B"/>
    <w:pPr>
      <w:spacing w:after="40"/>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3B637B"/>
    <w:pPr>
      <w:spacing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3B637B"/>
    <w:pPr>
      <w:spacing w:after="4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3B637B"/>
    <w:pPr>
      <w:spacing w:after="40"/>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3B637B"/>
    <w:pPr>
      <w:spacing w:after="4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ableFigHeadingtotal">
    <w:name w:val="Table/Fig: Heading &amp; total"/>
    <w:basedOn w:val="TableFigText"/>
    <w:next w:val="TableFigText"/>
    <w:uiPriority w:val="6"/>
    <w:rsid w:val="009B2765"/>
    <w:rPr>
      <w:b/>
    </w:rPr>
  </w:style>
  <w:style w:type="character" w:customStyle="1" w:styleId="Heading1Char">
    <w:name w:val="Heading 1 Char"/>
    <w:link w:val="Heading1"/>
    <w:uiPriority w:val="1"/>
    <w:rsid w:val="00EA5C10"/>
    <w:rPr>
      <w:rFonts w:ascii="Arial" w:hAnsi="Arial"/>
      <w:b/>
      <w:color w:val="000000"/>
      <w:sz w:val="44"/>
      <w:lang w:eastAsia="en-US"/>
    </w:rPr>
  </w:style>
  <w:style w:type="character" w:customStyle="1" w:styleId="TableFigTextChar">
    <w:name w:val="Table/Fig: Text Char"/>
    <w:link w:val="TableFigText"/>
    <w:uiPriority w:val="6"/>
    <w:rsid w:val="000E3F97"/>
    <w:rPr>
      <w:rFonts w:ascii="Arial" w:hAnsi="Arial"/>
      <w:sz w:val="16"/>
      <w:szCs w:val="20"/>
      <w:lang w:eastAsia="en-US"/>
    </w:rPr>
  </w:style>
  <w:style w:type="paragraph" w:styleId="BalloonText">
    <w:name w:val="Balloon Text"/>
    <w:basedOn w:val="Normal"/>
    <w:semiHidden/>
    <w:rsid w:val="005E5A15"/>
    <w:rPr>
      <w:rFonts w:ascii="Tahoma" w:hAnsi="Tahoma" w:cs="Tahoma"/>
      <w:sz w:val="16"/>
      <w:szCs w:val="16"/>
    </w:rPr>
  </w:style>
  <w:style w:type="paragraph" w:styleId="DocumentMap">
    <w:name w:val="Document Map"/>
    <w:basedOn w:val="Normal"/>
    <w:semiHidden/>
    <w:rsid w:val="004E250D"/>
    <w:pPr>
      <w:shd w:val="clear" w:color="auto" w:fill="000080"/>
    </w:pPr>
    <w:rPr>
      <w:rFonts w:ascii="Tahoma" w:hAnsi="Tahoma" w:cs="Tahoma"/>
      <w:sz w:val="20"/>
      <w:szCs w:val="20"/>
    </w:rPr>
  </w:style>
  <w:style w:type="character" w:customStyle="1" w:styleId="AIHWbodytextChar">
    <w:name w:val="AIHW body text Char"/>
    <w:link w:val="AIHWbodytext"/>
    <w:locked/>
    <w:rsid w:val="00FC5F5C"/>
    <w:rPr>
      <w:color w:val="000000"/>
      <w:sz w:val="22"/>
      <w:lang w:eastAsia="en-US"/>
    </w:rPr>
  </w:style>
  <w:style w:type="character" w:customStyle="1" w:styleId="Heading2Char">
    <w:name w:val="Heading 2 Char"/>
    <w:link w:val="Heading2"/>
    <w:uiPriority w:val="1"/>
    <w:rsid w:val="00BE6005"/>
    <w:rPr>
      <w:rFonts w:ascii="Arial" w:hAnsi="Arial"/>
      <w:b/>
      <w:color w:val="000000"/>
      <w:sz w:val="36"/>
      <w:lang w:eastAsia="en-US"/>
    </w:rPr>
  </w:style>
  <w:style w:type="character" w:customStyle="1" w:styleId="Heading3Char">
    <w:name w:val="Heading 3 Char"/>
    <w:link w:val="Heading3"/>
    <w:uiPriority w:val="1"/>
    <w:rsid w:val="00BE6005"/>
    <w:rPr>
      <w:rFonts w:ascii="Arial" w:hAnsi="Arial"/>
      <w:b/>
      <w:color w:val="000000"/>
      <w:sz w:val="28"/>
      <w:lang w:eastAsia="en-US"/>
    </w:rPr>
  </w:style>
  <w:style w:type="character" w:customStyle="1" w:styleId="Heading4Char">
    <w:name w:val="Heading 4 Char"/>
    <w:link w:val="Heading4"/>
    <w:uiPriority w:val="1"/>
    <w:rsid w:val="00EA5C10"/>
    <w:rPr>
      <w:rFonts w:ascii="Arial" w:hAnsi="Arial"/>
      <w:b/>
      <w:color w:val="000000"/>
      <w:sz w:val="24"/>
      <w:lang w:eastAsia="en-US"/>
    </w:rPr>
  </w:style>
  <w:style w:type="character" w:customStyle="1" w:styleId="Heading5Char">
    <w:name w:val="Heading 5 Char"/>
    <w:link w:val="Heading5"/>
    <w:uiPriority w:val="1"/>
    <w:rsid w:val="000E3F97"/>
    <w:rPr>
      <w:b/>
      <w:color w:val="000000"/>
      <w:lang w:eastAsia="en-US"/>
    </w:rPr>
  </w:style>
  <w:style w:type="character" w:customStyle="1" w:styleId="Heading6Char">
    <w:name w:val="Heading 6 Char"/>
    <w:link w:val="Heading6"/>
    <w:uiPriority w:val="1"/>
    <w:rsid w:val="000E3F97"/>
    <w:rPr>
      <w:i/>
      <w:color w:val="000000"/>
      <w:lang w:eastAsia="en-US"/>
    </w:rPr>
  </w:style>
  <w:style w:type="character" w:styleId="CommentReference">
    <w:name w:val="annotation reference"/>
    <w:unhideWhenUsed/>
    <w:rsid w:val="00BC3DD5"/>
    <w:rPr>
      <w:sz w:val="16"/>
      <w:szCs w:val="16"/>
    </w:rPr>
  </w:style>
  <w:style w:type="paragraph" w:styleId="CommentText">
    <w:name w:val="annotation text"/>
    <w:basedOn w:val="Normal"/>
    <w:link w:val="CommentTextChar"/>
    <w:uiPriority w:val="21"/>
    <w:unhideWhenUsed/>
    <w:rsid w:val="00BC3DD5"/>
    <w:rPr>
      <w:sz w:val="20"/>
      <w:szCs w:val="20"/>
    </w:rPr>
  </w:style>
  <w:style w:type="character" w:customStyle="1" w:styleId="CommentTextChar">
    <w:name w:val="Comment Text Char"/>
    <w:link w:val="CommentText"/>
    <w:uiPriority w:val="21"/>
    <w:rsid w:val="00232418"/>
  </w:style>
  <w:style w:type="paragraph" w:styleId="CommentSubject">
    <w:name w:val="annotation subject"/>
    <w:basedOn w:val="CommentText"/>
    <w:next w:val="CommentText"/>
    <w:link w:val="CommentSubjectChar"/>
    <w:uiPriority w:val="21"/>
    <w:unhideWhenUsed/>
    <w:rsid w:val="00BC3DD5"/>
    <w:rPr>
      <w:b/>
      <w:bCs/>
    </w:rPr>
  </w:style>
  <w:style w:type="character" w:customStyle="1" w:styleId="CommentSubjectChar">
    <w:name w:val="Comment Subject Char"/>
    <w:link w:val="CommentSubject"/>
    <w:uiPriority w:val="21"/>
    <w:rsid w:val="00232418"/>
    <w:rPr>
      <w:b/>
      <w:bCs/>
    </w:rPr>
  </w:style>
  <w:style w:type="paragraph" w:customStyle="1" w:styleId="BoxItalics">
    <w:name w:val="Box: Italics"/>
    <w:basedOn w:val="BoxText"/>
    <w:next w:val="BoxText"/>
    <w:link w:val="BoxItalicsChar"/>
    <w:uiPriority w:val="3"/>
    <w:qFormat/>
    <w:rsid w:val="00C42A4F"/>
    <w:rPr>
      <w:i/>
    </w:rPr>
  </w:style>
  <w:style w:type="character" w:customStyle="1" w:styleId="BoxTextChar">
    <w:name w:val="Box: Text Char"/>
    <w:link w:val="BoxText"/>
    <w:uiPriority w:val="3"/>
    <w:rsid w:val="000E3F97"/>
    <w:rPr>
      <w:sz w:val="21"/>
      <w:szCs w:val="20"/>
      <w:lang w:eastAsia="en-US"/>
    </w:rPr>
  </w:style>
  <w:style w:type="character" w:customStyle="1" w:styleId="BoxItalicsChar">
    <w:name w:val="Box: Italics Char"/>
    <w:link w:val="BoxItalics"/>
    <w:uiPriority w:val="3"/>
    <w:rsid w:val="000E3F97"/>
    <w:rPr>
      <w:i/>
      <w:sz w:val="21"/>
      <w:szCs w:val="20"/>
      <w:lang w:eastAsia="en-US"/>
    </w:rPr>
  </w:style>
  <w:style w:type="character" w:customStyle="1" w:styleId="FooterChar">
    <w:name w:val="Footer Char"/>
    <w:link w:val="Footer"/>
    <w:uiPriority w:val="99"/>
    <w:rsid w:val="00D96C6C"/>
    <w:rPr>
      <w:rFonts w:ascii="Calibri" w:hAnsi="Calibri"/>
      <w:color w:val="484848"/>
      <w:sz w:val="18"/>
      <w:lang w:eastAsia="en-US"/>
    </w:rPr>
  </w:style>
  <w:style w:type="paragraph" w:customStyle="1" w:styleId="AIHWbodytextintable">
    <w:name w:val="AIHW body text in table"/>
    <w:basedOn w:val="AIHWbodytext"/>
    <w:next w:val="AIHWbodytext"/>
    <w:rsid w:val="00CD777B"/>
    <w:pPr>
      <w:spacing w:before="80" w:after="80"/>
    </w:pPr>
  </w:style>
  <w:style w:type="paragraph" w:customStyle="1" w:styleId="Boxcontinued">
    <w:name w:val="Box: (continued)"/>
    <w:basedOn w:val="BoxText"/>
    <w:next w:val="BoxHeading1"/>
    <w:uiPriority w:val="4"/>
    <w:rsid w:val="00BE6005"/>
    <w:pPr>
      <w:spacing w:before="0" w:after="0"/>
      <w:jc w:val="right"/>
    </w:pPr>
    <w:rPr>
      <w:i/>
      <w:sz w:val="20"/>
    </w:rPr>
  </w:style>
  <w:style w:type="character" w:customStyle="1" w:styleId="Bullet1Char">
    <w:name w:val="Bullet 1 Char"/>
    <w:basedOn w:val="DefaultParagraphFont"/>
    <w:link w:val="Bullet1"/>
    <w:uiPriority w:val="2"/>
    <w:locked/>
    <w:rsid w:val="00502F93"/>
    <w:rPr>
      <w:sz w:val="22"/>
      <w:lang w:eastAsia="en-US"/>
    </w:rPr>
  </w:style>
  <w:style w:type="paragraph" w:styleId="Title">
    <w:name w:val="Title"/>
    <w:basedOn w:val="Normal"/>
    <w:next w:val="Normal"/>
    <w:link w:val="TitleChar"/>
    <w:uiPriority w:val="10"/>
    <w:qFormat/>
    <w:rsid w:val="00502F93"/>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02F93"/>
    <w:rPr>
      <w:rFonts w:asciiTheme="majorHAnsi" w:eastAsiaTheme="majorEastAsia" w:hAnsiTheme="majorHAnsi" w:cstheme="majorBidi"/>
      <w:color w:val="17365D" w:themeColor="text2" w:themeShade="BF"/>
      <w:spacing w:val="5"/>
      <w:kern w:val="28"/>
      <w:sz w:val="52"/>
      <w:szCs w:val="52"/>
    </w:rPr>
  </w:style>
  <w:style w:type="character" w:styleId="Strong">
    <w:name w:val="Strong"/>
    <w:basedOn w:val="DefaultParagraphFont"/>
    <w:uiPriority w:val="22"/>
    <w:qFormat/>
    <w:rsid w:val="00502F93"/>
    <w:rPr>
      <w:b/>
      <w:bCs/>
    </w:rPr>
  </w:style>
  <w:style w:type="paragraph" w:customStyle="1" w:styleId="Default">
    <w:name w:val="Default"/>
    <w:rsid w:val="00502F93"/>
    <w:pPr>
      <w:autoSpaceDE w:val="0"/>
      <w:autoSpaceDN w:val="0"/>
      <w:adjustRightInd w:val="0"/>
      <w:spacing w:after="200" w:line="276" w:lineRule="auto"/>
    </w:pPr>
    <w:rPr>
      <w:rFonts w:ascii="Arial" w:eastAsiaTheme="minorEastAsia" w:hAnsi="Arial" w:cs="Arial"/>
      <w:color w:val="000000"/>
      <w:sz w:val="24"/>
      <w:szCs w:val="24"/>
    </w:rPr>
  </w:style>
  <w:style w:type="paragraph" w:styleId="ListParagraph">
    <w:name w:val="List Paragraph"/>
    <w:basedOn w:val="Normal"/>
    <w:uiPriority w:val="34"/>
    <w:qFormat/>
    <w:rsid w:val="00502F93"/>
    <w:pPr>
      <w:spacing w:before="0" w:after="200" w:line="276" w:lineRule="auto"/>
      <w:ind w:left="720"/>
      <w:contextualSpacing/>
    </w:pPr>
    <w:rPr>
      <w:rFonts w:asciiTheme="minorHAnsi" w:eastAsiaTheme="minorEastAsia" w:hAnsiTheme="minorHAnsi" w:cstheme="minorBidi"/>
    </w:rPr>
  </w:style>
  <w:style w:type="character" w:customStyle="1" w:styleId="H4Char">
    <w:name w:val="H4 Char"/>
    <w:basedOn w:val="Bullet1Char"/>
    <w:link w:val="H4"/>
    <w:locked/>
    <w:rsid w:val="00502F93"/>
    <w:rPr>
      <w:b/>
      <w:sz w:val="22"/>
      <w:lang w:eastAsia="en-US"/>
    </w:rPr>
  </w:style>
  <w:style w:type="paragraph" w:customStyle="1" w:styleId="H4">
    <w:name w:val="H4"/>
    <w:basedOn w:val="Bullet1"/>
    <w:link w:val="H4Char"/>
    <w:rsid w:val="00502F93"/>
    <w:pPr>
      <w:numPr>
        <w:numId w:val="0"/>
      </w:numPr>
    </w:pPr>
    <w:rPr>
      <w:b/>
    </w:rPr>
  </w:style>
  <w:style w:type="table" w:styleId="LightList-Accent1">
    <w:name w:val="Light List Accent 1"/>
    <w:basedOn w:val="TableNormal"/>
    <w:uiPriority w:val="61"/>
    <w:locked/>
    <w:rsid w:val="00502F93"/>
    <w:pPr>
      <w:spacing w:after="200" w:line="276" w:lineRule="auto"/>
    </w:pPr>
    <w:rPr>
      <w:rFonts w:eastAsiaTheme="minorEastAsia" w:cstheme="minorBidi"/>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TOCHeading">
    <w:name w:val="TOC Heading"/>
    <w:basedOn w:val="Heading1"/>
    <w:next w:val="Normal"/>
    <w:uiPriority w:val="39"/>
    <w:semiHidden/>
    <w:unhideWhenUsed/>
    <w:qFormat/>
    <w:rsid w:val="00502F93"/>
    <w:pPr>
      <w:pageBreakBefore w:val="0"/>
      <w:tabs>
        <w:tab w:val="clear" w:pos="794"/>
        <w:tab w:val="clear" w:pos="1191"/>
        <w:tab w:val="clear" w:pos="2778"/>
      </w:tabs>
      <w:spacing w:before="480" w:after="0" w:line="276" w:lineRule="auto"/>
      <w:outlineLvl w:val="9"/>
    </w:pPr>
    <w:rPr>
      <w:rFonts w:asciiTheme="majorHAnsi" w:eastAsiaTheme="majorEastAsia" w:hAnsiTheme="majorHAnsi" w:cstheme="majorBidi"/>
      <w:bCs/>
      <w:color w:val="365F91" w:themeColor="accent1" w:themeShade="BF"/>
      <w:sz w:val="28"/>
      <w:szCs w:val="28"/>
      <w:lang w:eastAsia="en-AU"/>
    </w:rPr>
  </w:style>
  <w:style w:type="character" w:customStyle="1" w:styleId="apple-converted-space">
    <w:name w:val="apple-converted-space"/>
    <w:basedOn w:val="DefaultParagraphFont"/>
    <w:rsid w:val="00D54B04"/>
  </w:style>
  <w:style w:type="character" w:customStyle="1" w:styleId="table-note">
    <w:name w:val="table-note"/>
    <w:basedOn w:val="DefaultParagraphFont"/>
    <w:qFormat/>
    <w:rsid w:val="00D54B04"/>
  </w:style>
  <w:style w:type="paragraph" w:customStyle="1" w:styleId="TableFigNotesnumbered">
    <w:name w:val="Table/Fig: Notes numbered"/>
    <w:basedOn w:val="TableSourcefootnotes"/>
    <w:link w:val="TableFigNotesnumberedChar"/>
    <w:uiPriority w:val="6"/>
    <w:rsid w:val="00621901"/>
    <w:pPr>
      <w:tabs>
        <w:tab w:val="clear" w:pos="397"/>
      </w:tabs>
      <w:spacing w:after="0"/>
      <w:ind w:left="397" w:hanging="397"/>
    </w:pPr>
  </w:style>
  <w:style w:type="character" w:customStyle="1" w:styleId="TableFigNotesnumberedChar">
    <w:name w:val="Table/Fig: Notes numbered Char"/>
    <w:link w:val="TableFigNotesnumbered"/>
    <w:uiPriority w:val="6"/>
    <w:rsid w:val="00621901"/>
    <w:rPr>
      <w:rFonts w:ascii="Arial" w:hAnsi="Arial"/>
      <w:sz w:val="14"/>
      <w:lang w:eastAsia="en-US"/>
    </w:rPr>
  </w:style>
  <w:style w:type="paragraph" w:styleId="Revision">
    <w:name w:val="Revision"/>
    <w:hidden/>
    <w:uiPriority w:val="99"/>
    <w:semiHidden/>
    <w:rsid w:val="001F6E1F"/>
    <w:rPr>
      <w:sz w:val="22"/>
      <w:szCs w:val="22"/>
    </w:rPr>
  </w:style>
  <w:style w:type="paragraph" w:customStyle="1" w:styleId="Heading1-Cover">
    <w:name w:val="Heading 1 - Cover"/>
    <w:basedOn w:val="Heading1"/>
    <w:uiPriority w:val="19"/>
    <w:qFormat/>
    <w:rsid w:val="00493C36"/>
    <w:pPr>
      <w:pageBreakBefore w:val="0"/>
      <w:spacing w:before="300" w:after="120" w:line="240" w:lineRule="auto"/>
      <w:jc w:val="center"/>
    </w:pPr>
    <w:rPr>
      <w:rFonts w:asciiTheme="majorHAnsi" w:eastAsiaTheme="majorEastAsia" w:hAnsiTheme="majorHAnsi"/>
      <w:b w:val="0"/>
      <w:color w:val="17365D" w:themeColor="text2" w:themeShade="BF"/>
      <w:sz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238340">
      <w:bodyDiv w:val="1"/>
      <w:marLeft w:val="0"/>
      <w:marRight w:val="0"/>
      <w:marTop w:val="0"/>
      <w:marBottom w:val="0"/>
      <w:divBdr>
        <w:top w:val="none" w:sz="0" w:space="0" w:color="auto"/>
        <w:left w:val="none" w:sz="0" w:space="0" w:color="auto"/>
        <w:bottom w:val="none" w:sz="0" w:space="0" w:color="auto"/>
        <w:right w:val="none" w:sz="0" w:space="0" w:color="auto"/>
      </w:divBdr>
    </w:div>
    <w:div w:id="368915651">
      <w:bodyDiv w:val="1"/>
      <w:marLeft w:val="0"/>
      <w:marRight w:val="0"/>
      <w:marTop w:val="0"/>
      <w:marBottom w:val="0"/>
      <w:divBdr>
        <w:top w:val="none" w:sz="0" w:space="0" w:color="auto"/>
        <w:left w:val="none" w:sz="0" w:space="0" w:color="auto"/>
        <w:bottom w:val="none" w:sz="0" w:space="0" w:color="auto"/>
        <w:right w:val="none" w:sz="0" w:space="0" w:color="auto"/>
      </w:divBdr>
    </w:div>
    <w:div w:id="761101885">
      <w:bodyDiv w:val="1"/>
      <w:marLeft w:val="0"/>
      <w:marRight w:val="0"/>
      <w:marTop w:val="0"/>
      <w:marBottom w:val="0"/>
      <w:divBdr>
        <w:top w:val="none" w:sz="0" w:space="0" w:color="auto"/>
        <w:left w:val="none" w:sz="0" w:space="0" w:color="auto"/>
        <w:bottom w:val="none" w:sz="0" w:space="0" w:color="auto"/>
        <w:right w:val="none" w:sz="0" w:space="0" w:color="auto"/>
      </w:divBdr>
    </w:div>
    <w:div w:id="831994780">
      <w:bodyDiv w:val="1"/>
      <w:marLeft w:val="0"/>
      <w:marRight w:val="0"/>
      <w:marTop w:val="0"/>
      <w:marBottom w:val="0"/>
      <w:divBdr>
        <w:top w:val="none" w:sz="0" w:space="0" w:color="auto"/>
        <w:left w:val="none" w:sz="0" w:space="0" w:color="auto"/>
        <w:bottom w:val="none" w:sz="0" w:space="0" w:color="auto"/>
        <w:right w:val="none" w:sz="0" w:space="0" w:color="auto"/>
      </w:divBdr>
    </w:div>
    <w:div w:id="843396210">
      <w:bodyDiv w:val="1"/>
      <w:marLeft w:val="0"/>
      <w:marRight w:val="0"/>
      <w:marTop w:val="0"/>
      <w:marBottom w:val="0"/>
      <w:divBdr>
        <w:top w:val="none" w:sz="0" w:space="0" w:color="auto"/>
        <w:left w:val="none" w:sz="0" w:space="0" w:color="auto"/>
        <w:bottom w:val="none" w:sz="0" w:space="0" w:color="auto"/>
        <w:right w:val="none" w:sz="0" w:space="0" w:color="auto"/>
      </w:divBdr>
    </w:div>
    <w:div w:id="1745301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meteor.aihw.gov.au/content/index.phtml/itemId/413243"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www.aihw.gov.au/publication-detail/?id=10737423009"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meteor.aihw.gov.au/content/index.phtml/itemId/424725"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hyperlink" Target="http://mhsa.aihw.gov.au/technical/technical-note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mhsa.aihw.gov.au/home/" TargetMode="Externa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hyperlink" Target="http://www.dhhs.tas.gov.au/mentalhealth/mhs_tas/gvt_mhs/inpatient_and_extended_treatment_mental_health_services" TargetMode="Externa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meteor.aihw.gov.au/content/index.phtml/itemId/341798"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www.sahealth.sa.gov.au/wps/wcm/connect/public+content/sa+health+internet/health+services/mental+health+services/acute+mental+health+services" TargetMode="Externa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1D97D6-13C8-4C7A-AF9A-3574F0910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56</Pages>
  <Words>17470</Words>
  <Characters>103213</Characters>
  <Application>Microsoft Office Word</Application>
  <DocSecurity>0</DocSecurity>
  <Lines>860</Lines>
  <Paragraphs>240</Paragraphs>
  <ScaleCrop>false</ScaleCrop>
  <HeadingPairs>
    <vt:vector size="2" baseType="variant">
      <vt:variant>
        <vt:lpstr>Title</vt:lpstr>
      </vt:variant>
      <vt:variant>
        <vt:i4>1</vt:i4>
      </vt:variant>
    </vt:vector>
  </HeadingPairs>
  <TitlesOfParts>
    <vt:vector size="1" baseType="lpstr">
      <vt:lpstr/>
    </vt:vector>
  </TitlesOfParts>
  <Company>Australian Institute of Health and Welfare</Company>
  <LinksUpToDate>false</LinksUpToDate>
  <CharactersWithSpaces>120443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Bennett, Vicki</dc:creator>
  <cp:lastModifiedBy>Howse David</cp:lastModifiedBy>
  <cp:revision>5</cp:revision>
  <cp:lastPrinted>2015-02-26T02:42:00Z</cp:lastPrinted>
  <dcterms:created xsi:type="dcterms:W3CDTF">2015-03-25T06:40:00Z</dcterms:created>
  <dcterms:modified xsi:type="dcterms:W3CDTF">2015-03-26T02:47:00Z</dcterms:modified>
</cp:coreProperties>
</file>