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79AE6" w14:textId="77777777" w:rsidR="00DC1DC6" w:rsidRDefault="00144B5B" w:rsidP="00AA1A86">
      <w:pPr>
        <w:suppressAutoHyphens w:val="0"/>
        <w:autoSpaceDE/>
        <w:autoSpaceDN/>
        <w:adjustRightInd/>
        <w:spacing w:after="0"/>
        <w:textAlignment w:val="auto"/>
      </w:pPr>
      <w:r w:rsidRPr="00144B5B">
        <w:rPr>
          <w:noProof/>
          <w:lang w:val="en-AU" w:eastAsia="en-AU"/>
        </w:rPr>
        <mc:AlternateContent>
          <mc:Choice Requires="wps">
            <w:drawing>
              <wp:anchor distT="0" distB="0" distL="114300" distR="114300" simplePos="0" relativeHeight="251658240" behindDoc="0" locked="0" layoutInCell="1" allowOverlap="1" wp14:anchorId="65568295" wp14:editId="42DC687E">
                <wp:simplePos x="0" y="0"/>
                <wp:positionH relativeFrom="margin">
                  <wp:posOffset>-1270</wp:posOffset>
                </wp:positionH>
                <wp:positionV relativeFrom="paragraph">
                  <wp:posOffset>2094865</wp:posOffset>
                </wp:positionV>
                <wp:extent cx="4546600" cy="92456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546600" cy="924560"/>
                        </a:xfrm>
                        <a:prstGeom prst="rect">
                          <a:avLst/>
                        </a:prstGeom>
                        <a:noFill/>
                        <a:ln w="6350">
                          <a:noFill/>
                        </a:ln>
                      </wps:spPr>
                      <wps:txbx>
                        <w:txbxContent>
                          <w:p w14:paraId="0ABABB69" w14:textId="77777777" w:rsidR="00144B5B" w:rsidRPr="0013076E" w:rsidRDefault="00144B5B" w:rsidP="00144B5B">
                            <w:pPr>
                              <w:pStyle w:val="NMHCCoverNamestyle"/>
                            </w:pPr>
                            <w:r w:rsidRPr="0013076E">
                              <w:t>National Mental Health Commission</w:t>
                            </w:r>
                          </w:p>
                          <w:p w14:paraId="38B46FDB" w14:textId="77777777" w:rsidR="00144B5B" w:rsidRPr="0013076E" w:rsidRDefault="0054052E" w:rsidP="00144B5B">
                            <w:pPr>
                              <w:pStyle w:val="NMHCCoverDate"/>
                            </w:pPr>
                            <w:r>
                              <w:t>September</w:t>
                            </w:r>
                            <w:r w:rsidR="00144B5B" w:rsidRPr="0013076E">
                              <w:t xml:space="preserve"> 2021</w:t>
                            </w:r>
                          </w:p>
                        </w:txbxContent>
                      </wps:txbx>
                      <wps:bodyPr rot="0" spcFirstLastPara="0" vertOverflow="overflow" horzOverflow="overflow" vert="horz" wrap="square" lIns="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568295" id="_x0000_t202" coordsize="21600,21600" o:spt="202" path="m,l,21600r21600,l21600,xe">
                <v:stroke joinstyle="miter"/>
                <v:path gradientshapeok="t" o:connecttype="rect"/>
              </v:shapetype>
              <v:shape id="Text Box 1" o:spid="_x0000_s1026" type="#_x0000_t202" style="position:absolute;margin-left:-.1pt;margin-top:164.95pt;width:358pt;height:7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hjOJgIAAEYEAAAOAAAAZHJzL2Uyb0RvYy54bWysU11v2jAUfZ+0/2D5fQQooBU1VKwV0yTU&#10;VoKpz8ZxSKTE17MNCfv1O3YSOnV7mvbi3Nx7fT/OOb67b+uKnZV1JemUT0ZjzpSWlJX6mPLv+82n&#10;z5w5L3QmKtIq5Rfl+P3q44e7xizVlAqqMmUZimi3bEzKC+/NMkmcLFQt3IiM0gjmZGvh8WuPSWZF&#10;g+p1lUzH40XSkM2MJamcg/exC/JVrJ/nSvrnPHfKsyrlmM3H08bzEM5kdSeWRytMUcp+DPEPU9Si&#10;1Gh6LfUovGAnW/5Rqi6lJUe5H0mqE8rzUqq4A7aZjN9tsyuEUXEXgOPMFSb3/8rKp/OLZWUG7jjT&#10;ogZFe9V69oVaNgnoNMYtkbQzSPMt3CGz9zs4w9JtbuvwxToMceB8uWIbikk4Z/PZYjFGSCJ2O53N&#10;FxH85O22sc5/VVSzYKTcgrsIqThvnUdHpA4poZmmTVlVkb9Ksybli5v5OF64RnCj0rgYduhmDZZv&#10;D22/wIGyC/ay1OnCGbkp0XwrnH8RFkLAvBC3f8aRV4Qm1FucFWR//s0f8sEPopw1EFbK3Y+TsIqz&#10;6psGc0GFg2EH4xCNGwAUINKn+oEgWFCCkaIJr/XVYOaW6lcIfx1aISS0RMOUHwbzwXcax8ORar2O&#10;SRCcEX6rd0aG0gHDgOe+fRXW9KB70PVEg+7E8h32XW6H/vrkKS8jMQHVDsoebIg18tU/rPAafv+P&#10;WW/Pf/ULAAD//wMAUEsDBBQABgAIAAAAIQCH/mQq3gAAAAkBAAAPAAAAZHJzL2Rvd25yZXYueG1s&#10;TI/NTsMwEITvSLyDtUjcWjuBNDTNpgLUnhCHtDyAG2+TqP6JYqcNb485wXE0o5lvyu1sNLvS6Htn&#10;EZKlAEa2caq3LcLXcb94AeaDtEpqZwnhmzxsq/u7UhbK3WxN10NoWSyxvpAIXQhDwblvOjLSL91A&#10;NnpnNxoZohxbrkZ5i+VG81SIFTeyt3GhkwO9d9RcDpNBuBzrz4HqN1pNe/GRi17vdjJBfHyYXzfA&#10;As3hLwy/+BEdqsh0cpNVnmmERRqDCE/peg0s+nmSxSsnhOc8y4BXJf//oPoBAAD//wMAUEsBAi0A&#10;FAAGAAgAAAAhALaDOJL+AAAA4QEAABMAAAAAAAAAAAAAAAAAAAAAAFtDb250ZW50X1R5cGVzXS54&#10;bWxQSwECLQAUAAYACAAAACEAOP0h/9YAAACUAQAACwAAAAAAAAAAAAAAAAAvAQAAX3JlbHMvLnJl&#10;bHNQSwECLQAUAAYACAAAACEA8GYYziYCAABGBAAADgAAAAAAAAAAAAAAAAAuAgAAZHJzL2Uyb0Rv&#10;Yy54bWxQSwECLQAUAAYACAAAACEAh/5kKt4AAAAJAQAADwAAAAAAAAAAAAAAAACABAAAZHJzL2Rv&#10;d25yZXYueG1sUEsFBgAAAAAEAAQA8wAAAIsFAAAAAA==&#10;" filled="f" stroked="f" strokeweight=".5pt">
                <v:textbox inset="0,0,0,10mm">
                  <w:txbxContent>
                    <w:p w14:paraId="0ABABB69" w14:textId="77777777" w:rsidR="00144B5B" w:rsidRPr="0013076E" w:rsidRDefault="00144B5B" w:rsidP="00144B5B">
                      <w:pPr>
                        <w:pStyle w:val="NMHCCoverNamestyle"/>
                      </w:pPr>
                      <w:r w:rsidRPr="0013076E">
                        <w:t>National Mental Health Commission</w:t>
                      </w:r>
                    </w:p>
                    <w:p w14:paraId="38B46FDB" w14:textId="77777777" w:rsidR="00144B5B" w:rsidRPr="0013076E" w:rsidRDefault="0054052E" w:rsidP="00144B5B">
                      <w:pPr>
                        <w:pStyle w:val="NMHCCoverDate"/>
                      </w:pPr>
                      <w:r>
                        <w:t>September</w:t>
                      </w:r>
                      <w:r w:rsidR="00144B5B" w:rsidRPr="0013076E">
                        <w:t xml:space="preserve"> 2021</w:t>
                      </w:r>
                    </w:p>
                  </w:txbxContent>
                </v:textbox>
                <w10:wrap type="topAndBottom" anchorx="margin"/>
              </v:shape>
            </w:pict>
          </mc:Fallback>
        </mc:AlternateContent>
      </w:r>
      <w:r w:rsidRPr="00144B5B">
        <w:rPr>
          <w:noProof/>
          <w:lang w:val="en-AU" w:eastAsia="en-AU"/>
        </w:rPr>
        <mc:AlternateContent>
          <mc:Choice Requires="wps">
            <w:drawing>
              <wp:anchor distT="0" distB="0" distL="114300" distR="114300" simplePos="0" relativeHeight="251658242" behindDoc="0" locked="0" layoutInCell="1" allowOverlap="1" wp14:anchorId="1CA185DD" wp14:editId="7B992BD3">
                <wp:simplePos x="0" y="0"/>
                <wp:positionH relativeFrom="margin">
                  <wp:posOffset>-3810</wp:posOffset>
                </wp:positionH>
                <wp:positionV relativeFrom="paragraph">
                  <wp:posOffset>3018790</wp:posOffset>
                </wp:positionV>
                <wp:extent cx="719455" cy="0"/>
                <wp:effectExtent l="0" t="25400" r="29845" b="25400"/>
                <wp:wrapNone/>
                <wp:docPr id="3" name="Straight Connector 3"/>
                <wp:cNvGraphicFramePr/>
                <a:graphic xmlns:a="http://schemas.openxmlformats.org/drawingml/2006/main">
                  <a:graphicData uri="http://schemas.microsoft.com/office/word/2010/wordprocessingShape">
                    <wps:wsp>
                      <wps:cNvCnPr/>
                      <wps:spPr>
                        <a:xfrm>
                          <a:off x="0" y="0"/>
                          <a:ext cx="719455" cy="0"/>
                        </a:xfrm>
                        <a:prstGeom prst="line">
                          <a:avLst/>
                        </a:prstGeom>
                        <a:ln w="50800">
                          <a:solidFill>
                            <a:srgbClr val="F15A3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0EDCD3" id="Straight Connector 3" o:spid="_x0000_s1026" style="position:absolute;z-index:25165824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237.7pt" to="56.35pt,2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0f3QEAAA0EAAAOAAAAZHJzL2Uyb0RvYy54bWysU9uO0zAUfEfiHyy/0yRbCrtR0xXqqrwg&#10;qFj4ANexE0u+6dg06d9z7DTZFSCkRbw4sX1mzszY3t6PRpOzgKCcbWi1KikRlrtW2a6h378d3txS&#10;EiKzLdPOioZeRKD3u9evtoOvxY3rnW4FECSxoR58Q/sYfV0UgffCsLByXljclA4MiziFrmiBDchu&#10;dHFTlu+KwUHrwXERAq4+TJt0l/mlFDx+kTKISHRDUVvMI+TxlMZit2V1B8z3il9lsH9QYZiy2HSh&#10;emCRkR+gfqMyioMLTsYVd6ZwUiousgd0U5W/uHnsmRfZC4YT/BJT+H+0/PP5CES1DV1TYpnBI3qM&#10;wFTXR7J31mKADsg65TT4UGP53h7hOgv+CMn0KMGkL9ohY872smQrxkg4Lr6v7t5uNpTweat4wnkI&#10;8aNwhqSfhmplk2tWs/OnELEXls4laVlbMjR0U96WZS4LTqv2oLROmwG6014DOTM88UO1+bCuknik&#10;eFaGM21xMVmaTOS/eNFiavBVSAwFZVdTh3QdxULLOBc2zrzaYnWCSZSwAK/S/ga81ieoyFf1JeAF&#10;kTs7GxewUdbBn2THcZYsp/o5gcl3iuDk2ks+3hwN3rmc3PV9pEv9fJ7hT6949xMAAP//AwBQSwME&#10;FAAGAAgAAAAhAEmvPr7cAAAACQEAAA8AAABkcnMvZG93bnJldi54bWxMj81uwjAQhO9IfQdrkXoD&#10;h4gCSuMgqKjUKid+HsDE2yTCXke2Ienb10iV4Dg7o5lv8/VgNLuh860lAbNpAgypsqqlWsDp+DlZ&#10;AfNBkpLaEgr4RQ/r4mWUy0zZnvZ4O4SaxRLymRTQhNBlnPuqQSP91HZI0fuxzsgQpau5crKP5Ubz&#10;NEkW3MiW4kIjO/xosLocrkZAetymA+p+16rye1eWq83X1vVCvI6HzTuwgEN4hOGOH9GhiExneyXl&#10;mRYwWcSggPnybQ7s7s/SJbDz/4UXOX/+oPgDAAD//wMAUEsBAi0AFAAGAAgAAAAhALaDOJL+AAAA&#10;4QEAABMAAAAAAAAAAAAAAAAAAAAAAFtDb250ZW50X1R5cGVzXS54bWxQSwECLQAUAAYACAAAACEA&#10;OP0h/9YAAACUAQAACwAAAAAAAAAAAAAAAAAvAQAAX3JlbHMvLnJlbHNQSwECLQAUAAYACAAAACEA&#10;LBmNH90BAAANBAAADgAAAAAAAAAAAAAAAAAuAgAAZHJzL2Uyb0RvYy54bWxQSwECLQAUAAYACAAA&#10;ACEASa8+vtwAAAAJAQAADwAAAAAAAAAAAAAAAAA3BAAAZHJzL2Rvd25yZXYueG1sUEsFBgAAAAAE&#10;AAQA8wAAAEAFAAAAAA==&#10;" strokecolor="#f15a31" strokeweight="4pt">
                <v:stroke joinstyle="miter"/>
                <w10:wrap anchorx="margin"/>
              </v:line>
            </w:pict>
          </mc:Fallback>
        </mc:AlternateContent>
      </w:r>
      <w:r w:rsidRPr="00144B5B">
        <w:rPr>
          <w:noProof/>
          <w:lang w:val="en-AU" w:eastAsia="en-AU"/>
        </w:rPr>
        <mc:AlternateContent>
          <mc:Choice Requires="wps">
            <w:drawing>
              <wp:anchor distT="0" distB="0" distL="114300" distR="114300" simplePos="0" relativeHeight="251658241" behindDoc="0" locked="0" layoutInCell="1" allowOverlap="1" wp14:anchorId="3E3334DD" wp14:editId="4D7FDBD3">
                <wp:simplePos x="0" y="0"/>
                <wp:positionH relativeFrom="column">
                  <wp:posOffset>0</wp:posOffset>
                </wp:positionH>
                <wp:positionV relativeFrom="paragraph">
                  <wp:posOffset>3025775</wp:posOffset>
                </wp:positionV>
                <wp:extent cx="5664200" cy="288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64200" cy="2882900"/>
                        </a:xfrm>
                        <a:prstGeom prst="rect">
                          <a:avLst/>
                        </a:prstGeom>
                        <a:noFill/>
                        <a:ln w="6350">
                          <a:noFill/>
                        </a:ln>
                      </wps:spPr>
                      <wps:txbx>
                        <w:txbxContent>
                          <w:p w14:paraId="4C325D91" w14:textId="77777777" w:rsidR="00144B5B" w:rsidRPr="0013076E" w:rsidRDefault="00AA1A86" w:rsidP="00144B5B">
                            <w:pPr>
                              <w:pStyle w:val="NMHCCoverTitle"/>
                            </w:pPr>
                            <w:r>
                              <w:t>Submission on the Consultation Draft: National Mental Health Workforce Strategy 2021-2031</w:t>
                            </w:r>
                          </w:p>
                        </w:txbxContent>
                      </wps:txbx>
                      <wps:bodyPr rot="0" spcFirstLastPara="0" vertOverflow="overflow" horzOverflow="overflow" vert="horz" wrap="square" lIns="0" tIns="360000" rIns="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3334DD" id="Text Box 4" o:spid="_x0000_s1027" type="#_x0000_t202" style="position:absolute;margin-left:0;margin-top:238.25pt;width:446pt;height:227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1wLAIAAE4EAAAOAAAAZHJzL2Uyb0RvYy54bWysVN9v2jAQfp+0/8Hy+0igFLGIULFWTJNQ&#10;WwmmPhvHJpFsn2cbEvbX7+wQOnV9qpYH53x3uR/fd5fFXacVOQnnGzAlHY9ySoThUDXmUNKfu/WX&#10;OSU+MFMxBUaU9Cw8vVt+/rRobSEmUIOqhCMYxPiitSWtQ7BFlnleC838CKwwaJTgNAt4dYescqzF&#10;6FplkzyfZS24yjrgwnvUPvRGukzxpRQ8PEnpRSCqpFhbSKdL5z6e2XLBioNjtm74pQz2gSo0awwm&#10;vYZ6YIGRo2v+CaUb7sCDDCMOOgMpGy5SD9jNOH/TzbZmVqReEBxvrzD5/xeWP56eHWmqkk4pMUwj&#10;RTvRBfINOjKN6LTWF+i0tegWOlQjy4PeozI23Umn4xvbIWhHnM9XbGMwjsrb2WyKhFHC0TaZzydf&#10;8YLxs9fPrfPhuwBNolBSh+QlTNlp40PvOrjEbAbWjVKJQGVIW9LZzW2ePrhaMLgymCM20RcbpdDt&#10;u9TytZE9VGfsz0E/H97ydYM1bJgPz8zhQGDdOOThCQ+pAHPBRaKkBvf7PX30R57QSkmLA1ZS/+vI&#10;nKBE/TDIYJzGJNzMcnwocYN6PwjmqO8BB3eMO2R5EqNfUIMoHegXXIBVTIUmZjgmLGkYxPvQzzou&#10;EBerVXLCwbMsbMzW8hg6Qhlh3XUvzNkL9gFpe4Rh/ljxhoLetydhdQwgm8RPBLeH8oI5Dm1i+LJg&#10;cSv+viev19/A8g8AAAD//wMAUEsDBBQABgAIAAAAIQD7nY2d3QAAAAgBAAAPAAAAZHJzL2Rvd25y&#10;ZXYueG1sTI/NTsMwEITvSLyDtUhcEHVaSGjSbCpUiQdIy4GjEzs/arwO8bZN3h5zguPsrGa+yfez&#10;HcTVTL53hLBeRSAM1U731CJ8nj6etyA8K9JqcGQQFuNhX9zf5SrT7kaluR65FSGEfKYQOuYxk9LX&#10;nbHKr9xoKHiNm6ziIKdW6kndQrgd5CaKEmlVT6GhU6M5dKY+Hy8WoWQXN8m3W3huqqfDsp7pKy0R&#10;Hx/m9x0INjP/PcMvfkCHIjBV7kLaiwEhDGGE17ckBhHsbboJlwohfYlikEUu/w8ofgAAAP//AwBQ&#10;SwECLQAUAAYACAAAACEAtoM4kv4AAADhAQAAEwAAAAAAAAAAAAAAAAAAAAAAW0NvbnRlbnRfVHlw&#10;ZXNdLnhtbFBLAQItABQABgAIAAAAIQA4/SH/1gAAAJQBAAALAAAAAAAAAAAAAAAAAC8BAABfcmVs&#10;cy8ucmVsc1BLAQItABQABgAIAAAAIQDB5r1wLAIAAE4EAAAOAAAAAAAAAAAAAAAAAC4CAABkcnMv&#10;ZTJvRG9jLnhtbFBLAQItABQABgAIAAAAIQD7nY2d3QAAAAgBAAAPAAAAAAAAAAAAAAAAAIYEAABk&#10;cnMvZG93bnJldi54bWxQSwUGAAAAAAQABADzAAAAkAUAAAAA&#10;" filled="f" stroked="f" strokeweight=".5pt">
                <v:textbox inset="0,10mm,0,0">
                  <w:txbxContent>
                    <w:p w14:paraId="4C325D91" w14:textId="77777777" w:rsidR="00144B5B" w:rsidRPr="0013076E" w:rsidRDefault="00AA1A86" w:rsidP="00144B5B">
                      <w:pPr>
                        <w:pStyle w:val="NMHCCoverTitle"/>
                      </w:pPr>
                      <w:r>
                        <w:t>Submission on the Consultation Draft: National Mental Health Workforce Strategy 2021-2031</w:t>
                      </w:r>
                    </w:p>
                  </w:txbxContent>
                </v:textbox>
              </v:shape>
            </w:pict>
          </mc:Fallback>
        </mc:AlternateContent>
      </w:r>
      <w:r w:rsidR="0013076E">
        <w:br w:type="page"/>
      </w:r>
    </w:p>
    <w:sdt>
      <w:sdtPr>
        <w:rPr>
          <w:rFonts w:ascii="Roboto-Light" w:eastAsiaTheme="minorHAnsi" w:hAnsi="Roboto-Light" w:cs="Roboto-Light"/>
          <w:color w:val="000000"/>
          <w:sz w:val="18"/>
          <w:szCs w:val="22"/>
          <w:lang w:val="en-GB"/>
        </w:rPr>
        <w:id w:val="-1593303568"/>
        <w:docPartObj>
          <w:docPartGallery w:val="Table of Contents"/>
          <w:docPartUnique/>
        </w:docPartObj>
      </w:sdtPr>
      <w:sdtEndPr>
        <w:rPr>
          <w:b/>
          <w:bCs/>
          <w:noProof/>
        </w:rPr>
      </w:sdtEndPr>
      <w:sdtContent>
        <w:p w14:paraId="38AE165D" w14:textId="77777777" w:rsidR="00176F48" w:rsidRPr="00176F48" w:rsidRDefault="00176F48">
          <w:pPr>
            <w:pStyle w:val="TOCHeading"/>
            <w:rPr>
              <w:rStyle w:val="Heading1Char"/>
            </w:rPr>
          </w:pPr>
          <w:r w:rsidRPr="00176F48">
            <w:rPr>
              <w:rStyle w:val="Heading1Char"/>
            </w:rPr>
            <w:t>Contents</w:t>
          </w:r>
        </w:p>
        <w:p w14:paraId="3C1AD8DB" w14:textId="1ED07A2F" w:rsidR="00823437" w:rsidRDefault="00176F48">
          <w:pPr>
            <w:pStyle w:val="TOC1"/>
            <w:tabs>
              <w:tab w:val="right" w:leader="dot" w:pos="9622"/>
            </w:tabs>
            <w:rPr>
              <w:rFonts w:asciiTheme="minorHAnsi" w:eastAsiaTheme="minorEastAsia" w:hAnsiTheme="minorHAnsi" w:cstheme="minorBidi"/>
              <w:noProof/>
              <w:color w:val="auto"/>
              <w:sz w:val="22"/>
              <w:lang w:val="en-AU" w:eastAsia="en-AU"/>
            </w:rPr>
          </w:pPr>
          <w:r>
            <w:fldChar w:fldCharType="begin"/>
          </w:r>
          <w:r>
            <w:instrText xml:space="preserve"> TOC \o "1-3" \h \z \u </w:instrText>
          </w:r>
          <w:r>
            <w:fldChar w:fldCharType="separate"/>
          </w:r>
          <w:hyperlink w:anchor="_Toc83726116" w:history="1">
            <w:r w:rsidR="00823437" w:rsidRPr="00FB5F86">
              <w:rPr>
                <w:rStyle w:val="Hyperlink"/>
                <w:noProof/>
              </w:rPr>
              <w:t>Introduction</w:t>
            </w:r>
            <w:r w:rsidR="00823437">
              <w:rPr>
                <w:noProof/>
                <w:webHidden/>
              </w:rPr>
              <w:tab/>
            </w:r>
            <w:r w:rsidR="00823437">
              <w:rPr>
                <w:noProof/>
                <w:webHidden/>
              </w:rPr>
              <w:fldChar w:fldCharType="begin"/>
            </w:r>
            <w:r w:rsidR="00823437">
              <w:rPr>
                <w:noProof/>
                <w:webHidden/>
              </w:rPr>
              <w:instrText xml:space="preserve"> PAGEREF _Toc83726116 \h </w:instrText>
            </w:r>
            <w:r w:rsidR="00823437">
              <w:rPr>
                <w:noProof/>
                <w:webHidden/>
              </w:rPr>
            </w:r>
            <w:r w:rsidR="00823437">
              <w:rPr>
                <w:noProof/>
                <w:webHidden/>
              </w:rPr>
              <w:fldChar w:fldCharType="separate"/>
            </w:r>
            <w:r w:rsidR="00823437">
              <w:rPr>
                <w:noProof/>
                <w:webHidden/>
              </w:rPr>
              <w:t>3</w:t>
            </w:r>
            <w:r w:rsidR="00823437">
              <w:rPr>
                <w:noProof/>
                <w:webHidden/>
              </w:rPr>
              <w:fldChar w:fldCharType="end"/>
            </w:r>
          </w:hyperlink>
        </w:p>
        <w:p w14:paraId="6CFE2EC9" w14:textId="08A836A2"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17" w:history="1">
            <w:r w:rsidR="00823437" w:rsidRPr="00FB5F86">
              <w:rPr>
                <w:rStyle w:val="Hyperlink"/>
                <w:noProof/>
              </w:rPr>
              <w:t>Vision 2030</w:t>
            </w:r>
            <w:r w:rsidR="00823437">
              <w:rPr>
                <w:noProof/>
                <w:webHidden/>
              </w:rPr>
              <w:tab/>
            </w:r>
            <w:r w:rsidR="00823437">
              <w:rPr>
                <w:noProof/>
                <w:webHidden/>
              </w:rPr>
              <w:fldChar w:fldCharType="begin"/>
            </w:r>
            <w:r w:rsidR="00823437">
              <w:rPr>
                <w:noProof/>
                <w:webHidden/>
              </w:rPr>
              <w:instrText xml:space="preserve"> PAGEREF _Toc83726117 \h </w:instrText>
            </w:r>
            <w:r w:rsidR="00823437">
              <w:rPr>
                <w:noProof/>
                <w:webHidden/>
              </w:rPr>
            </w:r>
            <w:r w:rsidR="00823437">
              <w:rPr>
                <w:noProof/>
                <w:webHidden/>
              </w:rPr>
              <w:fldChar w:fldCharType="separate"/>
            </w:r>
            <w:r w:rsidR="00823437">
              <w:rPr>
                <w:noProof/>
                <w:webHidden/>
              </w:rPr>
              <w:t>3</w:t>
            </w:r>
            <w:r w:rsidR="00823437">
              <w:rPr>
                <w:noProof/>
                <w:webHidden/>
              </w:rPr>
              <w:fldChar w:fldCharType="end"/>
            </w:r>
          </w:hyperlink>
        </w:p>
        <w:p w14:paraId="6E55BE11" w14:textId="58310959"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18" w:history="1">
            <w:r w:rsidR="00823437" w:rsidRPr="00FB5F86">
              <w:rPr>
                <w:rStyle w:val="Hyperlink"/>
                <w:noProof/>
              </w:rPr>
              <w:t>Summary of recommendations</w:t>
            </w:r>
            <w:r w:rsidR="00823437">
              <w:rPr>
                <w:noProof/>
                <w:webHidden/>
              </w:rPr>
              <w:tab/>
            </w:r>
            <w:r w:rsidR="00823437">
              <w:rPr>
                <w:noProof/>
                <w:webHidden/>
              </w:rPr>
              <w:fldChar w:fldCharType="begin"/>
            </w:r>
            <w:r w:rsidR="00823437">
              <w:rPr>
                <w:noProof/>
                <w:webHidden/>
              </w:rPr>
              <w:instrText xml:space="preserve"> PAGEREF _Toc83726118 \h </w:instrText>
            </w:r>
            <w:r w:rsidR="00823437">
              <w:rPr>
                <w:noProof/>
                <w:webHidden/>
              </w:rPr>
            </w:r>
            <w:r w:rsidR="00823437">
              <w:rPr>
                <w:noProof/>
                <w:webHidden/>
              </w:rPr>
              <w:fldChar w:fldCharType="separate"/>
            </w:r>
            <w:r w:rsidR="00823437">
              <w:rPr>
                <w:noProof/>
                <w:webHidden/>
              </w:rPr>
              <w:t>5</w:t>
            </w:r>
            <w:r w:rsidR="00823437">
              <w:rPr>
                <w:noProof/>
                <w:webHidden/>
              </w:rPr>
              <w:fldChar w:fldCharType="end"/>
            </w:r>
          </w:hyperlink>
        </w:p>
        <w:p w14:paraId="6A69857D" w14:textId="3E93DE0F"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19" w:history="1">
            <w:r w:rsidR="00823437" w:rsidRPr="00FB5F86">
              <w:rPr>
                <w:rStyle w:val="Hyperlink"/>
                <w:noProof/>
                <w:lang w:val="en-AU"/>
              </w:rPr>
              <w:t>Section 1: This Strategy</w:t>
            </w:r>
            <w:r w:rsidR="00823437">
              <w:rPr>
                <w:noProof/>
                <w:webHidden/>
              </w:rPr>
              <w:tab/>
            </w:r>
            <w:r w:rsidR="00823437">
              <w:rPr>
                <w:noProof/>
                <w:webHidden/>
              </w:rPr>
              <w:fldChar w:fldCharType="begin"/>
            </w:r>
            <w:r w:rsidR="00823437">
              <w:rPr>
                <w:noProof/>
                <w:webHidden/>
              </w:rPr>
              <w:instrText xml:space="preserve"> PAGEREF _Toc83726119 \h </w:instrText>
            </w:r>
            <w:r w:rsidR="00823437">
              <w:rPr>
                <w:noProof/>
                <w:webHidden/>
              </w:rPr>
            </w:r>
            <w:r w:rsidR="00823437">
              <w:rPr>
                <w:noProof/>
                <w:webHidden/>
              </w:rPr>
              <w:fldChar w:fldCharType="separate"/>
            </w:r>
            <w:r w:rsidR="00823437">
              <w:rPr>
                <w:noProof/>
                <w:webHidden/>
              </w:rPr>
              <w:t>6</w:t>
            </w:r>
            <w:r w:rsidR="00823437">
              <w:rPr>
                <w:noProof/>
                <w:webHidden/>
              </w:rPr>
              <w:fldChar w:fldCharType="end"/>
            </w:r>
          </w:hyperlink>
        </w:p>
        <w:p w14:paraId="6D32FB3A" w14:textId="7663A64E" w:rsidR="00823437" w:rsidRDefault="00230229">
          <w:pPr>
            <w:pStyle w:val="TOC2"/>
            <w:tabs>
              <w:tab w:val="right" w:leader="dot" w:pos="9622"/>
            </w:tabs>
            <w:rPr>
              <w:rFonts w:asciiTheme="minorHAnsi" w:eastAsiaTheme="minorEastAsia" w:hAnsiTheme="minorHAnsi" w:cstheme="minorBidi"/>
              <w:noProof/>
              <w:color w:val="auto"/>
              <w:sz w:val="22"/>
              <w:lang w:val="en-AU" w:eastAsia="en-AU"/>
            </w:rPr>
          </w:pPr>
          <w:hyperlink w:anchor="_Toc83726120" w:history="1">
            <w:r w:rsidR="00823437" w:rsidRPr="00FB5F86">
              <w:rPr>
                <w:rStyle w:val="Hyperlink"/>
                <w:noProof/>
              </w:rPr>
              <w:t>Background</w:t>
            </w:r>
            <w:r w:rsidR="00823437">
              <w:rPr>
                <w:noProof/>
                <w:webHidden/>
              </w:rPr>
              <w:tab/>
            </w:r>
            <w:r w:rsidR="00823437">
              <w:rPr>
                <w:noProof/>
                <w:webHidden/>
              </w:rPr>
              <w:fldChar w:fldCharType="begin"/>
            </w:r>
            <w:r w:rsidR="00823437">
              <w:rPr>
                <w:noProof/>
                <w:webHidden/>
              </w:rPr>
              <w:instrText xml:space="preserve"> PAGEREF _Toc83726120 \h </w:instrText>
            </w:r>
            <w:r w:rsidR="00823437">
              <w:rPr>
                <w:noProof/>
                <w:webHidden/>
              </w:rPr>
            </w:r>
            <w:r w:rsidR="00823437">
              <w:rPr>
                <w:noProof/>
                <w:webHidden/>
              </w:rPr>
              <w:fldChar w:fldCharType="separate"/>
            </w:r>
            <w:r w:rsidR="00823437">
              <w:rPr>
                <w:noProof/>
                <w:webHidden/>
              </w:rPr>
              <w:t>6</w:t>
            </w:r>
            <w:r w:rsidR="00823437">
              <w:rPr>
                <w:noProof/>
                <w:webHidden/>
              </w:rPr>
              <w:fldChar w:fldCharType="end"/>
            </w:r>
          </w:hyperlink>
        </w:p>
        <w:p w14:paraId="57DCD2B6" w14:textId="72F0C9C6"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21" w:history="1">
            <w:r w:rsidR="00823437" w:rsidRPr="00FB5F86">
              <w:rPr>
                <w:rStyle w:val="Hyperlink"/>
                <w:noProof/>
              </w:rPr>
              <w:t>Scope</w:t>
            </w:r>
            <w:r w:rsidR="00823437">
              <w:rPr>
                <w:noProof/>
                <w:webHidden/>
              </w:rPr>
              <w:tab/>
            </w:r>
            <w:r w:rsidR="00823437">
              <w:rPr>
                <w:noProof/>
                <w:webHidden/>
              </w:rPr>
              <w:fldChar w:fldCharType="begin"/>
            </w:r>
            <w:r w:rsidR="00823437">
              <w:rPr>
                <w:noProof/>
                <w:webHidden/>
              </w:rPr>
              <w:instrText xml:space="preserve"> PAGEREF _Toc83726121 \h </w:instrText>
            </w:r>
            <w:r w:rsidR="00823437">
              <w:rPr>
                <w:noProof/>
                <w:webHidden/>
              </w:rPr>
            </w:r>
            <w:r w:rsidR="00823437">
              <w:rPr>
                <w:noProof/>
                <w:webHidden/>
              </w:rPr>
              <w:fldChar w:fldCharType="separate"/>
            </w:r>
            <w:r w:rsidR="00823437">
              <w:rPr>
                <w:noProof/>
                <w:webHidden/>
              </w:rPr>
              <w:t>6</w:t>
            </w:r>
            <w:r w:rsidR="00823437">
              <w:rPr>
                <w:noProof/>
                <w:webHidden/>
              </w:rPr>
              <w:fldChar w:fldCharType="end"/>
            </w:r>
          </w:hyperlink>
        </w:p>
        <w:p w14:paraId="4D8C66A9" w14:textId="5BD867EF"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22" w:history="1">
            <w:r w:rsidR="00823437" w:rsidRPr="00FB5F86">
              <w:rPr>
                <w:rStyle w:val="Hyperlink"/>
                <w:noProof/>
              </w:rPr>
              <w:t>Components of care</w:t>
            </w:r>
            <w:r w:rsidR="00823437">
              <w:rPr>
                <w:noProof/>
                <w:webHidden/>
              </w:rPr>
              <w:tab/>
            </w:r>
            <w:r w:rsidR="00823437">
              <w:rPr>
                <w:noProof/>
                <w:webHidden/>
              </w:rPr>
              <w:fldChar w:fldCharType="begin"/>
            </w:r>
            <w:r w:rsidR="00823437">
              <w:rPr>
                <w:noProof/>
                <w:webHidden/>
              </w:rPr>
              <w:instrText xml:space="preserve"> PAGEREF _Toc83726122 \h </w:instrText>
            </w:r>
            <w:r w:rsidR="00823437">
              <w:rPr>
                <w:noProof/>
                <w:webHidden/>
              </w:rPr>
            </w:r>
            <w:r w:rsidR="00823437">
              <w:rPr>
                <w:noProof/>
                <w:webHidden/>
              </w:rPr>
              <w:fldChar w:fldCharType="separate"/>
            </w:r>
            <w:r w:rsidR="00823437">
              <w:rPr>
                <w:noProof/>
                <w:webHidden/>
              </w:rPr>
              <w:t>6</w:t>
            </w:r>
            <w:r w:rsidR="00823437">
              <w:rPr>
                <w:noProof/>
                <w:webHidden/>
              </w:rPr>
              <w:fldChar w:fldCharType="end"/>
            </w:r>
          </w:hyperlink>
        </w:p>
        <w:p w14:paraId="1E4B335E" w14:textId="4D47292C" w:rsidR="00823437" w:rsidRDefault="00230229">
          <w:pPr>
            <w:pStyle w:val="TOC2"/>
            <w:tabs>
              <w:tab w:val="right" w:leader="dot" w:pos="9622"/>
            </w:tabs>
            <w:rPr>
              <w:rFonts w:asciiTheme="minorHAnsi" w:eastAsiaTheme="minorEastAsia" w:hAnsiTheme="minorHAnsi" w:cstheme="minorBidi"/>
              <w:noProof/>
              <w:color w:val="auto"/>
              <w:sz w:val="22"/>
              <w:lang w:val="en-AU" w:eastAsia="en-AU"/>
            </w:rPr>
          </w:pPr>
          <w:hyperlink w:anchor="_Toc83726123" w:history="1">
            <w:r w:rsidR="00823437" w:rsidRPr="00FB5F86">
              <w:rPr>
                <w:rStyle w:val="Hyperlink"/>
                <w:noProof/>
              </w:rPr>
              <w:t>Definition of the mental health workforce</w:t>
            </w:r>
            <w:r w:rsidR="00823437">
              <w:rPr>
                <w:noProof/>
                <w:webHidden/>
              </w:rPr>
              <w:tab/>
            </w:r>
            <w:r w:rsidR="00823437">
              <w:rPr>
                <w:noProof/>
                <w:webHidden/>
              </w:rPr>
              <w:fldChar w:fldCharType="begin"/>
            </w:r>
            <w:r w:rsidR="00823437">
              <w:rPr>
                <w:noProof/>
                <w:webHidden/>
              </w:rPr>
              <w:instrText xml:space="preserve"> PAGEREF _Toc83726123 \h </w:instrText>
            </w:r>
            <w:r w:rsidR="00823437">
              <w:rPr>
                <w:noProof/>
                <w:webHidden/>
              </w:rPr>
            </w:r>
            <w:r w:rsidR="00823437">
              <w:rPr>
                <w:noProof/>
                <w:webHidden/>
              </w:rPr>
              <w:fldChar w:fldCharType="separate"/>
            </w:r>
            <w:r w:rsidR="00823437">
              <w:rPr>
                <w:noProof/>
                <w:webHidden/>
              </w:rPr>
              <w:t>6</w:t>
            </w:r>
            <w:r w:rsidR="00823437">
              <w:rPr>
                <w:noProof/>
                <w:webHidden/>
              </w:rPr>
              <w:fldChar w:fldCharType="end"/>
            </w:r>
          </w:hyperlink>
        </w:p>
        <w:p w14:paraId="45FE6C0C" w14:textId="5C17C9EB"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24" w:history="1">
            <w:r w:rsidR="00823437" w:rsidRPr="00FB5F86">
              <w:rPr>
                <w:rStyle w:val="Hyperlink"/>
                <w:noProof/>
              </w:rPr>
              <w:t>Lived Experience</w:t>
            </w:r>
            <w:r w:rsidR="00823437">
              <w:rPr>
                <w:noProof/>
                <w:webHidden/>
              </w:rPr>
              <w:tab/>
            </w:r>
            <w:r w:rsidR="00823437">
              <w:rPr>
                <w:noProof/>
                <w:webHidden/>
              </w:rPr>
              <w:fldChar w:fldCharType="begin"/>
            </w:r>
            <w:r w:rsidR="00823437">
              <w:rPr>
                <w:noProof/>
                <w:webHidden/>
              </w:rPr>
              <w:instrText xml:space="preserve"> PAGEREF _Toc83726124 \h </w:instrText>
            </w:r>
            <w:r w:rsidR="00823437">
              <w:rPr>
                <w:noProof/>
                <w:webHidden/>
              </w:rPr>
            </w:r>
            <w:r w:rsidR="00823437">
              <w:rPr>
                <w:noProof/>
                <w:webHidden/>
              </w:rPr>
              <w:fldChar w:fldCharType="separate"/>
            </w:r>
            <w:r w:rsidR="00823437">
              <w:rPr>
                <w:noProof/>
                <w:webHidden/>
              </w:rPr>
              <w:t>7</w:t>
            </w:r>
            <w:r w:rsidR="00823437">
              <w:rPr>
                <w:noProof/>
                <w:webHidden/>
              </w:rPr>
              <w:fldChar w:fldCharType="end"/>
            </w:r>
          </w:hyperlink>
        </w:p>
        <w:p w14:paraId="4C83EC77" w14:textId="0A1DBEB2" w:rsidR="00823437" w:rsidRDefault="00230229">
          <w:pPr>
            <w:pStyle w:val="TOC2"/>
            <w:tabs>
              <w:tab w:val="right" w:leader="dot" w:pos="9622"/>
            </w:tabs>
            <w:rPr>
              <w:rFonts w:asciiTheme="minorHAnsi" w:eastAsiaTheme="minorEastAsia" w:hAnsiTheme="minorHAnsi" w:cstheme="minorBidi"/>
              <w:noProof/>
              <w:color w:val="auto"/>
              <w:sz w:val="22"/>
              <w:lang w:val="en-AU" w:eastAsia="en-AU"/>
            </w:rPr>
          </w:pPr>
          <w:hyperlink w:anchor="_Toc83726125" w:history="1">
            <w:r w:rsidR="00823437" w:rsidRPr="00FB5F86">
              <w:rPr>
                <w:rStyle w:val="Hyperlink"/>
                <w:noProof/>
              </w:rPr>
              <w:t>Aim</w:t>
            </w:r>
            <w:r w:rsidR="00823437">
              <w:rPr>
                <w:noProof/>
                <w:webHidden/>
              </w:rPr>
              <w:tab/>
            </w:r>
            <w:r w:rsidR="00823437">
              <w:rPr>
                <w:noProof/>
                <w:webHidden/>
              </w:rPr>
              <w:fldChar w:fldCharType="begin"/>
            </w:r>
            <w:r w:rsidR="00823437">
              <w:rPr>
                <w:noProof/>
                <w:webHidden/>
              </w:rPr>
              <w:instrText xml:space="preserve"> PAGEREF _Toc83726125 \h </w:instrText>
            </w:r>
            <w:r w:rsidR="00823437">
              <w:rPr>
                <w:noProof/>
                <w:webHidden/>
              </w:rPr>
            </w:r>
            <w:r w:rsidR="00823437">
              <w:rPr>
                <w:noProof/>
                <w:webHidden/>
              </w:rPr>
              <w:fldChar w:fldCharType="separate"/>
            </w:r>
            <w:r w:rsidR="00823437">
              <w:rPr>
                <w:noProof/>
                <w:webHidden/>
              </w:rPr>
              <w:t>7</w:t>
            </w:r>
            <w:r w:rsidR="00823437">
              <w:rPr>
                <w:noProof/>
                <w:webHidden/>
              </w:rPr>
              <w:fldChar w:fldCharType="end"/>
            </w:r>
          </w:hyperlink>
        </w:p>
        <w:p w14:paraId="7C135E7A" w14:textId="5D8445DA" w:rsidR="00823437" w:rsidRDefault="00230229">
          <w:pPr>
            <w:pStyle w:val="TOC2"/>
            <w:tabs>
              <w:tab w:val="right" w:leader="dot" w:pos="9622"/>
            </w:tabs>
            <w:rPr>
              <w:rFonts w:asciiTheme="minorHAnsi" w:eastAsiaTheme="minorEastAsia" w:hAnsiTheme="minorHAnsi" w:cstheme="minorBidi"/>
              <w:noProof/>
              <w:color w:val="auto"/>
              <w:sz w:val="22"/>
              <w:lang w:val="en-AU" w:eastAsia="en-AU"/>
            </w:rPr>
          </w:pPr>
          <w:hyperlink w:anchor="_Toc83726126" w:history="1">
            <w:r w:rsidR="00823437" w:rsidRPr="00FB5F86">
              <w:rPr>
                <w:rStyle w:val="Hyperlink"/>
                <w:noProof/>
              </w:rPr>
              <w:t>Objectives and priority areas for action</w:t>
            </w:r>
            <w:r w:rsidR="00823437">
              <w:rPr>
                <w:noProof/>
                <w:webHidden/>
              </w:rPr>
              <w:tab/>
            </w:r>
            <w:r w:rsidR="00823437">
              <w:rPr>
                <w:noProof/>
                <w:webHidden/>
              </w:rPr>
              <w:fldChar w:fldCharType="begin"/>
            </w:r>
            <w:r w:rsidR="00823437">
              <w:rPr>
                <w:noProof/>
                <w:webHidden/>
              </w:rPr>
              <w:instrText xml:space="preserve"> PAGEREF _Toc83726126 \h </w:instrText>
            </w:r>
            <w:r w:rsidR="00823437">
              <w:rPr>
                <w:noProof/>
                <w:webHidden/>
              </w:rPr>
            </w:r>
            <w:r w:rsidR="00823437">
              <w:rPr>
                <w:noProof/>
                <w:webHidden/>
              </w:rPr>
              <w:fldChar w:fldCharType="separate"/>
            </w:r>
            <w:r w:rsidR="00823437">
              <w:rPr>
                <w:noProof/>
                <w:webHidden/>
              </w:rPr>
              <w:t>8</w:t>
            </w:r>
            <w:r w:rsidR="00823437">
              <w:rPr>
                <w:noProof/>
                <w:webHidden/>
              </w:rPr>
              <w:fldChar w:fldCharType="end"/>
            </w:r>
          </w:hyperlink>
        </w:p>
        <w:p w14:paraId="0E1C78F1" w14:textId="40F47703"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27" w:history="1">
            <w:r w:rsidR="00823437" w:rsidRPr="00FB5F86">
              <w:rPr>
                <w:rStyle w:val="Hyperlink"/>
                <w:noProof/>
              </w:rPr>
              <w:t>Temporal planning</w:t>
            </w:r>
            <w:r w:rsidR="00823437">
              <w:rPr>
                <w:noProof/>
                <w:webHidden/>
              </w:rPr>
              <w:tab/>
            </w:r>
            <w:r w:rsidR="00823437">
              <w:rPr>
                <w:noProof/>
                <w:webHidden/>
              </w:rPr>
              <w:fldChar w:fldCharType="begin"/>
            </w:r>
            <w:r w:rsidR="00823437">
              <w:rPr>
                <w:noProof/>
                <w:webHidden/>
              </w:rPr>
              <w:instrText xml:space="preserve"> PAGEREF _Toc83726127 \h </w:instrText>
            </w:r>
            <w:r w:rsidR="00823437">
              <w:rPr>
                <w:noProof/>
                <w:webHidden/>
              </w:rPr>
            </w:r>
            <w:r w:rsidR="00823437">
              <w:rPr>
                <w:noProof/>
                <w:webHidden/>
              </w:rPr>
              <w:fldChar w:fldCharType="separate"/>
            </w:r>
            <w:r w:rsidR="00823437">
              <w:rPr>
                <w:noProof/>
                <w:webHidden/>
              </w:rPr>
              <w:t>8</w:t>
            </w:r>
            <w:r w:rsidR="00823437">
              <w:rPr>
                <w:noProof/>
                <w:webHidden/>
              </w:rPr>
              <w:fldChar w:fldCharType="end"/>
            </w:r>
          </w:hyperlink>
        </w:p>
        <w:p w14:paraId="75586A86" w14:textId="4815EA7E"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28" w:history="1">
            <w:r w:rsidR="00823437" w:rsidRPr="00FB5F86">
              <w:rPr>
                <w:rStyle w:val="Hyperlink"/>
                <w:noProof/>
                <w:lang w:val="en-AU"/>
              </w:rPr>
              <w:t>Section 2: Careers in mental health are, and are recognised as, attractive</w:t>
            </w:r>
            <w:r w:rsidR="00823437">
              <w:rPr>
                <w:noProof/>
                <w:webHidden/>
              </w:rPr>
              <w:tab/>
            </w:r>
            <w:r w:rsidR="00823437">
              <w:rPr>
                <w:noProof/>
                <w:webHidden/>
              </w:rPr>
              <w:fldChar w:fldCharType="begin"/>
            </w:r>
            <w:r w:rsidR="00823437">
              <w:rPr>
                <w:noProof/>
                <w:webHidden/>
              </w:rPr>
              <w:instrText xml:space="preserve"> PAGEREF _Toc83726128 \h </w:instrText>
            </w:r>
            <w:r w:rsidR="00823437">
              <w:rPr>
                <w:noProof/>
                <w:webHidden/>
              </w:rPr>
            </w:r>
            <w:r w:rsidR="00823437">
              <w:rPr>
                <w:noProof/>
                <w:webHidden/>
              </w:rPr>
              <w:fldChar w:fldCharType="separate"/>
            </w:r>
            <w:r w:rsidR="00823437">
              <w:rPr>
                <w:noProof/>
                <w:webHidden/>
              </w:rPr>
              <w:t>8</w:t>
            </w:r>
            <w:r w:rsidR="00823437">
              <w:rPr>
                <w:noProof/>
                <w:webHidden/>
              </w:rPr>
              <w:fldChar w:fldCharType="end"/>
            </w:r>
          </w:hyperlink>
        </w:p>
        <w:p w14:paraId="5BFB80A0" w14:textId="34B2CC7D"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29" w:history="1">
            <w:r w:rsidR="00823437" w:rsidRPr="00FB5F86">
              <w:rPr>
                <w:rStyle w:val="Hyperlink"/>
                <w:noProof/>
                <w:lang w:val="en-AU"/>
              </w:rPr>
              <w:t>Stigma and discrimination</w:t>
            </w:r>
            <w:r w:rsidR="00823437">
              <w:rPr>
                <w:noProof/>
                <w:webHidden/>
              </w:rPr>
              <w:tab/>
            </w:r>
            <w:r w:rsidR="00823437">
              <w:rPr>
                <w:noProof/>
                <w:webHidden/>
              </w:rPr>
              <w:fldChar w:fldCharType="begin"/>
            </w:r>
            <w:r w:rsidR="00823437">
              <w:rPr>
                <w:noProof/>
                <w:webHidden/>
              </w:rPr>
              <w:instrText xml:space="preserve"> PAGEREF _Toc83726129 \h </w:instrText>
            </w:r>
            <w:r w:rsidR="00823437">
              <w:rPr>
                <w:noProof/>
                <w:webHidden/>
              </w:rPr>
            </w:r>
            <w:r w:rsidR="00823437">
              <w:rPr>
                <w:noProof/>
                <w:webHidden/>
              </w:rPr>
              <w:fldChar w:fldCharType="separate"/>
            </w:r>
            <w:r w:rsidR="00823437">
              <w:rPr>
                <w:noProof/>
                <w:webHidden/>
              </w:rPr>
              <w:t>8</w:t>
            </w:r>
            <w:r w:rsidR="00823437">
              <w:rPr>
                <w:noProof/>
                <w:webHidden/>
              </w:rPr>
              <w:fldChar w:fldCharType="end"/>
            </w:r>
          </w:hyperlink>
        </w:p>
        <w:p w14:paraId="5A827455" w14:textId="1200E3DD"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30" w:history="1">
            <w:r w:rsidR="00823437" w:rsidRPr="00FB5F86">
              <w:rPr>
                <w:rStyle w:val="Hyperlink"/>
                <w:noProof/>
                <w:lang w:val="en-AU"/>
              </w:rPr>
              <w:t>Section 3: Data underpins workforce planning</w:t>
            </w:r>
            <w:r w:rsidR="00823437">
              <w:rPr>
                <w:noProof/>
                <w:webHidden/>
              </w:rPr>
              <w:tab/>
            </w:r>
            <w:r w:rsidR="00823437">
              <w:rPr>
                <w:noProof/>
                <w:webHidden/>
              </w:rPr>
              <w:fldChar w:fldCharType="begin"/>
            </w:r>
            <w:r w:rsidR="00823437">
              <w:rPr>
                <w:noProof/>
                <w:webHidden/>
              </w:rPr>
              <w:instrText xml:space="preserve"> PAGEREF _Toc83726130 \h </w:instrText>
            </w:r>
            <w:r w:rsidR="00823437">
              <w:rPr>
                <w:noProof/>
                <w:webHidden/>
              </w:rPr>
            </w:r>
            <w:r w:rsidR="00823437">
              <w:rPr>
                <w:noProof/>
                <w:webHidden/>
              </w:rPr>
              <w:fldChar w:fldCharType="separate"/>
            </w:r>
            <w:r w:rsidR="00823437">
              <w:rPr>
                <w:noProof/>
                <w:webHidden/>
              </w:rPr>
              <w:t>9</w:t>
            </w:r>
            <w:r w:rsidR="00823437">
              <w:rPr>
                <w:noProof/>
                <w:webHidden/>
              </w:rPr>
              <w:fldChar w:fldCharType="end"/>
            </w:r>
          </w:hyperlink>
        </w:p>
        <w:p w14:paraId="59B5C488" w14:textId="716078A9"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31" w:history="1">
            <w:r w:rsidR="00823437" w:rsidRPr="00FB5F86">
              <w:rPr>
                <w:rStyle w:val="Hyperlink"/>
                <w:noProof/>
                <w:lang w:val="en-AU"/>
              </w:rPr>
              <w:t>Section 4: The entire mental health workforce is utilised</w:t>
            </w:r>
            <w:r w:rsidR="00823437">
              <w:rPr>
                <w:noProof/>
                <w:webHidden/>
              </w:rPr>
              <w:tab/>
            </w:r>
            <w:r w:rsidR="00823437">
              <w:rPr>
                <w:noProof/>
                <w:webHidden/>
              </w:rPr>
              <w:fldChar w:fldCharType="begin"/>
            </w:r>
            <w:r w:rsidR="00823437">
              <w:rPr>
                <w:noProof/>
                <w:webHidden/>
              </w:rPr>
              <w:instrText xml:space="preserve"> PAGEREF _Toc83726131 \h </w:instrText>
            </w:r>
            <w:r w:rsidR="00823437">
              <w:rPr>
                <w:noProof/>
                <w:webHidden/>
              </w:rPr>
            </w:r>
            <w:r w:rsidR="00823437">
              <w:rPr>
                <w:noProof/>
                <w:webHidden/>
              </w:rPr>
              <w:fldChar w:fldCharType="separate"/>
            </w:r>
            <w:r w:rsidR="00823437">
              <w:rPr>
                <w:noProof/>
                <w:webHidden/>
              </w:rPr>
              <w:t>9</w:t>
            </w:r>
            <w:r w:rsidR="00823437">
              <w:rPr>
                <w:noProof/>
                <w:webHidden/>
              </w:rPr>
              <w:fldChar w:fldCharType="end"/>
            </w:r>
          </w:hyperlink>
        </w:p>
        <w:p w14:paraId="2D418593" w14:textId="02DB9A8F" w:rsidR="00823437" w:rsidRDefault="00230229">
          <w:pPr>
            <w:pStyle w:val="TOC2"/>
            <w:tabs>
              <w:tab w:val="right" w:leader="dot" w:pos="9622"/>
            </w:tabs>
            <w:rPr>
              <w:rFonts w:asciiTheme="minorHAnsi" w:eastAsiaTheme="minorEastAsia" w:hAnsiTheme="minorHAnsi" w:cstheme="minorBidi"/>
              <w:noProof/>
              <w:color w:val="auto"/>
              <w:sz w:val="22"/>
              <w:lang w:val="en-AU" w:eastAsia="en-AU"/>
            </w:rPr>
          </w:pPr>
          <w:hyperlink w:anchor="_Toc83726132" w:history="1">
            <w:r w:rsidR="00823437" w:rsidRPr="00FB5F86">
              <w:rPr>
                <w:rStyle w:val="Hyperlink"/>
                <w:noProof/>
              </w:rPr>
              <w:t>Working to top of scope</w:t>
            </w:r>
            <w:r w:rsidR="00823437">
              <w:rPr>
                <w:noProof/>
                <w:webHidden/>
              </w:rPr>
              <w:tab/>
            </w:r>
            <w:r w:rsidR="00823437">
              <w:rPr>
                <w:noProof/>
                <w:webHidden/>
              </w:rPr>
              <w:fldChar w:fldCharType="begin"/>
            </w:r>
            <w:r w:rsidR="00823437">
              <w:rPr>
                <w:noProof/>
                <w:webHidden/>
              </w:rPr>
              <w:instrText xml:space="preserve"> PAGEREF _Toc83726132 \h </w:instrText>
            </w:r>
            <w:r w:rsidR="00823437">
              <w:rPr>
                <w:noProof/>
                <w:webHidden/>
              </w:rPr>
            </w:r>
            <w:r w:rsidR="00823437">
              <w:rPr>
                <w:noProof/>
                <w:webHidden/>
              </w:rPr>
              <w:fldChar w:fldCharType="separate"/>
            </w:r>
            <w:r w:rsidR="00823437">
              <w:rPr>
                <w:noProof/>
                <w:webHidden/>
              </w:rPr>
              <w:t>9</w:t>
            </w:r>
            <w:r w:rsidR="00823437">
              <w:rPr>
                <w:noProof/>
                <w:webHidden/>
              </w:rPr>
              <w:fldChar w:fldCharType="end"/>
            </w:r>
          </w:hyperlink>
        </w:p>
        <w:p w14:paraId="45AE2F05" w14:textId="681C80FD" w:rsidR="00823437" w:rsidRDefault="00230229">
          <w:pPr>
            <w:pStyle w:val="TOC2"/>
            <w:tabs>
              <w:tab w:val="right" w:leader="dot" w:pos="9622"/>
            </w:tabs>
            <w:rPr>
              <w:rFonts w:asciiTheme="minorHAnsi" w:eastAsiaTheme="minorEastAsia" w:hAnsiTheme="minorHAnsi" w:cstheme="minorBidi"/>
              <w:noProof/>
              <w:color w:val="auto"/>
              <w:sz w:val="22"/>
              <w:lang w:val="en-AU" w:eastAsia="en-AU"/>
            </w:rPr>
          </w:pPr>
          <w:hyperlink w:anchor="_Toc83726133" w:history="1">
            <w:r w:rsidR="00823437" w:rsidRPr="00FB5F86">
              <w:rPr>
                <w:rStyle w:val="Hyperlink"/>
                <w:noProof/>
              </w:rPr>
              <w:t>Roles and responsibilities</w:t>
            </w:r>
            <w:r w:rsidR="00823437">
              <w:rPr>
                <w:noProof/>
                <w:webHidden/>
              </w:rPr>
              <w:tab/>
            </w:r>
            <w:r w:rsidR="00823437">
              <w:rPr>
                <w:noProof/>
                <w:webHidden/>
              </w:rPr>
              <w:fldChar w:fldCharType="begin"/>
            </w:r>
            <w:r w:rsidR="00823437">
              <w:rPr>
                <w:noProof/>
                <w:webHidden/>
              </w:rPr>
              <w:instrText xml:space="preserve"> PAGEREF _Toc83726133 \h </w:instrText>
            </w:r>
            <w:r w:rsidR="00823437">
              <w:rPr>
                <w:noProof/>
                <w:webHidden/>
              </w:rPr>
            </w:r>
            <w:r w:rsidR="00823437">
              <w:rPr>
                <w:noProof/>
                <w:webHidden/>
              </w:rPr>
              <w:fldChar w:fldCharType="separate"/>
            </w:r>
            <w:r w:rsidR="00823437">
              <w:rPr>
                <w:noProof/>
                <w:webHidden/>
              </w:rPr>
              <w:t>10</w:t>
            </w:r>
            <w:r w:rsidR="00823437">
              <w:rPr>
                <w:noProof/>
                <w:webHidden/>
              </w:rPr>
              <w:fldChar w:fldCharType="end"/>
            </w:r>
          </w:hyperlink>
        </w:p>
        <w:p w14:paraId="464EABC2" w14:textId="42969DA3"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34" w:history="1">
            <w:r w:rsidR="00823437" w:rsidRPr="00FB5F86">
              <w:rPr>
                <w:rStyle w:val="Hyperlink"/>
                <w:noProof/>
              </w:rPr>
              <w:t>Skills and competencies</w:t>
            </w:r>
            <w:r w:rsidR="00823437">
              <w:rPr>
                <w:noProof/>
                <w:webHidden/>
              </w:rPr>
              <w:tab/>
            </w:r>
            <w:r w:rsidR="00823437">
              <w:rPr>
                <w:noProof/>
                <w:webHidden/>
              </w:rPr>
              <w:fldChar w:fldCharType="begin"/>
            </w:r>
            <w:r w:rsidR="00823437">
              <w:rPr>
                <w:noProof/>
                <w:webHidden/>
              </w:rPr>
              <w:instrText xml:space="preserve"> PAGEREF _Toc83726134 \h </w:instrText>
            </w:r>
            <w:r w:rsidR="00823437">
              <w:rPr>
                <w:noProof/>
                <w:webHidden/>
              </w:rPr>
            </w:r>
            <w:r w:rsidR="00823437">
              <w:rPr>
                <w:noProof/>
                <w:webHidden/>
              </w:rPr>
              <w:fldChar w:fldCharType="separate"/>
            </w:r>
            <w:r w:rsidR="00823437">
              <w:rPr>
                <w:noProof/>
                <w:webHidden/>
              </w:rPr>
              <w:t>10</w:t>
            </w:r>
            <w:r w:rsidR="00823437">
              <w:rPr>
                <w:noProof/>
                <w:webHidden/>
              </w:rPr>
              <w:fldChar w:fldCharType="end"/>
            </w:r>
          </w:hyperlink>
        </w:p>
        <w:p w14:paraId="531FFC41" w14:textId="15D3E12C"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35" w:history="1">
            <w:r w:rsidR="00823437" w:rsidRPr="00FB5F86">
              <w:rPr>
                <w:rStyle w:val="Hyperlink"/>
                <w:noProof/>
              </w:rPr>
              <w:t>Generalism</w:t>
            </w:r>
            <w:r w:rsidR="00823437">
              <w:rPr>
                <w:noProof/>
                <w:webHidden/>
              </w:rPr>
              <w:tab/>
            </w:r>
            <w:r w:rsidR="00823437">
              <w:rPr>
                <w:noProof/>
                <w:webHidden/>
              </w:rPr>
              <w:fldChar w:fldCharType="begin"/>
            </w:r>
            <w:r w:rsidR="00823437">
              <w:rPr>
                <w:noProof/>
                <w:webHidden/>
              </w:rPr>
              <w:instrText xml:space="preserve"> PAGEREF _Toc83726135 \h </w:instrText>
            </w:r>
            <w:r w:rsidR="00823437">
              <w:rPr>
                <w:noProof/>
                <w:webHidden/>
              </w:rPr>
            </w:r>
            <w:r w:rsidR="00823437">
              <w:rPr>
                <w:noProof/>
                <w:webHidden/>
              </w:rPr>
              <w:fldChar w:fldCharType="separate"/>
            </w:r>
            <w:r w:rsidR="00823437">
              <w:rPr>
                <w:noProof/>
                <w:webHidden/>
              </w:rPr>
              <w:t>10</w:t>
            </w:r>
            <w:r w:rsidR="00823437">
              <w:rPr>
                <w:noProof/>
                <w:webHidden/>
              </w:rPr>
              <w:fldChar w:fldCharType="end"/>
            </w:r>
          </w:hyperlink>
        </w:p>
        <w:p w14:paraId="0D1D2E18" w14:textId="254779A3"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36" w:history="1">
            <w:r w:rsidR="00823437" w:rsidRPr="00FB5F86">
              <w:rPr>
                <w:rStyle w:val="Hyperlink"/>
                <w:noProof/>
                <w:lang w:val="en-AU"/>
              </w:rPr>
              <w:t>Section 5: The mental health workforce is appropriately skilled</w:t>
            </w:r>
            <w:r w:rsidR="00823437">
              <w:rPr>
                <w:noProof/>
                <w:webHidden/>
              </w:rPr>
              <w:tab/>
            </w:r>
            <w:r w:rsidR="00823437">
              <w:rPr>
                <w:noProof/>
                <w:webHidden/>
              </w:rPr>
              <w:fldChar w:fldCharType="begin"/>
            </w:r>
            <w:r w:rsidR="00823437">
              <w:rPr>
                <w:noProof/>
                <w:webHidden/>
              </w:rPr>
              <w:instrText xml:space="preserve"> PAGEREF _Toc83726136 \h </w:instrText>
            </w:r>
            <w:r w:rsidR="00823437">
              <w:rPr>
                <w:noProof/>
                <w:webHidden/>
              </w:rPr>
            </w:r>
            <w:r w:rsidR="00823437">
              <w:rPr>
                <w:noProof/>
                <w:webHidden/>
              </w:rPr>
              <w:fldChar w:fldCharType="separate"/>
            </w:r>
            <w:r w:rsidR="00823437">
              <w:rPr>
                <w:noProof/>
                <w:webHidden/>
              </w:rPr>
              <w:t>11</w:t>
            </w:r>
            <w:r w:rsidR="00823437">
              <w:rPr>
                <w:noProof/>
                <w:webHidden/>
              </w:rPr>
              <w:fldChar w:fldCharType="end"/>
            </w:r>
          </w:hyperlink>
        </w:p>
        <w:p w14:paraId="337E1873" w14:textId="22F8D63E"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37" w:history="1">
            <w:r w:rsidR="00823437" w:rsidRPr="00FB5F86">
              <w:rPr>
                <w:rStyle w:val="Hyperlink"/>
                <w:noProof/>
                <w:lang w:val="en-AU"/>
              </w:rPr>
              <w:t>Section 6: The mental health workforce is retained in the sector</w:t>
            </w:r>
            <w:r w:rsidR="00823437">
              <w:rPr>
                <w:noProof/>
                <w:webHidden/>
              </w:rPr>
              <w:tab/>
            </w:r>
            <w:r w:rsidR="00823437">
              <w:rPr>
                <w:noProof/>
                <w:webHidden/>
              </w:rPr>
              <w:fldChar w:fldCharType="begin"/>
            </w:r>
            <w:r w:rsidR="00823437">
              <w:rPr>
                <w:noProof/>
                <w:webHidden/>
              </w:rPr>
              <w:instrText xml:space="preserve"> PAGEREF _Toc83726137 \h </w:instrText>
            </w:r>
            <w:r w:rsidR="00823437">
              <w:rPr>
                <w:noProof/>
                <w:webHidden/>
              </w:rPr>
            </w:r>
            <w:r w:rsidR="00823437">
              <w:rPr>
                <w:noProof/>
                <w:webHidden/>
              </w:rPr>
              <w:fldChar w:fldCharType="separate"/>
            </w:r>
            <w:r w:rsidR="00823437">
              <w:rPr>
                <w:noProof/>
                <w:webHidden/>
              </w:rPr>
              <w:t>11</w:t>
            </w:r>
            <w:r w:rsidR="00823437">
              <w:rPr>
                <w:noProof/>
                <w:webHidden/>
              </w:rPr>
              <w:fldChar w:fldCharType="end"/>
            </w:r>
          </w:hyperlink>
        </w:p>
        <w:p w14:paraId="077CC36E" w14:textId="3A2FA789"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38" w:history="1">
            <w:r w:rsidR="00823437" w:rsidRPr="00FB5F86">
              <w:rPr>
                <w:rStyle w:val="Hyperlink"/>
                <w:noProof/>
              </w:rPr>
              <w:t>Culture</w:t>
            </w:r>
            <w:r w:rsidR="00823437">
              <w:rPr>
                <w:noProof/>
                <w:webHidden/>
              </w:rPr>
              <w:tab/>
            </w:r>
            <w:r w:rsidR="00823437">
              <w:rPr>
                <w:noProof/>
                <w:webHidden/>
              </w:rPr>
              <w:fldChar w:fldCharType="begin"/>
            </w:r>
            <w:r w:rsidR="00823437">
              <w:rPr>
                <w:noProof/>
                <w:webHidden/>
              </w:rPr>
              <w:instrText xml:space="preserve"> PAGEREF _Toc83726138 \h </w:instrText>
            </w:r>
            <w:r w:rsidR="00823437">
              <w:rPr>
                <w:noProof/>
                <w:webHidden/>
              </w:rPr>
            </w:r>
            <w:r w:rsidR="00823437">
              <w:rPr>
                <w:noProof/>
                <w:webHidden/>
              </w:rPr>
              <w:fldChar w:fldCharType="separate"/>
            </w:r>
            <w:r w:rsidR="00823437">
              <w:rPr>
                <w:noProof/>
                <w:webHidden/>
              </w:rPr>
              <w:t>12</w:t>
            </w:r>
            <w:r w:rsidR="00823437">
              <w:rPr>
                <w:noProof/>
                <w:webHidden/>
              </w:rPr>
              <w:fldChar w:fldCharType="end"/>
            </w:r>
          </w:hyperlink>
        </w:p>
        <w:p w14:paraId="586209A8" w14:textId="6F958331"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39" w:history="1">
            <w:r w:rsidR="00823437" w:rsidRPr="00FB5F86">
              <w:rPr>
                <w:rStyle w:val="Hyperlink"/>
                <w:noProof/>
                <w:lang w:val="en-AU"/>
              </w:rPr>
              <w:t>Section 7: The mental health workforce is distributed to deliver support and treatment when and where consumers need it</w:t>
            </w:r>
            <w:r w:rsidR="00823437">
              <w:rPr>
                <w:noProof/>
                <w:webHidden/>
              </w:rPr>
              <w:tab/>
            </w:r>
            <w:r w:rsidR="00823437">
              <w:rPr>
                <w:noProof/>
                <w:webHidden/>
              </w:rPr>
              <w:fldChar w:fldCharType="begin"/>
            </w:r>
            <w:r w:rsidR="00823437">
              <w:rPr>
                <w:noProof/>
                <w:webHidden/>
              </w:rPr>
              <w:instrText xml:space="preserve"> PAGEREF _Toc83726139 \h </w:instrText>
            </w:r>
            <w:r w:rsidR="00823437">
              <w:rPr>
                <w:noProof/>
                <w:webHidden/>
              </w:rPr>
            </w:r>
            <w:r w:rsidR="00823437">
              <w:rPr>
                <w:noProof/>
                <w:webHidden/>
              </w:rPr>
              <w:fldChar w:fldCharType="separate"/>
            </w:r>
            <w:r w:rsidR="00823437">
              <w:rPr>
                <w:noProof/>
                <w:webHidden/>
              </w:rPr>
              <w:t>12</w:t>
            </w:r>
            <w:r w:rsidR="00823437">
              <w:rPr>
                <w:noProof/>
                <w:webHidden/>
              </w:rPr>
              <w:fldChar w:fldCharType="end"/>
            </w:r>
          </w:hyperlink>
        </w:p>
        <w:p w14:paraId="441962CC" w14:textId="555FC1B6" w:rsidR="00823437" w:rsidRDefault="00230229">
          <w:pPr>
            <w:pStyle w:val="TOC2"/>
            <w:tabs>
              <w:tab w:val="right" w:leader="dot" w:pos="9622"/>
            </w:tabs>
            <w:rPr>
              <w:rFonts w:asciiTheme="minorHAnsi" w:eastAsiaTheme="minorEastAsia" w:hAnsiTheme="minorHAnsi" w:cstheme="minorBidi"/>
              <w:noProof/>
              <w:color w:val="auto"/>
              <w:sz w:val="22"/>
              <w:lang w:val="en-AU" w:eastAsia="en-AU"/>
            </w:rPr>
          </w:pPr>
          <w:hyperlink w:anchor="_Toc83726140" w:history="1">
            <w:r w:rsidR="00823437" w:rsidRPr="00FB5F86">
              <w:rPr>
                <w:rStyle w:val="Hyperlink"/>
                <w:noProof/>
              </w:rPr>
              <w:t>Maldistribution</w:t>
            </w:r>
            <w:r w:rsidR="00823437">
              <w:rPr>
                <w:noProof/>
                <w:webHidden/>
              </w:rPr>
              <w:tab/>
            </w:r>
            <w:r w:rsidR="00823437">
              <w:rPr>
                <w:noProof/>
                <w:webHidden/>
              </w:rPr>
              <w:fldChar w:fldCharType="begin"/>
            </w:r>
            <w:r w:rsidR="00823437">
              <w:rPr>
                <w:noProof/>
                <w:webHidden/>
              </w:rPr>
              <w:instrText xml:space="preserve"> PAGEREF _Toc83726140 \h </w:instrText>
            </w:r>
            <w:r w:rsidR="00823437">
              <w:rPr>
                <w:noProof/>
                <w:webHidden/>
              </w:rPr>
            </w:r>
            <w:r w:rsidR="00823437">
              <w:rPr>
                <w:noProof/>
                <w:webHidden/>
              </w:rPr>
              <w:fldChar w:fldCharType="separate"/>
            </w:r>
            <w:r w:rsidR="00823437">
              <w:rPr>
                <w:noProof/>
                <w:webHidden/>
              </w:rPr>
              <w:t>12</w:t>
            </w:r>
            <w:r w:rsidR="00823437">
              <w:rPr>
                <w:noProof/>
                <w:webHidden/>
              </w:rPr>
              <w:fldChar w:fldCharType="end"/>
            </w:r>
          </w:hyperlink>
        </w:p>
        <w:p w14:paraId="1CF0141D" w14:textId="148B1424"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41" w:history="1">
            <w:r w:rsidR="00823437" w:rsidRPr="00FB5F86">
              <w:rPr>
                <w:rStyle w:val="Hyperlink"/>
                <w:noProof/>
                <w:lang w:val="en-AU"/>
              </w:rPr>
              <w:t>Section 8: Implementation of the Strategy</w:t>
            </w:r>
            <w:r w:rsidR="00823437">
              <w:rPr>
                <w:noProof/>
                <w:webHidden/>
              </w:rPr>
              <w:tab/>
            </w:r>
            <w:r w:rsidR="00823437">
              <w:rPr>
                <w:noProof/>
                <w:webHidden/>
              </w:rPr>
              <w:fldChar w:fldCharType="begin"/>
            </w:r>
            <w:r w:rsidR="00823437">
              <w:rPr>
                <w:noProof/>
                <w:webHidden/>
              </w:rPr>
              <w:instrText xml:space="preserve"> PAGEREF _Toc83726141 \h </w:instrText>
            </w:r>
            <w:r w:rsidR="00823437">
              <w:rPr>
                <w:noProof/>
                <w:webHidden/>
              </w:rPr>
            </w:r>
            <w:r w:rsidR="00823437">
              <w:rPr>
                <w:noProof/>
                <w:webHidden/>
              </w:rPr>
              <w:fldChar w:fldCharType="separate"/>
            </w:r>
            <w:r w:rsidR="00823437">
              <w:rPr>
                <w:noProof/>
                <w:webHidden/>
              </w:rPr>
              <w:t>13</w:t>
            </w:r>
            <w:r w:rsidR="00823437">
              <w:rPr>
                <w:noProof/>
                <w:webHidden/>
              </w:rPr>
              <w:fldChar w:fldCharType="end"/>
            </w:r>
          </w:hyperlink>
        </w:p>
        <w:p w14:paraId="41405482" w14:textId="5EFB55E1"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42" w:history="1">
            <w:r w:rsidR="00823437" w:rsidRPr="00FB5F86">
              <w:rPr>
                <w:rStyle w:val="Hyperlink"/>
                <w:noProof/>
              </w:rPr>
              <w:t>The rural and remote mental health workforce</w:t>
            </w:r>
            <w:r w:rsidR="00823437">
              <w:rPr>
                <w:noProof/>
                <w:webHidden/>
              </w:rPr>
              <w:tab/>
            </w:r>
            <w:r w:rsidR="00823437">
              <w:rPr>
                <w:noProof/>
                <w:webHidden/>
              </w:rPr>
              <w:fldChar w:fldCharType="begin"/>
            </w:r>
            <w:r w:rsidR="00823437">
              <w:rPr>
                <w:noProof/>
                <w:webHidden/>
              </w:rPr>
              <w:instrText xml:space="preserve"> PAGEREF _Toc83726142 \h </w:instrText>
            </w:r>
            <w:r w:rsidR="00823437">
              <w:rPr>
                <w:noProof/>
                <w:webHidden/>
              </w:rPr>
            </w:r>
            <w:r w:rsidR="00823437">
              <w:rPr>
                <w:noProof/>
                <w:webHidden/>
              </w:rPr>
              <w:fldChar w:fldCharType="separate"/>
            </w:r>
            <w:r w:rsidR="00823437">
              <w:rPr>
                <w:noProof/>
                <w:webHidden/>
              </w:rPr>
              <w:t>14</w:t>
            </w:r>
            <w:r w:rsidR="00823437">
              <w:rPr>
                <w:noProof/>
                <w:webHidden/>
              </w:rPr>
              <w:fldChar w:fldCharType="end"/>
            </w:r>
          </w:hyperlink>
        </w:p>
        <w:p w14:paraId="5BF6CD00" w14:textId="1B24EFE7" w:rsidR="00823437" w:rsidRDefault="00230229">
          <w:pPr>
            <w:pStyle w:val="TOC3"/>
            <w:tabs>
              <w:tab w:val="right" w:leader="dot" w:pos="9622"/>
            </w:tabs>
            <w:rPr>
              <w:rFonts w:asciiTheme="minorHAnsi" w:eastAsiaTheme="minorEastAsia" w:hAnsiTheme="minorHAnsi" w:cstheme="minorBidi"/>
              <w:noProof/>
              <w:color w:val="auto"/>
              <w:sz w:val="22"/>
              <w:lang w:val="en-AU" w:eastAsia="en-AU"/>
            </w:rPr>
          </w:pPr>
          <w:hyperlink w:anchor="_Toc83726143" w:history="1">
            <w:r w:rsidR="00823437" w:rsidRPr="00FB5F86">
              <w:rPr>
                <w:rStyle w:val="Hyperlink"/>
                <w:noProof/>
              </w:rPr>
              <w:t>Vision 2030 consultation priorities for consideration</w:t>
            </w:r>
            <w:r w:rsidR="00823437">
              <w:rPr>
                <w:noProof/>
                <w:webHidden/>
              </w:rPr>
              <w:tab/>
            </w:r>
            <w:r w:rsidR="00823437">
              <w:rPr>
                <w:noProof/>
                <w:webHidden/>
              </w:rPr>
              <w:fldChar w:fldCharType="begin"/>
            </w:r>
            <w:r w:rsidR="00823437">
              <w:rPr>
                <w:noProof/>
                <w:webHidden/>
              </w:rPr>
              <w:instrText xml:space="preserve"> PAGEREF _Toc83726143 \h </w:instrText>
            </w:r>
            <w:r w:rsidR="00823437">
              <w:rPr>
                <w:noProof/>
                <w:webHidden/>
              </w:rPr>
            </w:r>
            <w:r w:rsidR="00823437">
              <w:rPr>
                <w:noProof/>
                <w:webHidden/>
              </w:rPr>
              <w:fldChar w:fldCharType="separate"/>
            </w:r>
            <w:r w:rsidR="00823437">
              <w:rPr>
                <w:noProof/>
                <w:webHidden/>
              </w:rPr>
              <w:t>14</w:t>
            </w:r>
            <w:r w:rsidR="00823437">
              <w:rPr>
                <w:noProof/>
                <w:webHidden/>
              </w:rPr>
              <w:fldChar w:fldCharType="end"/>
            </w:r>
          </w:hyperlink>
        </w:p>
        <w:p w14:paraId="262367AC" w14:textId="003FDDA7" w:rsidR="00823437" w:rsidRDefault="00230229">
          <w:pPr>
            <w:pStyle w:val="TOC1"/>
            <w:tabs>
              <w:tab w:val="right" w:leader="dot" w:pos="9622"/>
            </w:tabs>
            <w:rPr>
              <w:rFonts w:asciiTheme="minorHAnsi" w:eastAsiaTheme="minorEastAsia" w:hAnsiTheme="minorHAnsi" w:cstheme="minorBidi"/>
              <w:noProof/>
              <w:color w:val="auto"/>
              <w:sz w:val="22"/>
              <w:lang w:val="en-AU" w:eastAsia="en-AU"/>
            </w:rPr>
          </w:pPr>
          <w:hyperlink w:anchor="_Toc83726144" w:history="1">
            <w:r w:rsidR="00823437" w:rsidRPr="00FB5F86">
              <w:rPr>
                <w:rStyle w:val="Hyperlink"/>
                <w:noProof/>
              </w:rPr>
              <w:t>References</w:t>
            </w:r>
            <w:r w:rsidR="00823437">
              <w:rPr>
                <w:noProof/>
                <w:webHidden/>
              </w:rPr>
              <w:tab/>
            </w:r>
            <w:r w:rsidR="00823437">
              <w:rPr>
                <w:noProof/>
                <w:webHidden/>
              </w:rPr>
              <w:fldChar w:fldCharType="begin"/>
            </w:r>
            <w:r w:rsidR="00823437">
              <w:rPr>
                <w:noProof/>
                <w:webHidden/>
              </w:rPr>
              <w:instrText xml:space="preserve"> PAGEREF _Toc83726144 \h </w:instrText>
            </w:r>
            <w:r w:rsidR="00823437">
              <w:rPr>
                <w:noProof/>
                <w:webHidden/>
              </w:rPr>
            </w:r>
            <w:r w:rsidR="00823437">
              <w:rPr>
                <w:noProof/>
                <w:webHidden/>
              </w:rPr>
              <w:fldChar w:fldCharType="separate"/>
            </w:r>
            <w:r w:rsidR="00823437">
              <w:rPr>
                <w:noProof/>
                <w:webHidden/>
              </w:rPr>
              <w:t>15</w:t>
            </w:r>
            <w:r w:rsidR="00823437">
              <w:rPr>
                <w:noProof/>
                <w:webHidden/>
              </w:rPr>
              <w:fldChar w:fldCharType="end"/>
            </w:r>
          </w:hyperlink>
        </w:p>
        <w:p w14:paraId="13276526" w14:textId="374CEFD3" w:rsidR="00176F48" w:rsidRDefault="00176F48">
          <w:r>
            <w:rPr>
              <w:b/>
              <w:bCs/>
              <w:noProof/>
            </w:rPr>
            <w:fldChar w:fldCharType="end"/>
          </w:r>
        </w:p>
      </w:sdtContent>
    </w:sdt>
    <w:p w14:paraId="69601A79" w14:textId="77777777" w:rsidR="00591DCE" w:rsidRDefault="00591DCE">
      <w:pPr>
        <w:suppressAutoHyphens w:val="0"/>
        <w:autoSpaceDE/>
        <w:autoSpaceDN/>
        <w:adjustRightInd/>
        <w:spacing w:after="0" w:line="240" w:lineRule="auto"/>
        <w:textAlignment w:val="auto"/>
        <w:rPr>
          <w:rFonts w:ascii="Merriweather-Regular" w:hAnsi="Merriweather-Regular"/>
          <w:color w:val="F15A31"/>
          <w:sz w:val="26"/>
        </w:rPr>
      </w:pPr>
      <w:r>
        <w:br w:type="page"/>
      </w:r>
    </w:p>
    <w:p w14:paraId="26E49296" w14:textId="77777777" w:rsidR="009B5875" w:rsidRDefault="009B5875" w:rsidP="00E57A55">
      <w:pPr>
        <w:pStyle w:val="Heading1"/>
      </w:pPr>
      <w:bookmarkStart w:id="0" w:name="_Toc83726116"/>
      <w:r>
        <w:lastRenderedPageBreak/>
        <w:t>Introduction</w:t>
      </w:r>
      <w:bookmarkEnd w:id="0"/>
    </w:p>
    <w:p w14:paraId="29D85D49" w14:textId="77777777" w:rsidR="00A52552" w:rsidRDefault="00E966E2" w:rsidP="00F773C0">
      <w:r>
        <w:t xml:space="preserve">The </w:t>
      </w:r>
      <w:r w:rsidR="00130C4C">
        <w:t xml:space="preserve">National Mental Health Commission (the </w:t>
      </w:r>
      <w:r>
        <w:t>Commission</w:t>
      </w:r>
      <w:r w:rsidR="00130C4C">
        <w:t>)</w:t>
      </w:r>
      <w:r>
        <w:t xml:space="preserve"> welcomes the opportunity to provide a submission on the consultation draft of the National Mental Health Workforce Strategy 2021-2031 (the </w:t>
      </w:r>
      <w:r w:rsidR="000A01F0">
        <w:t>C</w:t>
      </w:r>
      <w:r w:rsidR="00C50CCC">
        <w:t>onsultation</w:t>
      </w:r>
      <w:r w:rsidR="000A01F0">
        <w:t xml:space="preserve"> Dr</w:t>
      </w:r>
      <w:r w:rsidR="00C50CCC">
        <w:t xml:space="preserve">aft). </w:t>
      </w:r>
      <w:r w:rsidR="00845BE5">
        <w:t xml:space="preserve">The Commission acknowledges the purpose of the </w:t>
      </w:r>
      <w:r w:rsidR="00FA3474">
        <w:t>National Mental Health Workforce Strategy 2021-2031 is to</w:t>
      </w:r>
      <w:r w:rsidR="000C25DF">
        <w:t xml:space="preserve"> </w:t>
      </w:r>
      <w:r w:rsidR="004F3BD1" w:rsidRPr="004F3BD1">
        <w:t xml:space="preserve">consider the quality, supply, </w:t>
      </w:r>
      <w:r w:rsidR="00FA3474" w:rsidRPr="004F3BD1">
        <w:t>distribution,</w:t>
      </w:r>
      <w:r w:rsidR="004F3BD1" w:rsidRPr="004F3BD1">
        <w:t xml:space="preserve"> and structure of the mental health workforce. It </w:t>
      </w:r>
      <w:r w:rsidR="00E32B80">
        <w:t>is also intended to</w:t>
      </w:r>
      <w:r w:rsidR="004F3BD1" w:rsidRPr="004F3BD1">
        <w:t xml:space="preserve"> identify practical approaches that could be implemented by Australian governments to attract, </w:t>
      </w:r>
      <w:r w:rsidR="00FA3474" w:rsidRPr="004F3BD1">
        <w:t>train,</w:t>
      </w:r>
      <w:r w:rsidR="004F3BD1" w:rsidRPr="004F3BD1">
        <w:t xml:space="preserve"> and retain the workforce required. </w:t>
      </w:r>
    </w:p>
    <w:p w14:paraId="6C7F765C" w14:textId="77777777" w:rsidR="00B62775" w:rsidRDefault="00E32B80" w:rsidP="00F773C0">
      <w:r>
        <w:t xml:space="preserve">Unfortunately, the Commission feels the </w:t>
      </w:r>
      <w:r w:rsidR="00D10C28">
        <w:t xml:space="preserve">Consultation Draft </w:t>
      </w:r>
      <w:r>
        <w:t xml:space="preserve">falls short of </w:t>
      </w:r>
      <w:r w:rsidR="00707788">
        <w:t xml:space="preserve">adequately </w:t>
      </w:r>
      <w:r>
        <w:t>a</w:t>
      </w:r>
      <w:r w:rsidR="00EF0F3B">
        <w:t xml:space="preserve">ddressing </w:t>
      </w:r>
      <w:r w:rsidR="00707788">
        <w:t>its</w:t>
      </w:r>
      <w:r>
        <w:t xml:space="preserve"> intended purpose. </w:t>
      </w:r>
      <w:r w:rsidR="00EA3DE1">
        <w:t xml:space="preserve">The </w:t>
      </w:r>
      <w:r w:rsidR="00164D59">
        <w:t xml:space="preserve">Consultation Draft </w:t>
      </w:r>
      <w:r w:rsidR="00EA3DE1">
        <w:t>focuses too heavily on the known challenges facing Australia’s mental health system and there is a</w:t>
      </w:r>
      <w:r w:rsidR="00B62775">
        <w:t xml:space="preserve"> fundamental gap in </w:t>
      </w:r>
      <w:r w:rsidR="00292758">
        <w:t>the provision of</w:t>
      </w:r>
      <w:r w:rsidR="009E5226">
        <w:t xml:space="preserve"> targeted strategies to address the </w:t>
      </w:r>
      <w:r w:rsidR="00EA3DE1">
        <w:t xml:space="preserve">underlying causes of these challenges. </w:t>
      </w:r>
      <w:r w:rsidR="00A854CE">
        <w:t>It is difficult to see how some of</w:t>
      </w:r>
      <w:r w:rsidR="00BC027C">
        <w:t xml:space="preserve"> the </w:t>
      </w:r>
      <w:r w:rsidR="00EA3DE1">
        <w:t xml:space="preserve">actions identified </w:t>
      </w:r>
      <w:r w:rsidR="00A854CE">
        <w:t xml:space="preserve">will </w:t>
      </w:r>
      <w:r w:rsidR="007E4D8A">
        <w:t>address the</w:t>
      </w:r>
      <w:r w:rsidR="00525BA1">
        <w:t xml:space="preserve">se underlying causes and </w:t>
      </w:r>
      <w:r w:rsidR="00BC027C">
        <w:t xml:space="preserve">barriers </w:t>
      </w:r>
      <w:r w:rsidR="00525BA1">
        <w:t>and support the achievement of</w:t>
      </w:r>
      <w:r w:rsidR="00BC027C">
        <w:t xml:space="preserve"> the identified priority areas. </w:t>
      </w:r>
    </w:p>
    <w:p w14:paraId="70EC9424" w14:textId="37BC3D3E" w:rsidR="000C173D" w:rsidRDefault="003107E4" w:rsidP="00F773C0">
      <w:r>
        <w:t xml:space="preserve">The </w:t>
      </w:r>
      <w:r w:rsidR="00D10C28">
        <w:t>C</w:t>
      </w:r>
      <w:r>
        <w:t xml:space="preserve">onsultation </w:t>
      </w:r>
      <w:r w:rsidR="00D10C28">
        <w:t>D</w:t>
      </w:r>
      <w:r>
        <w:t xml:space="preserve">raft does not adequately </w:t>
      </w:r>
      <w:r w:rsidR="0080363F">
        <w:t>reflect the change</w:t>
      </w:r>
      <w:r w:rsidR="00DE5B04">
        <w:t>s</w:t>
      </w:r>
      <w:r w:rsidR="0080363F">
        <w:t xml:space="preserve"> or recommendations provided by key mental health publications, namely the </w:t>
      </w:r>
      <w:r w:rsidR="00E966E2">
        <w:t>Productivity</w:t>
      </w:r>
      <w:r w:rsidR="00DE5B04">
        <w:t xml:space="preserve"> Commission</w:t>
      </w:r>
      <w:r w:rsidR="0080363F">
        <w:t xml:space="preserve"> </w:t>
      </w:r>
      <w:r w:rsidR="00DE5B04">
        <w:t>i</w:t>
      </w:r>
      <w:r w:rsidR="0080363F">
        <w:t>nquiry</w:t>
      </w:r>
      <w:r w:rsidR="00DE5B04">
        <w:t xml:space="preserve"> into mental health</w:t>
      </w:r>
      <w:r w:rsidR="0080363F">
        <w:t xml:space="preserve"> final report, the Royal Commission</w:t>
      </w:r>
      <w:r w:rsidR="00DE5B04">
        <w:t xml:space="preserve"> into Victoria’s mental health system</w:t>
      </w:r>
      <w:r w:rsidR="0080363F">
        <w:t xml:space="preserve">, the </w:t>
      </w:r>
      <w:r w:rsidR="000D3FCC">
        <w:t xml:space="preserve">National </w:t>
      </w:r>
      <w:r w:rsidR="0080363F">
        <w:t xml:space="preserve">Suicide Prevention </w:t>
      </w:r>
      <w:r w:rsidR="005B1D71">
        <w:t xml:space="preserve">Adviser’s </w:t>
      </w:r>
      <w:r w:rsidR="000D3FCC">
        <w:t>f</w:t>
      </w:r>
      <w:r w:rsidR="005B1D71">
        <w:t xml:space="preserve">inal </w:t>
      </w:r>
      <w:r w:rsidR="000D3FCC">
        <w:t>a</w:t>
      </w:r>
      <w:r w:rsidR="005B1D71">
        <w:t>dvice</w:t>
      </w:r>
      <w:r w:rsidR="000D3FCC">
        <w:t>,</w:t>
      </w:r>
      <w:r w:rsidR="005B1D71">
        <w:t xml:space="preserve"> and </w:t>
      </w:r>
      <w:r w:rsidR="00676FB6">
        <w:t xml:space="preserve">the </w:t>
      </w:r>
      <w:r w:rsidR="005B1D71">
        <w:t>Vision 2030</w:t>
      </w:r>
      <w:r w:rsidR="00676FB6">
        <w:t xml:space="preserve"> Blueprint Consultation Report</w:t>
      </w:r>
      <w:r w:rsidR="005B1D71">
        <w:t xml:space="preserve">. </w:t>
      </w:r>
      <w:r w:rsidR="000C173D">
        <w:t>There is</w:t>
      </w:r>
      <w:r w:rsidR="005B1D71">
        <w:t xml:space="preserve"> also</w:t>
      </w:r>
      <w:r w:rsidR="000C173D">
        <w:t xml:space="preserve"> a wealth of</w:t>
      </w:r>
      <w:r w:rsidR="00E966E2">
        <w:t xml:space="preserve"> contemporary</w:t>
      </w:r>
      <w:r w:rsidR="000C173D">
        <w:t xml:space="preserve"> international evidence and models that can</w:t>
      </w:r>
      <w:r w:rsidR="00806C65">
        <w:t xml:space="preserve"> and should be applied </w:t>
      </w:r>
      <w:r w:rsidR="00E966E2">
        <w:t>in</w:t>
      </w:r>
      <w:r w:rsidR="00806C65">
        <w:t xml:space="preserve"> the final Strategy</w:t>
      </w:r>
      <w:r w:rsidR="00E966E2">
        <w:t>.</w:t>
      </w:r>
    </w:p>
    <w:p w14:paraId="3EFC187F" w14:textId="77777777" w:rsidR="00A7736E" w:rsidRPr="00823527" w:rsidRDefault="00A7736E" w:rsidP="00A7736E">
      <w:pPr>
        <w:rPr>
          <w:lang w:val="en-AU"/>
        </w:rPr>
      </w:pPr>
      <w:r>
        <w:rPr>
          <w:lang w:val="en-AU"/>
        </w:rPr>
        <w:lastRenderedPageBreak/>
        <w:t>In January 2021, the Royal Australian and New Zealand College of Psychiatrists (RANZCP) released the Rural Psychiatry Roadmap 2021-31 (the Roadmap). The Commission suggests the Department of Health</w:t>
      </w:r>
      <w:r w:rsidR="00410A0A">
        <w:rPr>
          <w:lang w:val="en-AU"/>
        </w:rPr>
        <w:t xml:space="preserve"> </w:t>
      </w:r>
      <w:r w:rsidR="00410A0A">
        <w:t>and the National Mental Health Workforce Strategy Taskforce (the Taskforce)</w:t>
      </w:r>
      <w:r>
        <w:rPr>
          <w:lang w:val="en-AU"/>
        </w:rPr>
        <w:t xml:space="preserve"> consider the Rural Psychiatry Roadmap, which can be adapted for many mental health professions. The Roadmap is a good example of strategic recommendations that address the root causes of challenges experienced by professions, in this case rural psychiatrists. The Roadmap conveys a national and collaborative approach to governance, the need for cultural change, an emphasis on partnerships, and increased investment – all with targeted activities mapped against timeframes. The Roadmap is included at </w:t>
      </w:r>
      <w:r w:rsidRPr="00D46775">
        <w:rPr>
          <w:b/>
          <w:bCs/>
          <w:lang w:val="en-AU"/>
        </w:rPr>
        <w:t>Attachment A</w:t>
      </w:r>
      <w:r>
        <w:rPr>
          <w:lang w:val="en-AU"/>
        </w:rPr>
        <w:t xml:space="preserve">. </w:t>
      </w:r>
    </w:p>
    <w:p w14:paraId="68449DDF" w14:textId="77777777" w:rsidR="00A7736E" w:rsidRDefault="00091A43" w:rsidP="00091A43">
      <w:pPr>
        <w:pStyle w:val="Heading3"/>
      </w:pPr>
      <w:bookmarkStart w:id="1" w:name="_Toc83726117"/>
      <w:r>
        <w:t>Vision 2030</w:t>
      </w:r>
      <w:bookmarkEnd w:id="1"/>
    </w:p>
    <w:p w14:paraId="0332867B" w14:textId="4A1CACC8" w:rsidR="00A66E6F" w:rsidRDefault="00676FB6" w:rsidP="00A66E6F">
      <w:r>
        <w:t xml:space="preserve">In 2019, the Commission released the Vision 2030 Blueprint Consultation Report. </w:t>
      </w:r>
      <w:r w:rsidR="00744733">
        <w:t>Since this report, the Commission has undertaken consultation and research to progress the development of the forthcoming Vision 2030 Blueprint for Mental Health and Suicide Prevention. The</w:t>
      </w:r>
      <w:r w:rsidR="00A66E6F">
        <w:t xml:space="preserve"> Commission commissioned a report </w:t>
      </w:r>
      <w:r w:rsidR="00091A43">
        <w:t>‘Addressing the mental health workforce of the future’</w:t>
      </w:r>
      <w:r w:rsidR="00744733">
        <w:t xml:space="preserve"> which </w:t>
      </w:r>
      <w:r w:rsidR="00A66E6F">
        <w:t>identified nine focus areas for improvement:</w:t>
      </w:r>
    </w:p>
    <w:p w14:paraId="445DD807" w14:textId="77777777" w:rsidR="00A66E6F" w:rsidRDefault="00A66E6F" w:rsidP="00A66E6F">
      <w:pPr>
        <w:pStyle w:val="ListParagraph"/>
        <w:numPr>
          <w:ilvl w:val="0"/>
          <w:numId w:val="21"/>
        </w:numPr>
      </w:pPr>
      <w:r>
        <w:t>Supporting the multidisciplinary workforce, including the development of the Lived Experience (peer) workforce.</w:t>
      </w:r>
    </w:p>
    <w:p w14:paraId="5F3558FD" w14:textId="77777777" w:rsidR="00A66E6F" w:rsidRDefault="00A66E6F" w:rsidP="00A66E6F">
      <w:pPr>
        <w:pStyle w:val="ListParagraph"/>
        <w:numPr>
          <w:ilvl w:val="0"/>
          <w:numId w:val="21"/>
        </w:numPr>
      </w:pPr>
      <w:r>
        <w:t>Enabling a multidisciplinary workforce to work to top of scope to increase efficiency, capacity, and greater job satisfaction.</w:t>
      </w:r>
    </w:p>
    <w:p w14:paraId="1CA3C797" w14:textId="77777777" w:rsidR="00A66E6F" w:rsidRDefault="00A66E6F" w:rsidP="00A66E6F">
      <w:pPr>
        <w:pStyle w:val="ListParagraph"/>
        <w:numPr>
          <w:ilvl w:val="0"/>
          <w:numId w:val="21"/>
        </w:numPr>
      </w:pPr>
      <w:r>
        <w:t xml:space="preserve">Improvements to mental health education and training, including the broader health and social service workforces as well as the mental health sector. </w:t>
      </w:r>
    </w:p>
    <w:p w14:paraId="522CB1FD" w14:textId="77777777" w:rsidR="00A66E6F" w:rsidRDefault="00A66E6F" w:rsidP="00A66E6F">
      <w:pPr>
        <w:pStyle w:val="ListParagraph"/>
        <w:numPr>
          <w:ilvl w:val="0"/>
          <w:numId w:val="21"/>
        </w:numPr>
      </w:pPr>
      <w:r>
        <w:lastRenderedPageBreak/>
        <w:t>Expanding the role of social services (including education, policing, justice and importantly drug and alcohol services) to better address the social determinants of health (safe and secure housing, financial security, improving living standards, participation in education, and employment).</w:t>
      </w:r>
    </w:p>
    <w:p w14:paraId="17B5115A" w14:textId="77777777" w:rsidR="00A66E6F" w:rsidRDefault="00A66E6F" w:rsidP="00A66E6F">
      <w:pPr>
        <w:pStyle w:val="ListParagraph"/>
        <w:numPr>
          <w:ilvl w:val="0"/>
          <w:numId w:val="21"/>
        </w:numPr>
      </w:pPr>
      <w:r>
        <w:t>Taking an integrated and inclusive approach in all sectors and governments. Primary health services, mental health services, disability services, aged care services, and various social services all need to work collaboratively.</w:t>
      </w:r>
    </w:p>
    <w:p w14:paraId="18676664" w14:textId="77777777" w:rsidR="00A66E6F" w:rsidRDefault="00A66E6F" w:rsidP="00A66E6F">
      <w:pPr>
        <w:pStyle w:val="ListParagraph"/>
        <w:numPr>
          <w:ilvl w:val="0"/>
          <w:numId w:val="21"/>
        </w:numPr>
      </w:pPr>
      <w:r>
        <w:t>Improving staff safety and wellbeing to reduce stress and burnout.</w:t>
      </w:r>
    </w:p>
    <w:p w14:paraId="51CFC2C0" w14:textId="77777777" w:rsidR="00A66E6F" w:rsidRDefault="00A66E6F" w:rsidP="00A66E6F">
      <w:pPr>
        <w:pStyle w:val="ListParagraph"/>
        <w:numPr>
          <w:ilvl w:val="0"/>
          <w:numId w:val="21"/>
        </w:numPr>
      </w:pPr>
      <w:r>
        <w:t>Addressing culture, values and attitudes, which are areas constantly reported as requiring attention.</w:t>
      </w:r>
    </w:p>
    <w:p w14:paraId="2A6F10F9" w14:textId="77777777" w:rsidR="00A66E6F" w:rsidRDefault="00A66E6F" w:rsidP="00A66E6F">
      <w:pPr>
        <w:pStyle w:val="ListParagraph"/>
        <w:numPr>
          <w:ilvl w:val="0"/>
          <w:numId w:val="21"/>
        </w:numPr>
      </w:pPr>
      <w:r>
        <w:t xml:space="preserve">Focusing on growing and sustaining the rural and remote workforce. </w:t>
      </w:r>
    </w:p>
    <w:p w14:paraId="01EAF667" w14:textId="77777777" w:rsidR="00A66E6F" w:rsidRDefault="00A66E6F" w:rsidP="00A66E6F">
      <w:pPr>
        <w:pStyle w:val="ListParagraph"/>
        <w:numPr>
          <w:ilvl w:val="0"/>
          <w:numId w:val="21"/>
        </w:numPr>
      </w:pPr>
      <w:r>
        <w:t xml:space="preserve">Considering opportunities to improve access to services and a broader range of allied health providers using technology and e-health. </w:t>
      </w:r>
    </w:p>
    <w:p w14:paraId="2DFB8E02" w14:textId="77777777" w:rsidR="00A66E6F" w:rsidRDefault="00A66E6F" w:rsidP="00A66E6F">
      <w:r w:rsidRPr="00195A13">
        <w:t xml:space="preserve">These areas are addressed to varying degrees in the </w:t>
      </w:r>
      <w:r w:rsidR="00D10C28">
        <w:t>Consultation Draft</w:t>
      </w:r>
      <w:r w:rsidRPr="00195A13">
        <w:t>.</w:t>
      </w:r>
      <w:r>
        <w:t xml:space="preserve"> The Commission suggests the final Strategy align with these focus areas more closely, with </w:t>
      </w:r>
      <w:r w:rsidRPr="00195A13">
        <w:t xml:space="preserve">deeper consideration </w:t>
      </w:r>
      <w:r>
        <w:t>given to</w:t>
      </w:r>
      <w:r w:rsidRPr="00195A13">
        <w:t>:</w:t>
      </w:r>
    </w:p>
    <w:p w14:paraId="2683AC3C" w14:textId="77777777" w:rsidR="00A66E6F" w:rsidRPr="00043629" w:rsidRDefault="00A66E6F" w:rsidP="00A66E6F">
      <w:pPr>
        <w:pStyle w:val="ListParagraph"/>
      </w:pPr>
      <w:r>
        <w:t xml:space="preserve">Improving mental health education and training in addition to improving the quality and quantity of mental health </w:t>
      </w:r>
      <w:r w:rsidRPr="00043629">
        <w:t>placements articulated in action 4.1.2.</w:t>
      </w:r>
    </w:p>
    <w:p w14:paraId="24734B8C" w14:textId="77777777" w:rsidR="00A66E6F" w:rsidRPr="00043629" w:rsidRDefault="00A66E6F" w:rsidP="00A66E6F">
      <w:pPr>
        <w:pStyle w:val="ListParagraph"/>
      </w:pPr>
      <w:r w:rsidRPr="00043629">
        <w:t>More targeted approaches to improving and supporting the mental health and wellbeing of the multidisciplinary workforce</w:t>
      </w:r>
      <w:r>
        <w:t>,</w:t>
      </w:r>
      <w:r w:rsidRPr="00043629">
        <w:t xml:space="preserve"> including investing in staff wellbeing</w:t>
      </w:r>
      <w:r>
        <w:t>.</w:t>
      </w:r>
    </w:p>
    <w:p w14:paraId="7625F3DA" w14:textId="77777777" w:rsidR="00A66E6F" w:rsidRPr="00BD1A58" w:rsidRDefault="00A66E6F" w:rsidP="00A66E6F">
      <w:pPr>
        <w:pStyle w:val="ListParagraph"/>
      </w:pPr>
      <w:r w:rsidRPr="00BD1A58">
        <w:lastRenderedPageBreak/>
        <w:t>Addressing stigma and discrimination and building a platform whe</w:t>
      </w:r>
      <w:r>
        <w:t>re</w:t>
      </w:r>
      <w:r w:rsidRPr="00BD1A58">
        <w:t xml:space="preserve"> culture, values and attitudes are </w:t>
      </w:r>
      <w:r>
        <w:t>overtly prioritised in</w:t>
      </w:r>
      <w:r w:rsidRPr="00BD1A58">
        <w:t xml:space="preserve"> policies across all workforces and workplaces. </w:t>
      </w:r>
    </w:p>
    <w:p w14:paraId="2908E2AA" w14:textId="77777777" w:rsidR="00A66E6F" w:rsidRDefault="00A66E6F" w:rsidP="00A66E6F">
      <w:pPr>
        <w:pStyle w:val="ListParagraph"/>
      </w:pPr>
      <w:r>
        <w:t>Improving access to, and the use of, technology and e-health beyond increasing availability (action 6.3.1), including developing the skills of the workforce in the use of digital mental health care.</w:t>
      </w:r>
    </w:p>
    <w:p w14:paraId="54EC5FF5" w14:textId="77777777" w:rsidR="00A66E6F" w:rsidRDefault="00A66E6F" w:rsidP="00A66E6F">
      <w:pPr>
        <w:pStyle w:val="ListParagraph"/>
      </w:pPr>
      <w:r>
        <w:t xml:space="preserve">Focussing on </w:t>
      </w:r>
      <w:r w:rsidRPr="009C1AE5">
        <w:rPr>
          <w:i/>
          <w:iCs/>
        </w:rPr>
        <w:t>how</w:t>
      </w:r>
      <w:r>
        <w:t xml:space="preserve"> to grow and sustain the rural and remote workforce. </w:t>
      </w:r>
    </w:p>
    <w:p w14:paraId="0B2A2FCB" w14:textId="77777777" w:rsidR="00101487" w:rsidRDefault="009E63A6" w:rsidP="00F773C0">
      <w:r>
        <w:t xml:space="preserve">These </w:t>
      </w:r>
      <w:r w:rsidR="002C778E">
        <w:t xml:space="preserve">suggestions are explored further in the </w:t>
      </w:r>
      <w:r w:rsidR="00161709">
        <w:t xml:space="preserve">remainder of this submission. </w:t>
      </w:r>
      <w:r w:rsidR="00EB2898">
        <w:t>Please note the</w:t>
      </w:r>
      <w:r w:rsidR="00F50172">
        <w:t xml:space="preserve"> Commission has not </w:t>
      </w:r>
      <w:r w:rsidR="0095682A">
        <w:t xml:space="preserve">provided direct answers to the </w:t>
      </w:r>
      <w:r w:rsidR="00E46144">
        <w:t xml:space="preserve">consultation questions as some of the issues and suggestions we </w:t>
      </w:r>
      <w:r w:rsidR="00EB2898">
        <w:t>raise</w:t>
      </w:r>
      <w:r w:rsidR="00E46144">
        <w:t xml:space="preserve"> cross questions and themes in the </w:t>
      </w:r>
      <w:r w:rsidR="00A51416">
        <w:t xml:space="preserve">Consultation Draft. </w:t>
      </w:r>
      <w:r w:rsidR="00366833">
        <w:t>For ease, our s</w:t>
      </w:r>
      <w:r w:rsidR="00BB2EC6">
        <w:t>ub</w:t>
      </w:r>
      <w:r w:rsidR="00867641">
        <w:t xml:space="preserve">mission </w:t>
      </w:r>
      <w:r w:rsidR="00A83F7E">
        <w:t xml:space="preserve">follows the </w:t>
      </w:r>
      <w:r w:rsidR="00D02FA8">
        <w:t>structure of the Consultation Draft</w:t>
      </w:r>
      <w:r w:rsidR="00684035">
        <w:t xml:space="preserve"> with a</w:t>
      </w:r>
      <w:r w:rsidR="00214C55">
        <w:t xml:space="preserve"> final </w:t>
      </w:r>
      <w:r w:rsidR="00F04232">
        <w:t>heading</w:t>
      </w:r>
      <w:r w:rsidR="00214C55">
        <w:t xml:space="preserve"> </w:t>
      </w:r>
      <w:r w:rsidR="007D5E19">
        <w:t xml:space="preserve">‘The rural and remote workforce’ which </w:t>
      </w:r>
      <w:r w:rsidR="006E26AB">
        <w:t>relates to</w:t>
      </w:r>
      <w:r w:rsidR="00214C55">
        <w:t xml:space="preserve"> more than one section. </w:t>
      </w:r>
    </w:p>
    <w:p w14:paraId="6C7846E6" w14:textId="77777777" w:rsidR="00BA4FA9" w:rsidRDefault="00856D56" w:rsidP="00F773C0">
      <w:r>
        <w:t xml:space="preserve">The Commission has made </w:t>
      </w:r>
      <w:r w:rsidR="003171DE">
        <w:t>ten</w:t>
      </w:r>
      <w:r>
        <w:t xml:space="preserve"> recommendations to support the development of the final Strategy. </w:t>
      </w:r>
    </w:p>
    <w:p w14:paraId="5D44E2AF" w14:textId="77777777" w:rsidR="00F773C0" w:rsidRDefault="00293C81" w:rsidP="00F773C0">
      <w:r>
        <w:t xml:space="preserve">Should you wish to discuss this </w:t>
      </w:r>
      <w:r w:rsidR="00F71326">
        <w:t xml:space="preserve">submission in further detail, please contact Dr Alex </w:t>
      </w:r>
      <w:proofErr w:type="spellStart"/>
      <w:r w:rsidR="00F71326">
        <w:t>Hains</w:t>
      </w:r>
      <w:proofErr w:type="spellEnd"/>
      <w:r w:rsidR="00F71326">
        <w:t xml:space="preserve">, Executive Director, </w:t>
      </w:r>
      <w:proofErr w:type="gramStart"/>
      <w:r w:rsidR="008F6769">
        <w:t>Policy</w:t>
      </w:r>
      <w:proofErr w:type="gramEnd"/>
      <w:r w:rsidR="008F6769">
        <w:t xml:space="preserve"> at </w:t>
      </w:r>
      <w:hyperlink r:id="rId11" w:history="1">
        <w:r w:rsidR="008F6769" w:rsidRPr="004A2849">
          <w:rPr>
            <w:rStyle w:val="Hyperlink"/>
          </w:rPr>
          <w:t>alex.hains@mentalhealthcommission.gov.au</w:t>
        </w:r>
      </w:hyperlink>
      <w:r w:rsidR="008F6769">
        <w:t xml:space="preserve">. </w:t>
      </w:r>
    </w:p>
    <w:p w14:paraId="36B93A9A" w14:textId="77777777" w:rsidR="00C8281F" w:rsidRDefault="00C8281F">
      <w:pPr>
        <w:suppressAutoHyphens w:val="0"/>
        <w:autoSpaceDE/>
        <w:autoSpaceDN/>
        <w:adjustRightInd/>
        <w:spacing w:after="0" w:line="240" w:lineRule="auto"/>
        <w:textAlignment w:val="auto"/>
        <w:rPr>
          <w:rFonts w:ascii="Merriweather-Regular" w:eastAsiaTheme="majorEastAsia" w:hAnsi="Merriweather-Regular" w:cstheme="majorBidi"/>
          <w:color w:val="5C626C"/>
          <w:sz w:val="40"/>
          <w:szCs w:val="32"/>
        </w:rPr>
      </w:pPr>
      <w:r>
        <w:br w:type="page"/>
      </w:r>
    </w:p>
    <w:p w14:paraId="7B09F66A" w14:textId="77777777" w:rsidR="00CE77A2" w:rsidRDefault="00ED465E" w:rsidP="00E57A55">
      <w:pPr>
        <w:pStyle w:val="Heading1"/>
      </w:pPr>
      <w:bookmarkStart w:id="2" w:name="_Toc83726118"/>
      <w:r>
        <w:lastRenderedPageBreak/>
        <w:t xml:space="preserve">Summary of </w:t>
      </w:r>
      <w:r w:rsidR="00365186">
        <w:t>r</w:t>
      </w:r>
      <w:r w:rsidR="00CE77A2">
        <w:t>ecommendations</w:t>
      </w:r>
      <w:bookmarkEnd w:id="2"/>
    </w:p>
    <w:p w14:paraId="483F43DB" w14:textId="77777777" w:rsidR="00B613ED" w:rsidRDefault="00B613ED" w:rsidP="00B613ED">
      <w:pPr>
        <w:suppressAutoHyphens w:val="0"/>
        <w:autoSpaceDE/>
        <w:autoSpaceDN/>
        <w:adjustRightInd/>
        <w:textAlignment w:val="auto"/>
      </w:pPr>
      <w:r w:rsidRPr="00F81F15">
        <w:rPr>
          <w:b/>
          <w:bCs/>
        </w:rPr>
        <w:t xml:space="preserve">Recommendation </w:t>
      </w:r>
      <w:r w:rsidR="00CC5BF2">
        <w:rPr>
          <w:b/>
          <w:bCs/>
        </w:rPr>
        <w:t>1</w:t>
      </w:r>
      <w:r w:rsidRPr="00F81F15">
        <w:rPr>
          <w:b/>
          <w:bCs/>
        </w:rPr>
        <w:t>:</w:t>
      </w:r>
      <w:r w:rsidRPr="00C16FC4">
        <w:t xml:space="preserve"> </w:t>
      </w:r>
      <w:r w:rsidRPr="00F8099C">
        <w:rPr>
          <w:color w:val="auto"/>
        </w:rPr>
        <w:t>T</w:t>
      </w:r>
      <w:r>
        <w:rPr>
          <w:color w:val="auto"/>
        </w:rPr>
        <w:t xml:space="preserve">he </w:t>
      </w:r>
      <w:r>
        <w:t>National Mental Health Workforce Strategy must provide a clear definition of the multidisciplinary mental health workforce and include specific approaches to how this workforce can be achieved.</w:t>
      </w:r>
    </w:p>
    <w:p w14:paraId="3E1B126F" w14:textId="77777777" w:rsidR="00B613ED" w:rsidRDefault="00B613ED" w:rsidP="00B613ED">
      <w:pPr>
        <w:suppressAutoHyphens w:val="0"/>
        <w:autoSpaceDE/>
        <w:autoSpaceDN/>
        <w:adjustRightInd/>
        <w:textAlignment w:val="auto"/>
      </w:pPr>
      <w:r w:rsidRPr="00F81F15">
        <w:rPr>
          <w:b/>
          <w:bCs/>
        </w:rPr>
        <w:t xml:space="preserve">Recommendation </w:t>
      </w:r>
      <w:r w:rsidR="00CC5BF2">
        <w:rPr>
          <w:b/>
          <w:bCs/>
        </w:rPr>
        <w:t>2</w:t>
      </w:r>
      <w:r w:rsidRPr="00F81F15">
        <w:rPr>
          <w:b/>
          <w:bCs/>
        </w:rPr>
        <w:t>:</w:t>
      </w:r>
      <w:r w:rsidRPr="00C16FC4">
        <w:t xml:space="preserve"> </w:t>
      </w:r>
      <w:r w:rsidR="000E6F97" w:rsidRPr="00F8099C">
        <w:rPr>
          <w:color w:val="auto"/>
        </w:rPr>
        <w:t>T</w:t>
      </w:r>
      <w:r w:rsidR="000E6F97">
        <w:rPr>
          <w:color w:val="auto"/>
        </w:rPr>
        <w:t xml:space="preserve">he </w:t>
      </w:r>
      <w:r w:rsidR="000E6F97">
        <w:t xml:space="preserve">National Mental Health Workforce Strategy must include a more strategic approach to the </w:t>
      </w:r>
      <w:proofErr w:type="spellStart"/>
      <w:r w:rsidR="000E6F97">
        <w:t>professionalisation</w:t>
      </w:r>
      <w:proofErr w:type="spellEnd"/>
      <w:r w:rsidR="000E6F97">
        <w:t xml:space="preserve"> and development of the Lived Experience (peer) workforce. The Department of Health should draw on and refer to the Lived Experience (Peer) Workforce Development Guidelines in the Strategy.</w:t>
      </w:r>
    </w:p>
    <w:p w14:paraId="2F9EF90D" w14:textId="37AAD14E" w:rsidR="00B613ED" w:rsidRDefault="00B613ED" w:rsidP="00B613ED">
      <w:pPr>
        <w:suppressAutoHyphens w:val="0"/>
        <w:autoSpaceDE/>
        <w:autoSpaceDN/>
        <w:adjustRightInd/>
        <w:textAlignment w:val="auto"/>
      </w:pPr>
      <w:r w:rsidRPr="00F81F15">
        <w:rPr>
          <w:b/>
          <w:bCs/>
        </w:rPr>
        <w:t xml:space="preserve">Recommendation </w:t>
      </w:r>
      <w:r w:rsidR="00CC5BF2">
        <w:rPr>
          <w:b/>
          <w:bCs/>
        </w:rPr>
        <w:t>3</w:t>
      </w:r>
      <w:r w:rsidRPr="00F81F15">
        <w:rPr>
          <w:b/>
          <w:bCs/>
        </w:rPr>
        <w:t>:</w:t>
      </w:r>
      <w:r w:rsidRPr="00C16FC4">
        <w:t xml:space="preserve"> </w:t>
      </w:r>
      <w:r>
        <w:rPr>
          <w:color w:val="auto"/>
        </w:rPr>
        <w:t>The</w:t>
      </w:r>
      <w:r>
        <w:t xml:space="preserve"> </w:t>
      </w:r>
      <w:r w:rsidR="00291AFF">
        <w:t xml:space="preserve">Consultation Draft’s </w:t>
      </w:r>
      <w:r>
        <w:t>priorities and actions</w:t>
      </w:r>
      <w:r w:rsidR="003B530A">
        <w:t xml:space="preserve"> are reviewed</w:t>
      </w:r>
      <w:r>
        <w:t xml:space="preserve"> to better distinguish between strategic goals and the actions that will form part of the </w:t>
      </w:r>
      <w:r w:rsidR="00D2548B">
        <w:t xml:space="preserve">National Mental Health Workforce </w:t>
      </w:r>
      <w:r>
        <w:t>Strategy’s implementation plan.</w:t>
      </w:r>
    </w:p>
    <w:p w14:paraId="00C54191" w14:textId="77777777" w:rsidR="00C16FC4" w:rsidRDefault="000C6F4E" w:rsidP="00C16FC4">
      <w:pPr>
        <w:suppressAutoHyphens w:val="0"/>
        <w:autoSpaceDE/>
        <w:autoSpaceDN/>
        <w:adjustRightInd/>
        <w:textAlignment w:val="auto"/>
      </w:pPr>
      <w:r w:rsidRPr="00F81F15">
        <w:rPr>
          <w:b/>
          <w:bCs/>
        </w:rPr>
        <w:t xml:space="preserve">Recommendation </w:t>
      </w:r>
      <w:r w:rsidR="00CC5BF2">
        <w:rPr>
          <w:b/>
          <w:bCs/>
        </w:rPr>
        <w:t>4</w:t>
      </w:r>
      <w:r w:rsidRPr="00F81F15">
        <w:rPr>
          <w:b/>
          <w:bCs/>
        </w:rPr>
        <w:t>:</w:t>
      </w:r>
      <w:r w:rsidRPr="000C6F4E">
        <w:t xml:space="preserve"> </w:t>
      </w:r>
      <w:r w:rsidR="00A67762">
        <w:rPr>
          <w:color w:val="auto"/>
        </w:rPr>
        <w:t xml:space="preserve">The </w:t>
      </w:r>
      <w:r w:rsidR="00A67762">
        <w:t>National Mental Health Workforce Strategy incorporates a temporal plan detailing the short, medium, and long-term approaches to achieve</w:t>
      </w:r>
      <w:r w:rsidR="00A67762" w:rsidDel="009752BC">
        <w:t xml:space="preserve"> </w:t>
      </w:r>
      <w:r w:rsidR="00A67762">
        <w:t>priorities and actions.</w:t>
      </w:r>
    </w:p>
    <w:p w14:paraId="2A7102FC" w14:textId="77777777" w:rsidR="00CC5BF2" w:rsidRDefault="00CC5BF2" w:rsidP="00CC5BF2">
      <w:pPr>
        <w:suppressAutoHyphens w:val="0"/>
        <w:autoSpaceDE/>
        <w:autoSpaceDN/>
        <w:adjustRightInd/>
        <w:textAlignment w:val="auto"/>
      </w:pPr>
      <w:r w:rsidRPr="00F81F15">
        <w:rPr>
          <w:b/>
          <w:bCs/>
        </w:rPr>
        <w:t xml:space="preserve">Recommendation </w:t>
      </w:r>
      <w:r>
        <w:rPr>
          <w:b/>
          <w:bCs/>
        </w:rPr>
        <w:t>5</w:t>
      </w:r>
      <w:r w:rsidRPr="00F81F15">
        <w:rPr>
          <w:b/>
          <w:bCs/>
        </w:rPr>
        <w:t>:</w:t>
      </w:r>
      <w:r w:rsidRPr="00C16FC4">
        <w:t xml:space="preserve"> </w:t>
      </w:r>
      <w:r>
        <w:t>The National Mental Health Workforce Strategy must promote the systems approach of working to top of scope. It is necessary the Strategy clearly identifies approaches that address the barriers currently preventing the multidisciplinary workforce from working to top of scope.</w:t>
      </w:r>
    </w:p>
    <w:p w14:paraId="4C8C56F0" w14:textId="77777777" w:rsidR="00CC5BF2" w:rsidRDefault="00CC5BF2" w:rsidP="00CC5BF2">
      <w:pPr>
        <w:suppressAutoHyphens w:val="0"/>
        <w:autoSpaceDE/>
        <w:autoSpaceDN/>
        <w:adjustRightInd/>
        <w:textAlignment w:val="auto"/>
      </w:pPr>
      <w:r w:rsidRPr="00F81F15">
        <w:rPr>
          <w:b/>
          <w:bCs/>
        </w:rPr>
        <w:lastRenderedPageBreak/>
        <w:t xml:space="preserve">Recommendation </w:t>
      </w:r>
      <w:r>
        <w:rPr>
          <w:b/>
          <w:bCs/>
        </w:rPr>
        <w:t>6</w:t>
      </w:r>
      <w:r w:rsidRPr="00F81F15">
        <w:rPr>
          <w:b/>
          <w:bCs/>
        </w:rPr>
        <w:t>:</w:t>
      </w:r>
      <w:r w:rsidRPr="00C16FC4">
        <w:t xml:space="preserve"> </w:t>
      </w:r>
      <w:r>
        <w:t xml:space="preserve">The National Mental Health Workforce Strategy must include a </w:t>
      </w:r>
      <w:r>
        <w:rPr>
          <w:lang w:val="en-AU"/>
        </w:rPr>
        <w:t xml:space="preserve">strategic approach to investment as well as targeted approaches to funding and remuneration to address the </w:t>
      </w:r>
      <w:proofErr w:type="spellStart"/>
      <w:r>
        <w:rPr>
          <w:lang w:val="en-AU"/>
        </w:rPr>
        <w:t>maldistribution</w:t>
      </w:r>
      <w:proofErr w:type="spellEnd"/>
      <w:r>
        <w:rPr>
          <w:lang w:val="en-AU"/>
        </w:rPr>
        <w:t xml:space="preserve"> of the mental health workforce. </w:t>
      </w:r>
      <w:r w:rsidRPr="00C5451D">
        <w:rPr>
          <w:lang w:val="en-AU"/>
        </w:rPr>
        <w:t xml:space="preserve"> </w:t>
      </w:r>
    </w:p>
    <w:p w14:paraId="3EF00EEA" w14:textId="77777777" w:rsidR="00C16FC4" w:rsidRDefault="00C16FC4" w:rsidP="00C16FC4">
      <w:pPr>
        <w:suppressAutoHyphens w:val="0"/>
        <w:autoSpaceDE/>
        <w:autoSpaceDN/>
        <w:adjustRightInd/>
        <w:textAlignment w:val="auto"/>
      </w:pPr>
      <w:r w:rsidRPr="00F81F15">
        <w:rPr>
          <w:b/>
          <w:bCs/>
        </w:rPr>
        <w:t xml:space="preserve">Recommendation </w:t>
      </w:r>
      <w:r w:rsidR="00CC5BF2">
        <w:rPr>
          <w:b/>
          <w:bCs/>
        </w:rPr>
        <w:t>7</w:t>
      </w:r>
      <w:r w:rsidRPr="00F81F15">
        <w:rPr>
          <w:b/>
          <w:bCs/>
        </w:rPr>
        <w:t>:</w:t>
      </w:r>
      <w:r w:rsidRPr="00C16FC4">
        <w:t xml:space="preserve"> </w:t>
      </w:r>
      <w:r w:rsidR="00A67762">
        <w:rPr>
          <w:color w:val="auto"/>
        </w:rPr>
        <w:t xml:space="preserve">The </w:t>
      </w:r>
      <w:r w:rsidR="00A67762">
        <w:t>National Mental Health Workforce Strategy is released with an implementation plan (or the first implementation plan of the series).</w:t>
      </w:r>
    </w:p>
    <w:p w14:paraId="1A790160" w14:textId="77777777" w:rsidR="00C16FC4" w:rsidRDefault="00C16FC4" w:rsidP="00C16FC4">
      <w:pPr>
        <w:suppressAutoHyphens w:val="0"/>
        <w:autoSpaceDE/>
        <w:autoSpaceDN/>
        <w:adjustRightInd/>
        <w:textAlignment w:val="auto"/>
      </w:pPr>
      <w:r w:rsidRPr="00F81F15">
        <w:rPr>
          <w:b/>
          <w:bCs/>
        </w:rPr>
        <w:t xml:space="preserve">Recommendation </w:t>
      </w:r>
      <w:r w:rsidR="00CC5BF2">
        <w:rPr>
          <w:b/>
          <w:bCs/>
        </w:rPr>
        <w:t>8</w:t>
      </w:r>
      <w:r w:rsidRPr="00F81F15">
        <w:rPr>
          <w:b/>
          <w:bCs/>
        </w:rPr>
        <w:t>:</w:t>
      </w:r>
      <w:r w:rsidRPr="00C16FC4">
        <w:t xml:space="preserve"> </w:t>
      </w:r>
      <w:r w:rsidR="00A67762">
        <w:rPr>
          <w:color w:val="auto"/>
        </w:rPr>
        <w:t xml:space="preserve">The </w:t>
      </w:r>
      <w:r w:rsidR="00A67762">
        <w:t>National Mental Health Workforce Strategy includes a strategic approach to evaluation.</w:t>
      </w:r>
    </w:p>
    <w:p w14:paraId="2F36759A" w14:textId="77777777" w:rsidR="00C16FC4" w:rsidRDefault="00C16FC4" w:rsidP="00C16FC4">
      <w:pPr>
        <w:suppressAutoHyphens w:val="0"/>
        <w:autoSpaceDE/>
        <w:autoSpaceDN/>
        <w:adjustRightInd/>
        <w:textAlignment w:val="auto"/>
      </w:pPr>
      <w:r w:rsidRPr="00F81F15">
        <w:rPr>
          <w:b/>
          <w:bCs/>
        </w:rPr>
        <w:t xml:space="preserve">Recommendation </w:t>
      </w:r>
      <w:r w:rsidR="00CC5BF2">
        <w:rPr>
          <w:b/>
          <w:bCs/>
        </w:rPr>
        <w:t>9</w:t>
      </w:r>
      <w:r w:rsidRPr="00F81F15">
        <w:rPr>
          <w:b/>
          <w:bCs/>
        </w:rPr>
        <w:t>:</w:t>
      </w:r>
      <w:r w:rsidRPr="00C16FC4">
        <w:t xml:space="preserve"> </w:t>
      </w:r>
      <w:r w:rsidR="00BD19E4">
        <w:t>The National Mental Health Workforce Strategy should include a priority area to increase the capacity of the mental health workforce, including targeted short, medium, and long-term strategies.</w:t>
      </w:r>
      <w:r w:rsidR="00CD0145">
        <w:t xml:space="preserve"> Cultural change and supporting the mental health and wellbeing of the workforce will need to be key focus actions.</w:t>
      </w:r>
    </w:p>
    <w:p w14:paraId="574A517C" w14:textId="77777777" w:rsidR="006D4B26" w:rsidRDefault="003171DE" w:rsidP="006D4B26">
      <w:pPr>
        <w:suppressAutoHyphens w:val="0"/>
        <w:autoSpaceDE/>
        <w:autoSpaceDN/>
        <w:adjustRightInd/>
        <w:textAlignment w:val="auto"/>
        <w:rPr>
          <w:lang w:val="en-AU"/>
        </w:rPr>
      </w:pPr>
      <w:r w:rsidRPr="00F81F15">
        <w:rPr>
          <w:b/>
          <w:bCs/>
        </w:rPr>
        <w:t xml:space="preserve">Recommendation </w:t>
      </w:r>
      <w:r>
        <w:rPr>
          <w:b/>
          <w:bCs/>
        </w:rPr>
        <w:t>10</w:t>
      </w:r>
      <w:r w:rsidRPr="00F81F15">
        <w:rPr>
          <w:b/>
          <w:bCs/>
        </w:rPr>
        <w:t>:</w:t>
      </w:r>
      <w:r w:rsidRPr="00C16FC4">
        <w:t xml:space="preserve"> </w:t>
      </w:r>
      <w:r w:rsidR="006D4B26">
        <w:rPr>
          <w:lang w:val="en-AU"/>
        </w:rPr>
        <w:t>T</w:t>
      </w:r>
      <w:r w:rsidR="006D4B26" w:rsidRPr="00C5451D">
        <w:rPr>
          <w:lang w:val="en-AU"/>
        </w:rPr>
        <w:t xml:space="preserve">he </w:t>
      </w:r>
      <w:r w:rsidR="006D4B26">
        <w:t xml:space="preserve">National Mental Health Workforce Strategy </w:t>
      </w:r>
      <w:r w:rsidR="006D4B26">
        <w:rPr>
          <w:lang w:val="en-AU"/>
        </w:rPr>
        <w:t xml:space="preserve">must include approaches for workforces to be </w:t>
      </w:r>
      <w:r w:rsidR="006D4B26" w:rsidRPr="008C22E2">
        <w:t>active</w:t>
      </w:r>
      <w:r w:rsidR="006D4B26">
        <w:t>ly</w:t>
      </w:r>
      <w:r w:rsidR="006D4B26" w:rsidRPr="008C22E2">
        <w:t xml:space="preserve"> recruit</w:t>
      </w:r>
      <w:r w:rsidR="006D4B26">
        <w:t>ed</w:t>
      </w:r>
      <w:r w:rsidR="006D4B26" w:rsidRPr="008C22E2">
        <w:t>, appropriate</w:t>
      </w:r>
      <w:r w:rsidR="006D4B26">
        <w:t>ly</w:t>
      </w:r>
      <w:r w:rsidR="006D4B26" w:rsidRPr="008C22E2">
        <w:t xml:space="preserve"> train</w:t>
      </w:r>
      <w:r w:rsidR="006D4B26">
        <w:t>ed</w:t>
      </w:r>
      <w:r w:rsidR="006D4B26" w:rsidRPr="008C22E2">
        <w:t>, retain</w:t>
      </w:r>
      <w:r w:rsidR="006D4B26">
        <w:t>ed</w:t>
      </w:r>
      <w:r w:rsidR="006D4B26" w:rsidRPr="008C22E2">
        <w:t xml:space="preserve">, and incentivised to take up </w:t>
      </w:r>
      <w:r w:rsidR="006D4B26">
        <w:t xml:space="preserve">rural </w:t>
      </w:r>
      <w:r w:rsidR="006D4B26" w:rsidRPr="008C22E2">
        <w:t xml:space="preserve">and </w:t>
      </w:r>
      <w:r w:rsidR="006D4B26">
        <w:t>remote</w:t>
      </w:r>
      <w:r w:rsidR="006D4B26" w:rsidRPr="008C22E2">
        <w:t xml:space="preserve"> work</w:t>
      </w:r>
      <w:r w:rsidR="006D4B26">
        <w:t xml:space="preserve"> and remain working in rural and remote communities</w:t>
      </w:r>
      <w:r w:rsidR="006D4B26" w:rsidRPr="00C5451D">
        <w:rPr>
          <w:lang w:val="en-AU"/>
        </w:rPr>
        <w:t xml:space="preserve">. </w:t>
      </w:r>
    </w:p>
    <w:p w14:paraId="5924F942" w14:textId="77777777" w:rsidR="00206474" w:rsidRDefault="00206474">
      <w:pPr>
        <w:suppressAutoHyphens w:val="0"/>
        <w:autoSpaceDE/>
        <w:autoSpaceDN/>
        <w:adjustRightInd/>
        <w:spacing w:after="0" w:line="240" w:lineRule="auto"/>
        <w:textAlignment w:val="auto"/>
        <w:rPr>
          <w:lang w:val="en-AU"/>
        </w:rPr>
      </w:pPr>
      <w:r>
        <w:rPr>
          <w:lang w:val="en-AU"/>
        </w:rPr>
        <w:br w:type="page"/>
      </w:r>
    </w:p>
    <w:p w14:paraId="7A7B3270" w14:textId="77777777" w:rsidR="00206474" w:rsidRDefault="0034725B" w:rsidP="001D2C0C">
      <w:pPr>
        <w:pStyle w:val="Heading1"/>
        <w:rPr>
          <w:lang w:val="en-AU"/>
        </w:rPr>
      </w:pPr>
      <w:bookmarkStart w:id="3" w:name="_Toc83726119"/>
      <w:r>
        <w:rPr>
          <w:lang w:val="en-AU"/>
        </w:rPr>
        <w:lastRenderedPageBreak/>
        <w:t>S</w:t>
      </w:r>
      <w:r w:rsidR="001D2C0C">
        <w:rPr>
          <w:lang w:val="en-AU"/>
        </w:rPr>
        <w:t xml:space="preserve">ection 1: </w:t>
      </w:r>
      <w:r w:rsidR="008E2043">
        <w:rPr>
          <w:lang w:val="en-AU"/>
        </w:rPr>
        <w:t xml:space="preserve">This </w:t>
      </w:r>
      <w:r w:rsidR="009522F7">
        <w:rPr>
          <w:lang w:val="en-AU"/>
        </w:rPr>
        <w:t>S</w:t>
      </w:r>
      <w:r w:rsidR="008E2043">
        <w:rPr>
          <w:lang w:val="en-AU"/>
        </w:rPr>
        <w:t>trategy</w:t>
      </w:r>
      <w:bookmarkEnd w:id="3"/>
    </w:p>
    <w:p w14:paraId="634AEE3E" w14:textId="77777777" w:rsidR="00E90B03" w:rsidRDefault="00E90B03" w:rsidP="001D2C0C">
      <w:pPr>
        <w:pStyle w:val="Heading2"/>
      </w:pPr>
      <w:bookmarkStart w:id="4" w:name="_Toc83726120"/>
      <w:r>
        <w:t>Background</w:t>
      </w:r>
      <w:bookmarkEnd w:id="4"/>
    </w:p>
    <w:p w14:paraId="4CA2AE98" w14:textId="77777777" w:rsidR="00694C37" w:rsidRDefault="00307C8C" w:rsidP="00307C8C">
      <w:pPr>
        <w:pStyle w:val="Heading3"/>
      </w:pPr>
      <w:bookmarkStart w:id="5" w:name="_Toc83726121"/>
      <w:r>
        <w:t>Scope</w:t>
      </w:r>
      <w:bookmarkEnd w:id="5"/>
    </w:p>
    <w:p w14:paraId="1810D08B" w14:textId="77777777" w:rsidR="00694C37" w:rsidRPr="00BD2D1B" w:rsidRDefault="00694C37" w:rsidP="00694C37">
      <w:pPr>
        <w:spacing w:after="0"/>
      </w:pPr>
      <w:r>
        <w:t>The Commission is concerned the current scope of the National Mental Health Workforce Strategy 2021-2031 is too narrow to adequately address the challenges of the mental health workforce and suggests the Strategy include:</w:t>
      </w:r>
    </w:p>
    <w:p w14:paraId="581D175F" w14:textId="77777777" w:rsidR="00694C37" w:rsidRDefault="00694C37" w:rsidP="00694C37">
      <w:pPr>
        <w:pStyle w:val="ListParagraph"/>
      </w:pPr>
      <w:r>
        <w:t>The identification and definition of the multidisciplinary workforce</w:t>
      </w:r>
    </w:p>
    <w:p w14:paraId="6F167E29" w14:textId="77777777" w:rsidR="00694C37" w:rsidRDefault="00694C37" w:rsidP="00694C37">
      <w:pPr>
        <w:pStyle w:val="ListParagraph"/>
      </w:pPr>
      <w:r>
        <w:t>Methods for retaining the current workforce</w:t>
      </w:r>
    </w:p>
    <w:p w14:paraId="4CF2E541" w14:textId="77777777" w:rsidR="00694C37" w:rsidRDefault="00694C37" w:rsidP="00694C37">
      <w:pPr>
        <w:pStyle w:val="ListParagraph"/>
      </w:pPr>
      <w:r>
        <w:t>A better understanding of the competencies (knowledge, skills, and abilities) necessary now and in the future</w:t>
      </w:r>
    </w:p>
    <w:p w14:paraId="1D51B9EB" w14:textId="77777777" w:rsidR="00694C37" w:rsidRDefault="00694C37" w:rsidP="00694C37">
      <w:pPr>
        <w:pStyle w:val="ListParagraph"/>
      </w:pPr>
      <w:r>
        <w:t>An understanding of the intersection of roles and functions</w:t>
      </w:r>
    </w:p>
    <w:p w14:paraId="635634E6" w14:textId="77777777" w:rsidR="008110C7" w:rsidRDefault="008110C7" w:rsidP="00694C37">
      <w:pPr>
        <w:pStyle w:val="ListParagraph"/>
      </w:pPr>
      <w:r>
        <w:t>A focus on culture</w:t>
      </w:r>
      <w:r w:rsidR="00D05B78">
        <w:t>, including</w:t>
      </w:r>
      <w:r>
        <w:t xml:space="preserve"> the need for cultural change</w:t>
      </w:r>
    </w:p>
    <w:p w14:paraId="7D385529" w14:textId="77777777" w:rsidR="00694C37" w:rsidRDefault="00694C37" w:rsidP="00694C37">
      <w:pPr>
        <w:pStyle w:val="ListParagraph"/>
      </w:pPr>
      <w:r>
        <w:t>A strategic approach to investment</w:t>
      </w:r>
    </w:p>
    <w:p w14:paraId="7527FE87" w14:textId="77777777" w:rsidR="00694C37" w:rsidRDefault="00694C37" w:rsidP="00694C37">
      <w:pPr>
        <w:pStyle w:val="ListParagraph"/>
      </w:pPr>
      <w:r>
        <w:t>Short, medium, and long-term solutions</w:t>
      </w:r>
    </w:p>
    <w:p w14:paraId="1A5C6BF8" w14:textId="77777777" w:rsidR="00C53BF9" w:rsidRDefault="00C53BF9" w:rsidP="00E90B03">
      <w:pPr>
        <w:pStyle w:val="Heading3"/>
      </w:pPr>
      <w:bookmarkStart w:id="6" w:name="_Toc83726122"/>
      <w:r>
        <w:t>Components of care</w:t>
      </w:r>
      <w:bookmarkEnd w:id="6"/>
    </w:p>
    <w:p w14:paraId="66A6C45C" w14:textId="4F146D6A" w:rsidR="00C53BF9" w:rsidRDefault="00C53BF9" w:rsidP="00C53BF9">
      <w:r>
        <w:t>The Commission notes that Vision 2030’s components of care</w:t>
      </w:r>
      <w:r w:rsidR="00467168">
        <w:t xml:space="preserve">, as stated in the Vision 2030 Blueprint Consultation </w:t>
      </w:r>
      <w:r w:rsidR="003B530A">
        <w:t>Report</w:t>
      </w:r>
      <w:r w:rsidR="00467168">
        <w:t>,</w:t>
      </w:r>
      <w:r>
        <w:t xml:space="preserve"> have been used in the </w:t>
      </w:r>
      <w:r w:rsidR="00E97666">
        <w:t>Consultation Draft</w:t>
      </w:r>
      <w:r>
        <w:t xml:space="preserve">. While the definition used to communicate the components of care is accurate, it is unclear how the components of care are applied throughout the </w:t>
      </w:r>
      <w:r w:rsidR="00E97666">
        <w:t>Consultation Draft</w:t>
      </w:r>
      <w:r>
        <w:t xml:space="preserve">. The </w:t>
      </w:r>
      <w:r w:rsidR="00E97666">
        <w:t xml:space="preserve">Consultation Draft </w:t>
      </w:r>
      <w:r>
        <w:t xml:space="preserve">states that there should be clear linkage between the core components of care, the National Mental Health Service Planning Framework, and various occupational scopes of practices, however the linkage throughout </w:t>
      </w:r>
      <w:r>
        <w:lastRenderedPageBreak/>
        <w:t>is unclear. If these are to be referred to and used in the final Strategy, it is suggested there is clear and consistent application throughout.</w:t>
      </w:r>
    </w:p>
    <w:p w14:paraId="26C7F143" w14:textId="77777777" w:rsidR="000857E9" w:rsidRDefault="000857E9" w:rsidP="000857E9">
      <w:pPr>
        <w:pStyle w:val="Heading2"/>
      </w:pPr>
      <w:bookmarkStart w:id="7" w:name="_Toc83726123"/>
      <w:r>
        <w:t>Definition of the mental health workforce</w:t>
      </w:r>
      <w:bookmarkEnd w:id="7"/>
    </w:p>
    <w:p w14:paraId="36178F8A" w14:textId="77777777" w:rsidR="001840AA" w:rsidRDefault="00533C89" w:rsidP="001840AA">
      <w:r>
        <w:t xml:space="preserve">The Consultation Draft does not adequately define the mental health workforce. While understanding the need to consider broader workforces, the lack of a formal definition limits consideration of critical roles such as </w:t>
      </w:r>
      <w:r w:rsidR="00282AFE">
        <w:t>General Practitioners (</w:t>
      </w:r>
      <w:r>
        <w:t>GPs</w:t>
      </w:r>
      <w:r w:rsidR="00282AFE">
        <w:t>)</w:t>
      </w:r>
      <w:r>
        <w:t xml:space="preserve"> and allied health workers. Additionally, there is a need for better inclusion of the Lived Experience (peer) workforce, allied health workforce and emerging workforces. </w:t>
      </w:r>
    </w:p>
    <w:p w14:paraId="40EA7E45" w14:textId="77777777" w:rsidR="001840AA" w:rsidRDefault="001840AA" w:rsidP="001840AA">
      <w:r>
        <w:t>The Commission acknowledges the literature review undertaken to inform the development of the Consultation Draft identified the challenges in defining the mental health workforce and the various ways it is currently defined across jurisdictions and systems. The literature review also identified that u</w:t>
      </w:r>
      <w:r w:rsidRPr="00D3153A">
        <w:t>seful approaches to defining the mental health workforce can be seen in international examples</w:t>
      </w:r>
      <w:r>
        <w:t>,</w:t>
      </w:r>
      <w:r w:rsidRPr="00D3153A">
        <w:t xml:space="preserve"> such as the ‘skills level’ approach used in Scotland, which also aligns with a stepped care approach to service planning.</w:t>
      </w:r>
      <w:r>
        <w:rPr>
          <w:rStyle w:val="EndnoteReference"/>
        </w:rPr>
        <w:endnoteReference w:id="2"/>
      </w:r>
      <w:r>
        <w:t xml:space="preserve"> </w:t>
      </w:r>
    </w:p>
    <w:p w14:paraId="7EFAEE6F" w14:textId="77777777" w:rsidR="001840AA" w:rsidRDefault="001840AA" w:rsidP="001840AA">
      <w:r>
        <w:t xml:space="preserve">The Commission recommends the Strategy clearly defines the multidisciplinary mental health workforce. A definition would be beneficial in assisting national, state and territory policies and plans, data collection, research, and evaluation. Beyond the mental health sector, there are a number of inquiries and studies that would also benefit from our sector’s leadership and direction. For example, the National Skills Commission is currently undertaking a labour market study of the care workforce, including examining the needs of the care and support workforce in </w:t>
      </w:r>
      <w:r>
        <w:lastRenderedPageBreak/>
        <w:t xml:space="preserve">relation to mental health care. Guidance as to what constitutes the mental health workforce would be invaluable and would promote consistency across sectors. </w:t>
      </w:r>
    </w:p>
    <w:p w14:paraId="632CF375" w14:textId="19E68AE4" w:rsidR="000857E9" w:rsidRDefault="003B530A" w:rsidP="000857E9">
      <w:r>
        <w:t>The Commission suggests the Department of Health and the Taskforce consider defining t</w:t>
      </w:r>
      <w:r w:rsidR="000857E9">
        <w:t xml:space="preserve">he multidisciplinary workforce </w:t>
      </w:r>
      <w:r>
        <w:t>as one that</w:t>
      </w:r>
      <w:r w:rsidR="000857E9">
        <w:t xml:space="preserve"> e</w:t>
      </w:r>
      <w:r w:rsidR="000857E9" w:rsidRPr="001C6E3A">
        <w:t>xtends beyond traditional clinical disciplines (psychiatrists, psychologists)</w:t>
      </w:r>
      <w:r w:rsidR="000857E9">
        <w:t xml:space="preserve"> </w:t>
      </w:r>
      <w:r w:rsidR="000857E9" w:rsidRPr="00C124B3">
        <w:t>to appreciate the contributions a wide range of professionals make across all types of care in the stepped care model, from frontline prevention and identification through a range of treatments, to recovery support and research.</w:t>
      </w:r>
      <w:r w:rsidR="000857E9">
        <w:t xml:space="preserve"> The multidisciplinary workforce </w:t>
      </w:r>
      <w:r w:rsidR="000857E9" w:rsidRPr="001C6E3A">
        <w:t xml:space="preserve">includes a wider range of clinicians (psychological, allied health, nursing, midwifery, general practice and medical), as well as community support professionals, </w:t>
      </w:r>
      <w:r w:rsidR="000857E9">
        <w:t>L</w:t>
      </w:r>
      <w:r w:rsidR="000857E9" w:rsidRPr="001C6E3A">
        <w:t xml:space="preserve">ived </w:t>
      </w:r>
      <w:r w:rsidR="000857E9">
        <w:t>E</w:t>
      </w:r>
      <w:r w:rsidR="000857E9" w:rsidRPr="001C6E3A">
        <w:t xml:space="preserve">xperience professionals, </w:t>
      </w:r>
      <w:r w:rsidR="00CA5F34">
        <w:t xml:space="preserve">and </w:t>
      </w:r>
      <w:r w:rsidR="000857E9" w:rsidRPr="001C6E3A">
        <w:t>front line or emergency responders</w:t>
      </w:r>
      <w:r w:rsidR="00F24DAC">
        <w:t>.</w:t>
      </w:r>
      <w:r w:rsidR="000857E9" w:rsidRPr="001C6E3A">
        <w:t xml:space="preserve"> </w:t>
      </w:r>
      <w:r w:rsidR="000857E9">
        <w:t>It also includes new and emerging</w:t>
      </w:r>
      <w:r w:rsidR="000857E9" w:rsidRPr="001C6E3A">
        <w:t xml:space="preserve"> workforces such as </w:t>
      </w:r>
      <w:r w:rsidR="000857E9">
        <w:t>Lived Experience (p</w:t>
      </w:r>
      <w:r w:rsidR="000857E9" w:rsidRPr="001C6E3A">
        <w:t>eer</w:t>
      </w:r>
      <w:r w:rsidR="000857E9">
        <w:t>)</w:t>
      </w:r>
      <w:r w:rsidR="000857E9" w:rsidRPr="001C6E3A">
        <w:t xml:space="preserve"> workers, </w:t>
      </w:r>
      <w:r w:rsidR="000857E9">
        <w:t>psychosocial support workers,</w:t>
      </w:r>
      <w:r w:rsidR="000857E9" w:rsidRPr="001C6E3A">
        <w:t xml:space="preserve"> and students in training.</w:t>
      </w:r>
    </w:p>
    <w:p w14:paraId="4E84C72A" w14:textId="3C6B083F" w:rsidR="000857E9" w:rsidRPr="008312B1" w:rsidRDefault="003B530A" w:rsidP="00372F00">
      <w:pPr>
        <w:spacing w:after="0"/>
      </w:pPr>
      <w:r>
        <w:t>S</w:t>
      </w:r>
      <w:r w:rsidR="000857E9">
        <w:t>teps required to achieve a successful multidisciplinary workforce</w:t>
      </w:r>
      <w:r w:rsidR="009B0D58">
        <w:t xml:space="preserve"> are discussed in further detail in the remainder of this submission</w:t>
      </w:r>
      <w:r w:rsidR="0058086E">
        <w:t>. Th</w:t>
      </w:r>
      <w:r w:rsidR="00E543BC">
        <w:t>ey</w:t>
      </w:r>
      <w:r>
        <w:t xml:space="preserve"> include:</w:t>
      </w:r>
    </w:p>
    <w:p w14:paraId="56D9732B" w14:textId="541CF74D" w:rsidR="000857E9" w:rsidRPr="00A60BE4" w:rsidRDefault="000857E9" w:rsidP="000857E9">
      <w:pPr>
        <w:pStyle w:val="ListParagraph"/>
      </w:pPr>
      <w:r w:rsidRPr="00A60BE4">
        <w:t xml:space="preserve">Clearly identified </w:t>
      </w:r>
      <w:hyperlink w:anchor="_Roles_and_responsibilities" w:history="1">
        <w:r w:rsidRPr="00285226">
          <w:rPr>
            <w:rStyle w:val="Hyperlink"/>
          </w:rPr>
          <w:t>roles and responsibilities</w:t>
        </w:r>
      </w:hyperlink>
      <w:r w:rsidRPr="00A60BE4">
        <w:t xml:space="preserve"> </w:t>
      </w:r>
      <w:r>
        <w:t>that</w:t>
      </w:r>
      <w:r w:rsidRPr="00A60BE4">
        <w:t xml:space="preserve"> encourage professional recognition with flexibility in scope and a culture of collaborative practice and team approaches</w:t>
      </w:r>
      <w:r w:rsidR="00F77E7C">
        <w:t>.</w:t>
      </w:r>
    </w:p>
    <w:p w14:paraId="6F241B73" w14:textId="66F2F6BB" w:rsidR="000857E9" w:rsidRPr="00A60BE4" w:rsidRDefault="000857E9" w:rsidP="000857E9">
      <w:pPr>
        <w:pStyle w:val="ListParagraph"/>
      </w:pPr>
      <w:r w:rsidRPr="00A60BE4">
        <w:t>Resources to enable professions to work to their full scope of practice</w:t>
      </w:r>
      <w:r>
        <w:t xml:space="preserve">, </w:t>
      </w:r>
      <w:r w:rsidRPr="00A60BE4">
        <w:t xml:space="preserve">focusing on their </w:t>
      </w:r>
      <w:hyperlink w:anchor="_Working_to_top" w:history="1">
        <w:r w:rsidRPr="00BB3CA4">
          <w:rPr>
            <w:rStyle w:val="Hyperlink"/>
          </w:rPr>
          <w:t>top of scope</w:t>
        </w:r>
      </w:hyperlink>
      <w:r w:rsidRPr="00A60BE4">
        <w:t xml:space="preserve"> and best utilising their skills in a multidisciplinary environment.</w:t>
      </w:r>
    </w:p>
    <w:p w14:paraId="573DFB05" w14:textId="24D14611" w:rsidR="000857E9" w:rsidRPr="00A60BE4" w:rsidRDefault="00230229" w:rsidP="000857E9">
      <w:pPr>
        <w:pStyle w:val="ListParagraph"/>
      </w:pPr>
      <w:hyperlink w:anchor="_Section_5:_The" w:history="1">
        <w:r w:rsidR="000857E9" w:rsidRPr="0035318A">
          <w:rPr>
            <w:rStyle w:val="Hyperlink"/>
          </w:rPr>
          <w:t>Recruitment and career pathways</w:t>
        </w:r>
      </w:hyperlink>
      <w:r w:rsidR="000857E9" w:rsidRPr="00A60BE4">
        <w:t xml:space="preserve"> in mental health specialisation across all aspects of the workforce.</w:t>
      </w:r>
    </w:p>
    <w:p w14:paraId="7FD3CC8C" w14:textId="6DE8CEF3" w:rsidR="000857E9" w:rsidRPr="00A60BE4" w:rsidRDefault="000857E9" w:rsidP="000857E9">
      <w:pPr>
        <w:pStyle w:val="ListParagraph"/>
      </w:pPr>
      <w:r w:rsidRPr="00A60BE4">
        <w:lastRenderedPageBreak/>
        <w:t>Appropriate mental health training from primary qualifications to ongoing or specialised professional development and in</w:t>
      </w:r>
      <w:r>
        <w:t>-</w:t>
      </w:r>
      <w:r w:rsidRPr="00A60BE4">
        <w:t>role training</w:t>
      </w:r>
      <w:r w:rsidR="003A798C">
        <w:t>, including in cultural competence, trauma, and human rights</w:t>
      </w:r>
      <w:r w:rsidRPr="00A60BE4">
        <w:t xml:space="preserve">. </w:t>
      </w:r>
    </w:p>
    <w:p w14:paraId="7B5B1FFA" w14:textId="074742DD" w:rsidR="000857E9" w:rsidRPr="00A60BE4" w:rsidRDefault="00230229" w:rsidP="000857E9">
      <w:pPr>
        <w:pStyle w:val="ListParagraph"/>
      </w:pPr>
      <w:hyperlink w:anchor="_Section_6:_The" w:history="1">
        <w:r w:rsidR="000857E9" w:rsidRPr="0035318A">
          <w:rPr>
            <w:rStyle w:val="Hyperlink"/>
          </w:rPr>
          <w:t>Retention</w:t>
        </w:r>
      </w:hyperlink>
      <w:r w:rsidR="000857E9" w:rsidRPr="00A60BE4">
        <w:t xml:space="preserve"> and </w:t>
      </w:r>
      <w:proofErr w:type="spellStart"/>
      <w:r w:rsidR="000857E9" w:rsidRPr="00A60BE4">
        <w:t>incentivi</w:t>
      </w:r>
      <w:r w:rsidR="000857E9">
        <w:t>s</w:t>
      </w:r>
      <w:r w:rsidR="000857E9" w:rsidRPr="00A60BE4">
        <w:t>ation</w:t>
      </w:r>
      <w:proofErr w:type="spellEnd"/>
      <w:r w:rsidR="000857E9" w:rsidRPr="00A60BE4">
        <w:t xml:space="preserve"> of taking up mental health specialisations. </w:t>
      </w:r>
    </w:p>
    <w:p w14:paraId="71E6A33E" w14:textId="7EB28DEE" w:rsidR="000857E9" w:rsidRPr="00A60BE4" w:rsidRDefault="000857E9" w:rsidP="000857E9">
      <w:pPr>
        <w:pStyle w:val="ListParagraph"/>
      </w:pPr>
      <w:r w:rsidRPr="00A60BE4">
        <w:t xml:space="preserve">Work and life supports built into employment contracts for people working in </w:t>
      </w:r>
      <w:hyperlink w:anchor="_The_rural_and" w:history="1">
        <w:r w:rsidRPr="0035318A">
          <w:rPr>
            <w:rStyle w:val="Hyperlink"/>
          </w:rPr>
          <w:t>rural and remotes</w:t>
        </w:r>
      </w:hyperlink>
      <w:r w:rsidRPr="00A60BE4">
        <w:t xml:space="preserve"> settings. </w:t>
      </w:r>
    </w:p>
    <w:p w14:paraId="3811713E" w14:textId="77777777" w:rsidR="000857E9" w:rsidRPr="00A60BE4" w:rsidRDefault="000857E9" w:rsidP="000857E9">
      <w:pPr>
        <w:pStyle w:val="ListParagraph"/>
      </w:pPr>
      <w:r w:rsidRPr="00A60BE4">
        <w:t>A combination of local and innovative ways to use workforces where a local workforce is not available</w:t>
      </w:r>
      <w:r>
        <w:t xml:space="preserve"> or insufficient</w:t>
      </w:r>
      <w:r w:rsidRPr="00A60BE4">
        <w:t xml:space="preserve">. </w:t>
      </w:r>
    </w:p>
    <w:p w14:paraId="6F9F99D6" w14:textId="1005B62A" w:rsidR="000857E9" w:rsidRDefault="000857E9" w:rsidP="00DF3A5F">
      <w:pPr>
        <w:pStyle w:val="ListParagraph"/>
        <w:numPr>
          <w:ilvl w:val="0"/>
          <w:numId w:val="0"/>
        </w:numPr>
        <w:ind w:left="170"/>
      </w:pPr>
    </w:p>
    <w:tbl>
      <w:tblPr>
        <w:tblStyle w:val="TableGrid"/>
        <w:tblW w:w="0" w:type="auto"/>
        <w:tblLook w:val="04A0" w:firstRow="1" w:lastRow="0" w:firstColumn="1" w:lastColumn="0" w:noHBand="0" w:noVBand="1"/>
      </w:tblPr>
      <w:tblGrid>
        <w:gridCol w:w="9622"/>
      </w:tblGrid>
      <w:tr w:rsidR="000857E9" w14:paraId="472448A6" w14:textId="77777777" w:rsidTr="00AE423D">
        <w:tc>
          <w:tcPr>
            <w:tcW w:w="9622" w:type="dxa"/>
            <w:vAlign w:val="center"/>
          </w:tcPr>
          <w:p w14:paraId="58DD9184" w14:textId="77777777" w:rsidR="000857E9" w:rsidRDefault="000857E9" w:rsidP="00AE423D">
            <w:r w:rsidRPr="00BF6090">
              <w:rPr>
                <w:b/>
                <w:bCs/>
                <w:color w:val="F7941D"/>
              </w:rPr>
              <w:t>Recommendation</w:t>
            </w:r>
            <w:r>
              <w:rPr>
                <w:b/>
                <w:bCs/>
                <w:color w:val="F7941D"/>
              </w:rPr>
              <w:t xml:space="preserve"> </w:t>
            </w:r>
            <w:r w:rsidR="006833D8">
              <w:rPr>
                <w:b/>
                <w:bCs/>
                <w:color w:val="F7941D"/>
              </w:rPr>
              <w:t>1</w:t>
            </w:r>
            <w:r w:rsidRPr="00BF6090">
              <w:rPr>
                <w:b/>
                <w:bCs/>
                <w:color w:val="F7941D"/>
              </w:rPr>
              <w:t>:</w:t>
            </w:r>
            <w:r w:rsidRPr="00BF6090">
              <w:rPr>
                <w:color w:val="F7941D"/>
              </w:rPr>
              <w:t xml:space="preserve"> </w:t>
            </w:r>
            <w:r w:rsidRPr="00F8099C">
              <w:rPr>
                <w:color w:val="auto"/>
              </w:rPr>
              <w:t>T</w:t>
            </w:r>
            <w:r>
              <w:rPr>
                <w:color w:val="auto"/>
              </w:rPr>
              <w:t xml:space="preserve">he </w:t>
            </w:r>
            <w:r>
              <w:t xml:space="preserve">National Mental Health Workforce Strategy must provide a clear definition of the multidisciplinary mental health workforce and include specific approaches to how this workforce can be achieved. </w:t>
            </w:r>
          </w:p>
        </w:tc>
      </w:tr>
    </w:tbl>
    <w:p w14:paraId="5603DE06" w14:textId="77777777" w:rsidR="000857E9" w:rsidRDefault="000857E9" w:rsidP="000857E9">
      <w:pPr>
        <w:spacing w:after="0"/>
      </w:pPr>
    </w:p>
    <w:p w14:paraId="6D695E39" w14:textId="77777777" w:rsidR="000857E9" w:rsidRDefault="000857E9" w:rsidP="000857E9">
      <w:pPr>
        <w:pStyle w:val="Heading3"/>
      </w:pPr>
      <w:bookmarkStart w:id="8" w:name="_Toc83726124"/>
      <w:r>
        <w:t>Lived Experience</w:t>
      </w:r>
      <w:bookmarkEnd w:id="8"/>
    </w:p>
    <w:p w14:paraId="7E50ACEF" w14:textId="77777777" w:rsidR="000857E9" w:rsidRDefault="000857E9" w:rsidP="000857E9">
      <w:r>
        <w:t>Lived Experience (peer) workers play an important role in building recovery-oriented approaches to care. Currently, peer workers are regarded as a valuable but underutilised part of the mental health workforce. The final Strategy needs to include a stronger focus on the Lived Experience (peer) workforce including a strategic approach to</w:t>
      </w:r>
      <w:r w:rsidRPr="0092443C">
        <w:t xml:space="preserve"> </w:t>
      </w:r>
      <w:proofErr w:type="spellStart"/>
      <w:r w:rsidRPr="0092443C">
        <w:t>professionalisation</w:t>
      </w:r>
      <w:proofErr w:type="spellEnd"/>
      <w:r w:rsidRPr="0092443C">
        <w:t xml:space="preserve"> </w:t>
      </w:r>
      <w:r>
        <w:t xml:space="preserve">and development </w:t>
      </w:r>
      <w:r w:rsidRPr="0092443C">
        <w:t xml:space="preserve">of the </w:t>
      </w:r>
      <w:r>
        <w:t>workforce</w:t>
      </w:r>
      <w:r w:rsidRPr="0092443C">
        <w:t xml:space="preserve"> with the same supports and accountabilities as other disciplines.</w:t>
      </w:r>
    </w:p>
    <w:p w14:paraId="78075351" w14:textId="77777777" w:rsidR="000857E9" w:rsidRDefault="000857E9" w:rsidP="000857E9">
      <w:pPr>
        <w:suppressAutoHyphens w:val="0"/>
        <w:autoSpaceDE/>
        <w:autoSpaceDN/>
        <w:adjustRightInd/>
        <w:textAlignment w:val="auto"/>
      </w:pPr>
      <w:r>
        <w:t>Better inclusion in the final Strategy could include strategic approaches to f</w:t>
      </w:r>
      <w:r w:rsidRPr="005C0AC1">
        <w:t>oster an environment where peer workers are a valued part of the multidisciplinary team, receive appropriate education, training, and remuneration, and are integral to the delivery of care.</w:t>
      </w:r>
      <w:r>
        <w:t xml:space="preserve"> In addition, the final Strategy should consider as part of the first objective (careers in mental health are, and are recognised as, attractive), the different pathways into and within </w:t>
      </w:r>
      <w:r>
        <w:lastRenderedPageBreak/>
        <w:t>the mental health workforce for peer workers compared to other disciplines.</w:t>
      </w:r>
    </w:p>
    <w:p w14:paraId="4C144C6D" w14:textId="77777777" w:rsidR="000857E9" w:rsidRPr="000857E9" w:rsidRDefault="000857E9" w:rsidP="000857E9">
      <w:pPr>
        <w:pStyle w:val="Heading4"/>
        <w:rPr>
          <w:b/>
          <w:bCs/>
        </w:rPr>
      </w:pPr>
      <w:r w:rsidRPr="000857E9">
        <w:rPr>
          <w:b/>
          <w:bCs/>
        </w:rPr>
        <w:t xml:space="preserve">The Lived Experience (Peer) Workforce Development Guidelines </w:t>
      </w:r>
    </w:p>
    <w:p w14:paraId="41C4D122" w14:textId="77777777" w:rsidR="000857E9" w:rsidRDefault="000857E9" w:rsidP="000857E9">
      <w:pPr>
        <w:suppressAutoHyphens w:val="0"/>
        <w:autoSpaceDE/>
        <w:autoSpaceDN/>
        <w:adjustRightInd/>
        <w:textAlignment w:val="auto"/>
      </w:pPr>
      <w:r>
        <w:t xml:space="preserve">Under the Fifth National Mental Health and Suicide Prevention Plan (Fifth Plan), the Commission is leading the development of Lived Experience (Peer) Workforce Development Guidelines. </w:t>
      </w:r>
      <w:r w:rsidRPr="00556A4E">
        <w:t>Th</w:t>
      </w:r>
      <w:r>
        <w:t>e project</w:t>
      </w:r>
      <w:r w:rsidRPr="00556A4E">
        <w:t xml:space="preserve"> will help support the peer workforce through providing formalised guidance for governments, employers and the peer workforce about support structures required to sustain and grow the workforce. Although local and regional peer workforce frameworks exist, the development of national guidelines will ensure consistency across Australia. National guidelines will also be a step towards </w:t>
      </w:r>
      <w:proofErr w:type="spellStart"/>
      <w:r w:rsidRPr="00556A4E">
        <w:t>professionalisation</w:t>
      </w:r>
      <w:proofErr w:type="spellEnd"/>
      <w:r w:rsidRPr="00556A4E">
        <w:t xml:space="preserve"> of the peer workforce.</w:t>
      </w:r>
      <w:r>
        <w:t xml:space="preserve"> </w:t>
      </w:r>
      <w:r w:rsidR="00C30A22">
        <w:t xml:space="preserve">The Lived Experience (Peer) Workforce Development Guidelines will be released by the Commission shortly. </w:t>
      </w:r>
      <w:r>
        <w:t xml:space="preserve">A summary of the Guidelines has been provided to the Taskforce. </w:t>
      </w:r>
    </w:p>
    <w:tbl>
      <w:tblPr>
        <w:tblStyle w:val="TableGrid"/>
        <w:tblW w:w="0" w:type="auto"/>
        <w:tblLook w:val="04A0" w:firstRow="1" w:lastRow="0" w:firstColumn="1" w:lastColumn="0" w:noHBand="0" w:noVBand="1"/>
      </w:tblPr>
      <w:tblGrid>
        <w:gridCol w:w="9622"/>
      </w:tblGrid>
      <w:tr w:rsidR="000857E9" w14:paraId="79016780" w14:textId="77777777" w:rsidTr="00AE423D">
        <w:tc>
          <w:tcPr>
            <w:tcW w:w="9622" w:type="dxa"/>
            <w:vAlign w:val="center"/>
          </w:tcPr>
          <w:p w14:paraId="3697CF88" w14:textId="77777777" w:rsidR="000857E9" w:rsidRDefault="000857E9" w:rsidP="00AE423D">
            <w:pPr>
              <w:suppressAutoHyphens w:val="0"/>
              <w:autoSpaceDE/>
              <w:autoSpaceDN/>
              <w:adjustRightInd/>
              <w:textAlignment w:val="auto"/>
            </w:pPr>
            <w:r w:rsidRPr="00F31380">
              <w:rPr>
                <w:b/>
                <w:bCs/>
                <w:color w:val="F7941D"/>
              </w:rPr>
              <w:t>Recommendation</w:t>
            </w:r>
            <w:r>
              <w:rPr>
                <w:b/>
                <w:bCs/>
                <w:color w:val="F7941D"/>
              </w:rPr>
              <w:t xml:space="preserve"> </w:t>
            </w:r>
            <w:r w:rsidR="00C16382">
              <w:rPr>
                <w:b/>
                <w:bCs/>
                <w:color w:val="F7941D"/>
              </w:rPr>
              <w:t>2</w:t>
            </w:r>
            <w:r w:rsidRPr="00F31380">
              <w:rPr>
                <w:b/>
                <w:bCs/>
                <w:color w:val="F7941D"/>
              </w:rPr>
              <w:t>:</w:t>
            </w:r>
            <w:r w:rsidRPr="00F31380">
              <w:rPr>
                <w:color w:val="F7941D"/>
              </w:rPr>
              <w:t xml:space="preserve"> </w:t>
            </w:r>
            <w:r w:rsidRPr="00F8099C">
              <w:rPr>
                <w:color w:val="auto"/>
              </w:rPr>
              <w:t>T</w:t>
            </w:r>
            <w:r>
              <w:rPr>
                <w:color w:val="auto"/>
              </w:rPr>
              <w:t xml:space="preserve">he </w:t>
            </w:r>
            <w:r>
              <w:t xml:space="preserve">National Mental Health Workforce Strategy must include a more strategic approach to the </w:t>
            </w:r>
            <w:proofErr w:type="spellStart"/>
            <w:r>
              <w:t>professionalisation</w:t>
            </w:r>
            <w:proofErr w:type="spellEnd"/>
            <w:r>
              <w:t xml:space="preserve"> and development of the Lived Experience (peer) workforce. The Department of Health should draw on and refer to</w:t>
            </w:r>
            <w:r w:rsidR="00247EC6">
              <w:t xml:space="preserve"> the</w:t>
            </w:r>
            <w:r>
              <w:t xml:space="preserve"> Lived Experience (Peer) Workforce Development Guidelines</w:t>
            </w:r>
            <w:r w:rsidR="00247EC6">
              <w:t xml:space="preserve"> </w:t>
            </w:r>
            <w:r>
              <w:t>in the Strategy.</w:t>
            </w:r>
          </w:p>
        </w:tc>
      </w:tr>
    </w:tbl>
    <w:p w14:paraId="45EC8433" w14:textId="77777777" w:rsidR="00262D28" w:rsidRDefault="00262D28" w:rsidP="00262D28">
      <w:pPr>
        <w:spacing w:after="0"/>
      </w:pPr>
    </w:p>
    <w:p w14:paraId="1D98652E" w14:textId="77777777" w:rsidR="005209C0" w:rsidRDefault="005209C0" w:rsidP="005209C0">
      <w:pPr>
        <w:pStyle w:val="Heading2"/>
      </w:pPr>
      <w:bookmarkStart w:id="9" w:name="_Toc83726125"/>
      <w:r>
        <w:t>Aim</w:t>
      </w:r>
      <w:bookmarkEnd w:id="9"/>
    </w:p>
    <w:p w14:paraId="7A6E6894" w14:textId="77777777" w:rsidR="005209C0" w:rsidRPr="004D4DF7" w:rsidRDefault="00913DD8" w:rsidP="005209C0">
      <w:r w:rsidRPr="00533AE1">
        <w:t xml:space="preserve">The Commission suggests </w:t>
      </w:r>
      <w:r w:rsidR="00533AE1" w:rsidRPr="00533AE1">
        <w:t xml:space="preserve">the aim of the Strategy is broadened to include wellbeing, including the mental health and wellbeing of the workforce itself. </w:t>
      </w:r>
      <w:r w:rsidR="00DE16BE">
        <w:t xml:space="preserve">Currently the aim focuses on treatment and </w:t>
      </w:r>
      <w:r w:rsidR="00A07F74">
        <w:t>care and</w:t>
      </w:r>
      <w:r w:rsidR="00DE16BE">
        <w:t xml:space="preserve"> would benefit from the inclusion of sustainable recovery.</w:t>
      </w:r>
      <w:r w:rsidR="00A07F74">
        <w:t xml:space="preserve"> The mental health and wellbeing of the workforce also needs to be </w:t>
      </w:r>
      <w:r w:rsidR="007E1040">
        <w:t xml:space="preserve">promoted here. </w:t>
      </w:r>
      <w:r w:rsidR="00D0227F">
        <w:t xml:space="preserve">Further detail </w:t>
      </w:r>
      <w:r w:rsidR="00D0227F">
        <w:lastRenderedPageBreak/>
        <w:t xml:space="preserve">on the mental health and wellbeing of the workforce is discussed at </w:t>
      </w:r>
      <w:hyperlink w:anchor="_Section_6:_The" w:history="1">
        <w:r w:rsidR="00D0227F" w:rsidRPr="00DF10F4">
          <w:rPr>
            <w:rStyle w:val="Hyperlink"/>
          </w:rPr>
          <w:t>Section 6: The mental health workforce is retained in the sector.</w:t>
        </w:r>
      </w:hyperlink>
    </w:p>
    <w:p w14:paraId="78AEF1EB" w14:textId="77777777" w:rsidR="00262D28" w:rsidRDefault="00262D28" w:rsidP="00262D28">
      <w:pPr>
        <w:pStyle w:val="Heading2"/>
      </w:pPr>
      <w:bookmarkStart w:id="10" w:name="_Toc83726126"/>
      <w:r>
        <w:t>Objectives and priority areas for action</w:t>
      </w:r>
      <w:bookmarkEnd w:id="10"/>
    </w:p>
    <w:p w14:paraId="6A83C3D2" w14:textId="77777777" w:rsidR="00252E9C" w:rsidRDefault="00262D28" w:rsidP="00262D28">
      <w:r>
        <w:t xml:space="preserve">The information provided to support the identification of priority areas and actions is valid, however there are also </w:t>
      </w:r>
      <w:r w:rsidR="000D1E30">
        <w:t>well-known</w:t>
      </w:r>
      <w:r>
        <w:t xml:space="preserve"> barriers to achieving the priority areas and actions </w:t>
      </w:r>
      <w:r w:rsidR="00252E9C">
        <w:t>that</w:t>
      </w:r>
      <w:r>
        <w:t xml:space="preserve"> are not sufficiently addressed by the </w:t>
      </w:r>
      <w:r w:rsidR="00252E9C">
        <w:t>Consultation Draft</w:t>
      </w:r>
      <w:r>
        <w:t xml:space="preserve">. There is substantial risk that the final Strategy will therefore not provide the necessary approaches to achieve change. </w:t>
      </w:r>
    </w:p>
    <w:p w14:paraId="5BFC4E71" w14:textId="77777777" w:rsidR="00262D28" w:rsidRDefault="00262D28" w:rsidP="00262D28">
      <w:r>
        <w:t>For example, Priority Area 4.1 recognises the importance of providing students, trainees and interns with high quality training, including mental health placements across a range of settings and locations. The action to support education and training providers and service providers to improve the quality and quantity of mental health placements might address a larger contextual challenge, however does not adequately address the fundamental barriers to students and trainees undertaking placements – affordability, choice, and incentives to undertake placements in rural and remote areas.</w:t>
      </w:r>
    </w:p>
    <w:p w14:paraId="795A2841" w14:textId="77777777" w:rsidR="00262D28" w:rsidRDefault="00262D28" w:rsidP="00262D28">
      <w:r>
        <w:t xml:space="preserve">Additionally, there is no consistency </w:t>
      </w:r>
      <w:r w:rsidR="00EF0CE6">
        <w:t xml:space="preserve">as </w:t>
      </w:r>
      <w:r>
        <w:t>to how the priority areas and actions are described. Implementation activities have been identified against some, but not all</w:t>
      </w:r>
      <w:r w:rsidDel="00146D5C">
        <w:t>,</w:t>
      </w:r>
      <w:r>
        <w:t xml:space="preserve"> of the </w:t>
      </w:r>
      <w:r w:rsidR="003506EB">
        <w:t>priorities,</w:t>
      </w:r>
      <w:r>
        <w:t xml:space="preserve"> while some priority areas provide ‘explanation’ notes. The final Strategy would benefit from more of this explanatory analysis and further elaboration could emphasise the actions required for change. </w:t>
      </w:r>
    </w:p>
    <w:tbl>
      <w:tblPr>
        <w:tblStyle w:val="TableGrid"/>
        <w:tblW w:w="0" w:type="auto"/>
        <w:tblLook w:val="04A0" w:firstRow="1" w:lastRow="0" w:firstColumn="1" w:lastColumn="0" w:noHBand="0" w:noVBand="1"/>
      </w:tblPr>
      <w:tblGrid>
        <w:gridCol w:w="9622"/>
      </w:tblGrid>
      <w:tr w:rsidR="00262D28" w14:paraId="7EE2D64B" w14:textId="77777777" w:rsidTr="00AE423D">
        <w:tc>
          <w:tcPr>
            <w:tcW w:w="9622" w:type="dxa"/>
            <w:vAlign w:val="center"/>
          </w:tcPr>
          <w:p w14:paraId="12C73256" w14:textId="7A579EA6" w:rsidR="00262D28" w:rsidRDefault="00262D28" w:rsidP="00AE423D">
            <w:r w:rsidRPr="00741DA9">
              <w:rPr>
                <w:b/>
                <w:bCs/>
                <w:color w:val="F7941D"/>
              </w:rPr>
              <w:lastRenderedPageBreak/>
              <w:t>Recommendation</w:t>
            </w:r>
            <w:r>
              <w:rPr>
                <w:b/>
                <w:bCs/>
                <w:color w:val="F7941D"/>
              </w:rPr>
              <w:t xml:space="preserve"> </w:t>
            </w:r>
            <w:r w:rsidR="004C123D">
              <w:rPr>
                <w:b/>
                <w:bCs/>
                <w:color w:val="F7941D"/>
              </w:rPr>
              <w:t>3</w:t>
            </w:r>
            <w:r w:rsidRPr="00741DA9">
              <w:rPr>
                <w:b/>
                <w:bCs/>
                <w:color w:val="F7941D"/>
              </w:rPr>
              <w:t>:</w:t>
            </w:r>
            <w:r w:rsidRPr="00741DA9">
              <w:rPr>
                <w:color w:val="F7941D"/>
              </w:rPr>
              <w:t xml:space="preserve"> </w:t>
            </w:r>
            <w:r>
              <w:rPr>
                <w:color w:val="auto"/>
              </w:rPr>
              <w:t xml:space="preserve">The </w:t>
            </w:r>
            <w:r w:rsidR="00291AFF">
              <w:t xml:space="preserve">Consultation Draft’s </w:t>
            </w:r>
            <w:r>
              <w:t>priorities and actions</w:t>
            </w:r>
            <w:r w:rsidR="003B530A">
              <w:t xml:space="preserve"> are reviewed</w:t>
            </w:r>
            <w:r>
              <w:t xml:space="preserve"> to better distinguish between strategic goals and the actions that will form part of the </w:t>
            </w:r>
            <w:r w:rsidR="00B77EFC">
              <w:t xml:space="preserve">National Mental Health Workforce </w:t>
            </w:r>
            <w:r>
              <w:t xml:space="preserve">Strategy’s implementation plan. </w:t>
            </w:r>
          </w:p>
        </w:tc>
      </w:tr>
    </w:tbl>
    <w:p w14:paraId="5F43FF45" w14:textId="77777777" w:rsidR="009001A3" w:rsidRDefault="009001A3" w:rsidP="009001A3">
      <w:pPr>
        <w:spacing w:after="0"/>
      </w:pPr>
    </w:p>
    <w:p w14:paraId="4EA4D601" w14:textId="77777777" w:rsidR="00C04769" w:rsidRDefault="00C04769" w:rsidP="00C04769">
      <w:pPr>
        <w:pStyle w:val="Heading3"/>
      </w:pPr>
      <w:bookmarkStart w:id="11" w:name="_Toc83726127"/>
      <w:r>
        <w:t>Temporal planning</w:t>
      </w:r>
      <w:bookmarkEnd w:id="11"/>
    </w:p>
    <w:p w14:paraId="24B2B955" w14:textId="77777777" w:rsidR="00C04769" w:rsidRDefault="00C04769" w:rsidP="00C04769">
      <w:r>
        <w:t xml:space="preserve">While the Commission appreciates a number of implementation actions are yet to be developed, the lack of a temporal plan in the </w:t>
      </w:r>
      <w:r w:rsidR="00CA2EA7">
        <w:t xml:space="preserve">Consultation Draft </w:t>
      </w:r>
      <w:r>
        <w:t xml:space="preserve">makes it difficult to understand the time period and sequence of achieving the stated priorities and actions. In </w:t>
      </w:r>
      <w:r w:rsidR="00C02A8E">
        <w:t>practice</w:t>
      </w:r>
      <w:r>
        <w:t>, many of the</w:t>
      </w:r>
      <w:r w:rsidDel="000D1B5B">
        <w:t xml:space="preserve"> </w:t>
      </w:r>
      <w:r>
        <w:t>required implementation activities will not be undertaken concurrently or immediately. Therefore, the final Strategy needs to articulate the intended progress across the short, medium and long term. Given the significant demands experienced across the mental health system,</w:t>
      </w:r>
      <w:r w:rsidRPr="00DB5BA3">
        <w:t xml:space="preserve"> </w:t>
      </w:r>
      <w:r>
        <w:t>the final S</w:t>
      </w:r>
      <w:r w:rsidRPr="00DB5BA3">
        <w:t xml:space="preserve">trategy needs to </w:t>
      </w:r>
      <w:r>
        <w:t>clearly articulate</w:t>
      </w:r>
      <w:r w:rsidRPr="00DB5BA3">
        <w:t xml:space="preserve"> how we get there as quickly as possible</w:t>
      </w:r>
      <w:r>
        <w:t>.</w:t>
      </w:r>
    </w:p>
    <w:tbl>
      <w:tblPr>
        <w:tblStyle w:val="TableGrid"/>
        <w:tblW w:w="0" w:type="auto"/>
        <w:tblLook w:val="04A0" w:firstRow="1" w:lastRow="0" w:firstColumn="1" w:lastColumn="0" w:noHBand="0" w:noVBand="1"/>
      </w:tblPr>
      <w:tblGrid>
        <w:gridCol w:w="9622"/>
      </w:tblGrid>
      <w:tr w:rsidR="00C04769" w14:paraId="098364D0" w14:textId="77777777" w:rsidTr="00AE423D">
        <w:tc>
          <w:tcPr>
            <w:tcW w:w="9622" w:type="dxa"/>
            <w:vAlign w:val="center"/>
          </w:tcPr>
          <w:p w14:paraId="777CCAF7" w14:textId="77777777" w:rsidR="00C04769" w:rsidRDefault="00C04769" w:rsidP="00AE423D">
            <w:r w:rsidRPr="00D868B8">
              <w:rPr>
                <w:b/>
                <w:bCs/>
                <w:color w:val="F7941D"/>
              </w:rPr>
              <w:t>Recommendation</w:t>
            </w:r>
            <w:r>
              <w:rPr>
                <w:b/>
                <w:bCs/>
                <w:color w:val="F7941D"/>
              </w:rPr>
              <w:t xml:space="preserve"> </w:t>
            </w:r>
            <w:r w:rsidR="005876CD">
              <w:rPr>
                <w:b/>
                <w:bCs/>
                <w:color w:val="F7941D"/>
              </w:rPr>
              <w:t>4</w:t>
            </w:r>
            <w:r w:rsidRPr="00D868B8">
              <w:rPr>
                <w:b/>
                <w:bCs/>
                <w:color w:val="F7941D"/>
              </w:rPr>
              <w:t>:</w:t>
            </w:r>
            <w:r w:rsidRPr="00D868B8">
              <w:rPr>
                <w:color w:val="F7941D"/>
              </w:rPr>
              <w:t xml:space="preserve"> </w:t>
            </w:r>
            <w:r>
              <w:rPr>
                <w:color w:val="auto"/>
              </w:rPr>
              <w:t xml:space="preserve">The </w:t>
            </w:r>
            <w:r>
              <w:t>National Mental Health Workforce Strategy incorporates a temporal plan detailing the short, medium, and long-term approaches to the achievement of priorities and actions.</w:t>
            </w:r>
          </w:p>
        </w:tc>
      </w:tr>
    </w:tbl>
    <w:p w14:paraId="5A778AB3" w14:textId="77777777" w:rsidR="00DF3A5F" w:rsidRDefault="00DF3A5F" w:rsidP="00DF3A5F">
      <w:pPr>
        <w:pStyle w:val="NoSpacing"/>
        <w:rPr>
          <w:lang w:val="en-AU"/>
        </w:rPr>
      </w:pPr>
      <w:bookmarkStart w:id="12" w:name="_Toc83726128"/>
    </w:p>
    <w:p w14:paraId="10BF3570" w14:textId="0B4468DD" w:rsidR="005165FB" w:rsidRDefault="005165FB" w:rsidP="005165FB">
      <w:pPr>
        <w:pStyle w:val="Heading1"/>
        <w:rPr>
          <w:lang w:val="en-AU"/>
        </w:rPr>
      </w:pPr>
      <w:r>
        <w:rPr>
          <w:lang w:val="en-AU"/>
        </w:rPr>
        <w:lastRenderedPageBreak/>
        <w:t>Section 2: Careers in mental health are, and are recognised as, attractive</w:t>
      </w:r>
      <w:bookmarkEnd w:id="12"/>
    </w:p>
    <w:p w14:paraId="1271D42B" w14:textId="77777777" w:rsidR="00827F99" w:rsidRPr="00827F99" w:rsidRDefault="00827F99" w:rsidP="00827F99">
      <w:pPr>
        <w:pStyle w:val="Heading3"/>
        <w:rPr>
          <w:lang w:val="en-AU"/>
        </w:rPr>
      </w:pPr>
      <w:bookmarkStart w:id="13" w:name="_Toc83726129"/>
      <w:r w:rsidRPr="00827F99">
        <w:rPr>
          <w:lang w:val="en-AU"/>
        </w:rPr>
        <w:t>Stigma and discrimination</w:t>
      </w:r>
      <w:bookmarkEnd w:id="13"/>
      <w:r w:rsidRPr="00827F99">
        <w:rPr>
          <w:lang w:val="en-AU"/>
        </w:rPr>
        <w:t xml:space="preserve"> </w:t>
      </w:r>
    </w:p>
    <w:p w14:paraId="33E53E3A" w14:textId="77777777" w:rsidR="00827F99" w:rsidRPr="00827F99" w:rsidRDefault="00827F99" w:rsidP="00827F99">
      <w:pPr>
        <w:rPr>
          <w:lang w:val="en-AU"/>
        </w:rPr>
      </w:pPr>
      <w:r w:rsidRPr="00827F99">
        <w:rPr>
          <w:lang w:val="en-AU"/>
        </w:rPr>
        <w:t xml:space="preserve">The </w:t>
      </w:r>
      <w:r w:rsidR="00EE17FC">
        <w:rPr>
          <w:lang w:val="en-AU"/>
        </w:rPr>
        <w:t>C</w:t>
      </w:r>
      <w:r w:rsidRPr="00827F99">
        <w:rPr>
          <w:lang w:val="en-AU"/>
        </w:rPr>
        <w:t>ommission notes addressing stigma and discrimination as a means of attracting people into the workforce has been included in this section of the Draft Consultation. However there is a need for the Strategy to continue to reduce stigma and discrimination in the workplace through developing and implementing training programmes that build awareness of, and knowledge about the impact of stigma and discrimination</w:t>
      </w:r>
      <w:r w:rsidR="00E37003">
        <w:rPr>
          <w:lang w:val="en-AU"/>
        </w:rPr>
        <w:t>,</w:t>
      </w:r>
      <w:r w:rsidRPr="00827F99">
        <w:rPr>
          <w:lang w:val="en-AU"/>
        </w:rPr>
        <w:t xml:space="preserve"> as outlined in the Fifth National Mental Health</w:t>
      </w:r>
      <w:r>
        <w:rPr>
          <w:lang w:val="en-AU"/>
        </w:rPr>
        <w:t xml:space="preserve"> and Suicide Prevention</w:t>
      </w:r>
      <w:r w:rsidRPr="00827F99">
        <w:rPr>
          <w:lang w:val="en-AU"/>
        </w:rPr>
        <w:t xml:space="preserve"> Plan</w:t>
      </w:r>
      <w:r w:rsidR="00A9719E">
        <w:rPr>
          <w:lang w:val="en-AU"/>
        </w:rPr>
        <w:t xml:space="preserve"> Implementation Plan</w:t>
      </w:r>
      <w:r>
        <w:rPr>
          <w:lang w:val="en-AU"/>
        </w:rPr>
        <w:t>.</w:t>
      </w:r>
      <w:r>
        <w:rPr>
          <w:rStyle w:val="EndnoteReference"/>
          <w:lang w:val="en-AU"/>
        </w:rPr>
        <w:endnoteReference w:id="3"/>
      </w:r>
    </w:p>
    <w:p w14:paraId="7C911148" w14:textId="0D63CE05" w:rsidR="00827F99" w:rsidRPr="00827F99" w:rsidRDefault="00827F99" w:rsidP="00827F99">
      <w:pPr>
        <w:rPr>
          <w:lang w:val="en-AU"/>
        </w:rPr>
      </w:pPr>
      <w:r w:rsidRPr="00827F99">
        <w:rPr>
          <w:lang w:val="en-AU"/>
        </w:rPr>
        <w:t>There needs to be a strategic approach to the active promotion for all workplaces to adopt a culture where stigma and discrimination are not tolerated. Addressing stigma and discrimination experienced by the peer workforce also needs to be a priority.</w:t>
      </w:r>
      <w:r w:rsidR="00B11214">
        <w:rPr>
          <w:lang w:val="en-AU"/>
        </w:rPr>
        <w:t xml:space="preserve"> </w:t>
      </w:r>
      <w:r w:rsidR="00B11214" w:rsidRPr="00A96702">
        <w:rPr>
          <w:rFonts w:cs="Roboto Light"/>
          <w:szCs w:val="18"/>
        </w:rPr>
        <w:t xml:space="preserve">Lived Experience work needs to be supported and embedded as an integral part of the way all mental health services are delivered. The challenge is not simply to create new jobs or recruit new workers, but to embed a new source of knowledge and new ways of thinking about mental health, into an established service system. A commitment to change, collaboration, and co-development is essential. The National Lived Experience (Peer) Workforce Guidelines outlines the underpinning values and principles of designated Lived Experience work </w:t>
      </w:r>
      <w:r w:rsidR="00B11214" w:rsidRPr="00A96702">
        <w:rPr>
          <w:rFonts w:cs="Roboto Light"/>
          <w:szCs w:val="18"/>
        </w:rPr>
        <w:lastRenderedPageBreak/>
        <w:t>and provides clarity to understand authentic Lived Experience practice, different types of Lived Experience work, and direction on how non-designated colleagues and managers can best support Lived Experience workforce development.</w:t>
      </w:r>
      <w:r w:rsidRPr="00827F99">
        <w:rPr>
          <w:lang w:val="en-AU"/>
        </w:rPr>
        <w:t xml:space="preserve"> There is a need to educate non-peer workers on the functions, values and role of mental health peer workers. This was raised by the Productivity Commission who recommended the development of a program to educate health professionals about the role and value of peer workers in improving outcomes.</w:t>
      </w:r>
    </w:p>
    <w:p w14:paraId="6450EBAB" w14:textId="77777777" w:rsidR="005165FB" w:rsidRDefault="00827F99" w:rsidP="00827F99">
      <w:pPr>
        <w:rPr>
          <w:lang w:val="en-AU"/>
        </w:rPr>
      </w:pPr>
      <w:r w:rsidRPr="00827F99">
        <w:rPr>
          <w:lang w:val="en-AU"/>
        </w:rPr>
        <w:t xml:space="preserve">This connects closely to </w:t>
      </w:r>
      <w:r w:rsidR="00615156">
        <w:rPr>
          <w:lang w:val="en-AU"/>
        </w:rPr>
        <w:t>Object</w:t>
      </w:r>
      <w:r w:rsidR="00E37003">
        <w:rPr>
          <w:lang w:val="en-AU"/>
        </w:rPr>
        <w:t>ive</w:t>
      </w:r>
      <w:r w:rsidR="00615156">
        <w:rPr>
          <w:lang w:val="en-AU"/>
        </w:rPr>
        <w:t xml:space="preserve"> 5</w:t>
      </w:r>
      <w:r w:rsidRPr="00827F99">
        <w:rPr>
          <w:lang w:val="en-AU"/>
        </w:rPr>
        <w:t xml:space="preserve"> (along with addressing the factors that decrease the attractiveness of working in the mental health sector.) The Commission propose</w:t>
      </w:r>
      <w:r w:rsidR="00E37003">
        <w:rPr>
          <w:lang w:val="en-AU"/>
        </w:rPr>
        <w:t>s</w:t>
      </w:r>
      <w:r w:rsidRPr="00827F99">
        <w:rPr>
          <w:lang w:val="en-AU"/>
        </w:rPr>
        <w:t xml:space="preserve"> a better structural connection between </w:t>
      </w:r>
      <w:r w:rsidR="00615156">
        <w:rPr>
          <w:lang w:val="en-AU"/>
        </w:rPr>
        <w:t>Objectives 3 and 5</w:t>
      </w:r>
      <w:r w:rsidRPr="00827F99">
        <w:rPr>
          <w:lang w:val="en-AU"/>
        </w:rPr>
        <w:t xml:space="preserve"> as some of the priorities raised in this section impact on </w:t>
      </w:r>
      <w:r w:rsidR="00E37003">
        <w:rPr>
          <w:lang w:val="en-AU"/>
        </w:rPr>
        <w:t xml:space="preserve">the </w:t>
      </w:r>
      <w:r w:rsidRPr="00827F99">
        <w:rPr>
          <w:lang w:val="en-AU"/>
        </w:rPr>
        <w:t>retention of the workforce.</w:t>
      </w:r>
    </w:p>
    <w:p w14:paraId="0F6DEA59" w14:textId="77777777" w:rsidR="00445623" w:rsidRDefault="00445623" w:rsidP="00445623">
      <w:pPr>
        <w:pStyle w:val="Heading1"/>
        <w:rPr>
          <w:lang w:val="en-AU"/>
        </w:rPr>
      </w:pPr>
      <w:bookmarkStart w:id="14" w:name="_Toc83726130"/>
      <w:r>
        <w:rPr>
          <w:lang w:val="en-AU"/>
        </w:rPr>
        <w:t>Section 3: Data underpins workforce planning</w:t>
      </w:r>
      <w:bookmarkEnd w:id="14"/>
    </w:p>
    <w:p w14:paraId="06C4090A" w14:textId="77777777" w:rsidR="00445623" w:rsidRDefault="00B205ED" w:rsidP="00962E37">
      <w:pPr>
        <w:suppressAutoHyphens w:val="0"/>
        <w:autoSpaceDE/>
        <w:autoSpaceDN/>
        <w:adjustRightInd/>
        <w:textAlignment w:val="auto"/>
      </w:pPr>
      <w:r>
        <w:t xml:space="preserve">The Commission suggests the Department of Health and </w:t>
      </w:r>
      <w:r w:rsidR="00494030">
        <w:t>the</w:t>
      </w:r>
      <w:r w:rsidR="00E37003">
        <w:t xml:space="preserve"> </w:t>
      </w:r>
      <w:r>
        <w:t>Taskforce consider the inclusion of v</w:t>
      </w:r>
      <w:r w:rsidR="00AD589E">
        <w:t>acancy data</w:t>
      </w:r>
      <w:r w:rsidR="007F26C6">
        <w:t xml:space="preserve"> to </w:t>
      </w:r>
      <w:r w:rsidR="009E14A4">
        <w:t xml:space="preserve">underpin workforce planning and </w:t>
      </w:r>
      <w:r w:rsidR="007F26C6">
        <w:t xml:space="preserve">provide an accurate </w:t>
      </w:r>
      <w:r w:rsidR="00680845">
        <w:t>picture of workforce shortages</w:t>
      </w:r>
      <w:r w:rsidR="00AD589E">
        <w:t xml:space="preserve">. </w:t>
      </w:r>
      <w:r w:rsidR="009E14A4">
        <w:t xml:space="preserve">Currently the </w:t>
      </w:r>
      <w:r w:rsidR="006114A7">
        <w:t xml:space="preserve">Internet Vacancy Index is the </w:t>
      </w:r>
      <w:r w:rsidR="006114A7" w:rsidRPr="006114A7">
        <w:t>only publicly available source of detailed data on online vacancies.</w:t>
      </w:r>
      <w:r w:rsidR="006114A7">
        <w:t xml:space="preserve"> This data source is limited </w:t>
      </w:r>
      <w:r w:rsidR="00B31FB3">
        <w:t xml:space="preserve">to </w:t>
      </w:r>
      <w:r w:rsidR="00B31FB3" w:rsidRPr="00B31FB3">
        <w:t xml:space="preserve">online job advertisements lodged on SEEK, </w:t>
      </w:r>
      <w:proofErr w:type="spellStart"/>
      <w:r w:rsidR="00B31FB3" w:rsidRPr="00B31FB3">
        <w:t>CareerOne</w:t>
      </w:r>
      <w:proofErr w:type="spellEnd"/>
      <w:r w:rsidR="00B31FB3" w:rsidRPr="00B31FB3">
        <w:t xml:space="preserve"> and Australian </w:t>
      </w:r>
      <w:proofErr w:type="spellStart"/>
      <w:r w:rsidR="00B31FB3" w:rsidRPr="00B31FB3">
        <w:t>JobSearch</w:t>
      </w:r>
      <w:proofErr w:type="spellEnd"/>
      <w:r w:rsidR="004075CE">
        <w:t xml:space="preserve"> and traditional </w:t>
      </w:r>
      <w:r w:rsidR="004075CE">
        <w:lastRenderedPageBreak/>
        <w:t>m</w:t>
      </w:r>
      <w:r w:rsidR="00916AC7">
        <w:t>ental health workforces</w:t>
      </w:r>
      <w:r w:rsidR="007E783D">
        <w:t xml:space="preserve"> </w:t>
      </w:r>
      <w:r w:rsidR="004075CE">
        <w:t xml:space="preserve">such as </w:t>
      </w:r>
      <w:r w:rsidR="00880810">
        <w:t>psychologists</w:t>
      </w:r>
      <w:r w:rsidR="00087E91">
        <w:t xml:space="preserve"> and</w:t>
      </w:r>
      <w:r w:rsidR="00880810">
        <w:t xml:space="preserve"> </w:t>
      </w:r>
      <w:r w:rsidR="00087E91">
        <w:t>psychiatrists. Therefore,</w:t>
      </w:r>
      <w:r w:rsidR="00916AC7">
        <w:t xml:space="preserve"> it is not an accurate picture of</w:t>
      </w:r>
      <w:r w:rsidR="005F5941">
        <w:t xml:space="preserve"> all vacancies in the</w:t>
      </w:r>
      <w:r w:rsidR="00916AC7">
        <w:t xml:space="preserve"> mental health</w:t>
      </w:r>
      <w:r w:rsidR="005F5941">
        <w:t xml:space="preserve"> workforce</w:t>
      </w:r>
      <w:r w:rsidR="00916AC7">
        <w:t xml:space="preserve"> labour market</w:t>
      </w:r>
      <w:r w:rsidR="00C96429">
        <w:t xml:space="preserve"> and vacancy rates remain a data gap</w:t>
      </w:r>
      <w:r w:rsidR="00916AC7">
        <w:t xml:space="preserve">. </w:t>
      </w:r>
    </w:p>
    <w:p w14:paraId="299B7AA8" w14:textId="77777777" w:rsidR="00445623" w:rsidRDefault="00445623" w:rsidP="00445623">
      <w:pPr>
        <w:pStyle w:val="Heading1"/>
        <w:rPr>
          <w:lang w:val="en-AU"/>
        </w:rPr>
      </w:pPr>
      <w:bookmarkStart w:id="15" w:name="_Toc83726131"/>
      <w:r>
        <w:rPr>
          <w:lang w:val="en-AU"/>
        </w:rPr>
        <w:t xml:space="preserve">Section </w:t>
      </w:r>
      <w:r w:rsidR="00882207">
        <w:rPr>
          <w:lang w:val="en-AU"/>
        </w:rPr>
        <w:t>4</w:t>
      </w:r>
      <w:r>
        <w:rPr>
          <w:lang w:val="en-AU"/>
        </w:rPr>
        <w:t xml:space="preserve">: </w:t>
      </w:r>
      <w:r w:rsidR="00882207">
        <w:rPr>
          <w:lang w:val="en-AU"/>
        </w:rPr>
        <w:t>The entire mental health workforce is utilised</w:t>
      </w:r>
      <w:bookmarkEnd w:id="15"/>
    </w:p>
    <w:p w14:paraId="4CBD5772" w14:textId="77777777" w:rsidR="00E3107B" w:rsidRDefault="00E3107B" w:rsidP="00E3107B">
      <w:pPr>
        <w:pStyle w:val="Heading2"/>
      </w:pPr>
      <w:bookmarkStart w:id="16" w:name="_Working_to_top"/>
      <w:bookmarkStart w:id="17" w:name="_Toc83726132"/>
      <w:bookmarkEnd w:id="16"/>
      <w:r>
        <w:t>Working to top of scope</w:t>
      </w:r>
      <w:bookmarkEnd w:id="17"/>
    </w:p>
    <w:p w14:paraId="545A82FE" w14:textId="5484097B" w:rsidR="00EE4E5C" w:rsidRDefault="00E3107B" w:rsidP="00E3107B">
      <w:r>
        <w:t xml:space="preserve">The </w:t>
      </w:r>
      <w:r w:rsidR="00CA2EA7">
        <w:t xml:space="preserve">Consultation Draft </w:t>
      </w:r>
      <w:r>
        <w:t xml:space="preserve">refers to professions working to their full scope of practice. This means </w:t>
      </w:r>
      <w:r w:rsidR="00676FB6">
        <w:t>practitioners</w:t>
      </w:r>
      <w:r w:rsidR="00EE4E5C">
        <w:t xml:space="preserve"> are only enabled to apply the skills, competencies and knowledge set by their professional regulatory body (</w:t>
      </w:r>
      <w:r w:rsidR="00676FB6">
        <w:t xml:space="preserve">for example, </w:t>
      </w:r>
      <w:r w:rsidR="00EE4E5C">
        <w:t>the Nursing and Midwifery Board of Australia) or</w:t>
      </w:r>
      <w:r w:rsidR="00676FB6">
        <w:t xml:space="preserve"> in some cases</w:t>
      </w:r>
      <w:r w:rsidR="00EE4E5C">
        <w:t xml:space="preserve"> their state’s legislation.</w:t>
      </w:r>
      <w:r w:rsidR="00676FB6">
        <w:rPr>
          <w:rStyle w:val="EndnoteReference"/>
        </w:rPr>
        <w:endnoteReference w:id="4"/>
      </w:r>
      <w:r w:rsidR="00EE4E5C">
        <w:t xml:space="preserve"> This is a restricted way of viewing </w:t>
      </w:r>
      <w:r w:rsidR="00676FB6">
        <w:t>only the necessary skills and competencies a</w:t>
      </w:r>
      <w:r w:rsidR="00EE4E5C">
        <w:t xml:space="preserve"> practitioner</w:t>
      </w:r>
      <w:r w:rsidR="00676FB6">
        <w:t xml:space="preserve"> would need to do their job and does not capture the breadth required to achieve Objective 3 of the Strategy.</w:t>
      </w:r>
      <w:r w:rsidR="00EE4E5C">
        <w:t xml:space="preserve"> </w:t>
      </w:r>
    </w:p>
    <w:p w14:paraId="5B431B0A" w14:textId="15357EA4" w:rsidR="00E3107B" w:rsidRDefault="008351D4" w:rsidP="00E3107B">
      <w:r>
        <w:t xml:space="preserve">The Commission recommends the final Strategy </w:t>
      </w:r>
      <w:r w:rsidR="00E3107B">
        <w:t xml:space="preserve">promotes working to top of scope. This concept has been defined by </w:t>
      </w:r>
      <w:proofErr w:type="spellStart"/>
      <w:r w:rsidR="00E3107B">
        <w:t>Te</w:t>
      </w:r>
      <w:proofErr w:type="spellEnd"/>
      <w:r w:rsidR="00E3107B">
        <w:t xml:space="preserve"> </w:t>
      </w:r>
      <w:proofErr w:type="spellStart"/>
      <w:r w:rsidR="00E3107B">
        <w:t>Pou</w:t>
      </w:r>
      <w:proofErr w:type="spellEnd"/>
      <w:r w:rsidR="00E3107B">
        <w:t xml:space="preserve"> </w:t>
      </w:r>
      <w:r w:rsidR="007911CF">
        <w:t>(</w:t>
      </w:r>
      <w:r w:rsidR="007911CF" w:rsidRPr="007911CF">
        <w:t>a national workforce centre for mental health, addiction and disability in New Zealand</w:t>
      </w:r>
      <w:r w:rsidR="00923329">
        <w:t>)</w:t>
      </w:r>
      <w:r w:rsidR="00E3107B">
        <w:t xml:space="preserve"> as follows:</w:t>
      </w:r>
    </w:p>
    <w:p w14:paraId="38713C1B" w14:textId="77777777" w:rsidR="00E3107B" w:rsidRDefault="00E3107B" w:rsidP="00E3107B">
      <w:pPr>
        <w:spacing w:after="0"/>
        <w:ind w:left="567" w:right="1127"/>
      </w:pPr>
      <w:r>
        <w:t xml:space="preserve">“At a systems-level, working to top of scope means optimising workforce capacity and effectiveness through validating and maintaining current best practice; developing new roles and new ways of practising; and </w:t>
      </w:r>
      <w:r>
        <w:lastRenderedPageBreak/>
        <w:t>ensuring that policy, provider, and service environments support these new roles and practices to succeed.</w:t>
      </w:r>
    </w:p>
    <w:p w14:paraId="6B1B99BE" w14:textId="77777777" w:rsidR="00E3107B" w:rsidRDefault="00E3107B" w:rsidP="00E3107B">
      <w:pPr>
        <w:spacing w:after="0"/>
        <w:ind w:left="567" w:right="1127"/>
      </w:pPr>
    </w:p>
    <w:p w14:paraId="1CE6083C" w14:textId="77777777" w:rsidR="00E3107B" w:rsidRDefault="00E3107B" w:rsidP="00E3107B">
      <w:pPr>
        <w:ind w:left="567" w:right="1127"/>
      </w:pPr>
      <w:r>
        <w:t>At an individual and practice level, working to top of scope means enhanced opportunities and capacity to utilise specialised knowledge and expertise in a way that is efficient, adaptive, collaborative, holistic and ethical, and fundamentally supports the service user and their wider family.”</w:t>
      </w:r>
      <w:r>
        <w:rPr>
          <w:rStyle w:val="EndnoteReference"/>
        </w:rPr>
        <w:endnoteReference w:id="5"/>
      </w:r>
    </w:p>
    <w:p w14:paraId="3FD6A32A" w14:textId="77777777" w:rsidR="00997E66" w:rsidRDefault="00EF57D0" w:rsidP="00E3107B">
      <w:r>
        <w:t xml:space="preserve">Working to top of scope </w:t>
      </w:r>
      <w:r w:rsidR="001358B0">
        <w:t>is about</w:t>
      </w:r>
      <w:r w:rsidR="000D6AD1" w:rsidRPr="000D6AD1">
        <w:t xml:space="preserve"> </w:t>
      </w:r>
      <w:r w:rsidR="000D6AD1">
        <w:t>optimising workforce effectiveness and</w:t>
      </w:r>
      <w:r w:rsidR="005273C6">
        <w:t xml:space="preserve"> facilitating th</w:t>
      </w:r>
      <w:r w:rsidR="008E63E7">
        <w:t>e workforce being able to reach its full potential</w:t>
      </w:r>
      <w:r w:rsidR="005273C6">
        <w:t xml:space="preserve">. It </w:t>
      </w:r>
      <w:r w:rsidR="007913A8">
        <w:t>focuses on</w:t>
      </w:r>
      <w:r w:rsidR="00810222">
        <w:t xml:space="preserve"> </w:t>
      </w:r>
      <w:r w:rsidR="007913A8">
        <w:t xml:space="preserve">creating </w:t>
      </w:r>
      <w:r w:rsidR="00810222">
        <w:t xml:space="preserve">supportive work </w:t>
      </w:r>
      <w:r w:rsidR="007913A8">
        <w:t>environments</w:t>
      </w:r>
      <w:r w:rsidR="00E04E6D">
        <w:t>, ensuring workforces have the information and resources to enable workers to do their best work</w:t>
      </w:r>
      <w:r w:rsidR="00A5631F">
        <w:t>,</w:t>
      </w:r>
      <w:r w:rsidR="00E04E6D">
        <w:t xml:space="preserve"> and</w:t>
      </w:r>
      <w:r w:rsidR="008E63E7">
        <w:t xml:space="preserve"> </w:t>
      </w:r>
      <w:r w:rsidR="00810222">
        <w:t>improving job satisfaction</w:t>
      </w:r>
      <w:r w:rsidR="00E04E6D">
        <w:t xml:space="preserve">. This results in </w:t>
      </w:r>
      <w:r w:rsidR="00E92E43">
        <w:t>a well-supported workforc</w:t>
      </w:r>
      <w:r w:rsidR="006A1EB2">
        <w:t>e t</w:t>
      </w:r>
      <w:r w:rsidR="002B6037">
        <w:t>hat is</w:t>
      </w:r>
      <w:r w:rsidR="00E3107B">
        <w:t xml:space="preserve"> more capable and responsive to need</w:t>
      </w:r>
      <w:r w:rsidR="00FB336D">
        <w:t>.</w:t>
      </w:r>
    </w:p>
    <w:p w14:paraId="283E5308" w14:textId="77777777" w:rsidR="00E3107B" w:rsidRDefault="00E3107B" w:rsidP="00E3107B">
      <w:r w:rsidRPr="001C6E3A">
        <w:t>Workforces need to be suffi</w:t>
      </w:r>
      <w:r>
        <w:t xml:space="preserve">ciently resourced to work to </w:t>
      </w:r>
      <w:r w:rsidRPr="001C6E3A">
        <w:t>top of scope – this means enhancing opportunities and capacity to utilise specialised knowledge and expertise in a way that is efficient, adaptive, collaborative, holistic and ethical, and fundamentally supports the service user, their families and carers.</w:t>
      </w:r>
    </w:p>
    <w:tbl>
      <w:tblPr>
        <w:tblStyle w:val="TableGrid"/>
        <w:tblW w:w="0" w:type="auto"/>
        <w:tblLook w:val="04A0" w:firstRow="1" w:lastRow="0" w:firstColumn="1" w:lastColumn="0" w:noHBand="0" w:noVBand="1"/>
      </w:tblPr>
      <w:tblGrid>
        <w:gridCol w:w="9622"/>
      </w:tblGrid>
      <w:tr w:rsidR="00E3107B" w14:paraId="0D2844BC" w14:textId="77777777" w:rsidTr="00AE423D">
        <w:tc>
          <w:tcPr>
            <w:tcW w:w="9622" w:type="dxa"/>
            <w:vAlign w:val="center"/>
          </w:tcPr>
          <w:p w14:paraId="7A042C66" w14:textId="77777777" w:rsidR="00E3107B" w:rsidRDefault="00E3107B" w:rsidP="00AE423D">
            <w:r w:rsidRPr="003242B2">
              <w:rPr>
                <w:b/>
                <w:bCs/>
                <w:color w:val="F7941D"/>
              </w:rPr>
              <w:t>Recommendation</w:t>
            </w:r>
            <w:r>
              <w:rPr>
                <w:b/>
                <w:bCs/>
                <w:color w:val="F7941D"/>
              </w:rPr>
              <w:t xml:space="preserve"> </w:t>
            </w:r>
            <w:r w:rsidR="00FC5C41">
              <w:rPr>
                <w:b/>
                <w:bCs/>
                <w:color w:val="F7941D"/>
              </w:rPr>
              <w:t>5</w:t>
            </w:r>
            <w:r w:rsidRPr="003242B2">
              <w:rPr>
                <w:b/>
                <w:bCs/>
                <w:color w:val="F7941D"/>
              </w:rPr>
              <w:t>:</w:t>
            </w:r>
            <w:r w:rsidRPr="003242B2">
              <w:rPr>
                <w:color w:val="F7941D"/>
              </w:rPr>
              <w:t xml:space="preserve"> </w:t>
            </w:r>
            <w:r>
              <w:t xml:space="preserve">The National Mental Health Workforce Strategy must promote the systems approach of working to top of scope. It is necessary the Strategy clearly identifies approaches that address the barriers currently preventing the multidisciplinary workforce from working to top of scope. </w:t>
            </w:r>
          </w:p>
        </w:tc>
      </w:tr>
    </w:tbl>
    <w:p w14:paraId="5CE1A78D" w14:textId="77777777" w:rsidR="00445623" w:rsidRDefault="00445623">
      <w:pPr>
        <w:suppressAutoHyphens w:val="0"/>
        <w:autoSpaceDE/>
        <w:autoSpaceDN/>
        <w:adjustRightInd/>
        <w:spacing w:after="0" w:line="240" w:lineRule="auto"/>
        <w:textAlignment w:val="auto"/>
      </w:pPr>
    </w:p>
    <w:p w14:paraId="57E5C275" w14:textId="77777777" w:rsidR="000F5C82" w:rsidRDefault="000F5C82" w:rsidP="000F5C82">
      <w:pPr>
        <w:pStyle w:val="Heading2"/>
      </w:pPr>
      <w:bookmarkStart w:id="18" w:name="_Roles_and_responsibilities"/>
      <w:bookmarkStart w:id="19" w:name="_Toc83726133"/>
      <w:bookmarkEnd w:id="18"/>
      <w:r>
        <w:lastRenderedPageBreak/>
        <w:t>Roles and responsibilities</w:t>
      </w:r>
      <w:bookmarkEnd w:id="19"/>
    </w:p>
    <w:p w14:paraId="2461F479" w14:textId="2331EA7F" w:rsidR="000F5C82" w:rsidRDefault="00410BA1" w:rsidP="000F5C82">
      <w:r>
        <w:t>T</w:t>
      </w:r>
      <w:r w:rsidR="000F5C82">
        <w:t xml:space="preserve">here is a need for disciplines to better understand how their scope of practice contributes to the overall work of the mental health workforce. This lack of understanding currently contributes to the </w:t>
      </w:r>
      <w:proofErr w:type="spellStart"/>
      <w:r w:rsidR="000F5C82">
        <w:t>siloed</w:t>
      </w:r>
      <w:proofErr w:type="spellEnd"/>
      <w:r w:rsidR="000F5C82">
        <w:t xml:space="preserve"> culture of mental health care and </w:t>
      </w:r>
      <w:r w:rsidR="000F5C82" w:rsidRPr="00CE739B">
        <w:t>inversely, genuine integration and collaboration depends on mutual understanding and appreciation of the role of everyone involved.</w:t>
      </w:r>
    </w:p>
    <w:p w14:paraId="5CEC83FF" w14:textId="3F70E9E9" w:rsidR="000F5C82" w:rsidRDefault="000F5C82" w:rsidP="000F5C82">
      <w:r>
        <w:t xml:space="preserve">The Commission therefore suggests a more strategic approach would be to define roles and responsibilities to provide clarity as to how the </w:t>
      </w:r>
      <w:r w:rsidR="006378B7">
        <w:t xml:space="preserve">mental health </w:t>
      </w:r>
      <w:r>
        <w:t xml:space="preserve">workforce can work together as a team. </w:t>
      </w:r>
      <w:r w:rsidR="00744733">
        <w:t xml:space="preserve">This includes </w:t>
      </w:r>
      <w:r>
        <w:t>focus</w:t>
      </w:r>
      <w:r w:rsidR="00744733">
        <w:t>ing</w:t>
      </w:r>
      <w:r w:rsidRPr="001C6E3A">
        <w:t xml:space="preserve"> not only </w:t>
      </w:r>
      <w:r>
        <w:t xml:space="preserve">on </w:t>
      </w:r>
      <w:r w:rsidRPr="001C6E3A">
        <w:t>the skill-mix required within a single service team</w:t>
      </w:r>
      <w:r>
        <w:t>,</w:t>
      </w:r>
      <w:r w:rsidRPr="001C6E3A">
        <w:t xml:space="preserve"> but also </w:t>
      </w:r>
      <w:r>
        <w:t xml:space="preserve">the </w:t>
      </w:r>
      <w:r w:rsidRPr="001C6E3A">
        <w:t xml:space="preserve">opportunities for </w:t>
      </w:r>
      <w:r>
        <w:t xml:space="preserve">teams that are </w:t>
      </w:r>
      <w:r w:rsidRPr="001C6E3A">
        <w:t>co-</w:t>
      </w:r>
      <w:r>
        <w:t>located</w:t>
      </w:r>
      <w:r w:rsidRPr="001C6E3A">
        <w:t>, virtual</w:t>
      </w:r>
      <w:r>
        <w:t>,</w:t>
      </w:r>
      <w:r w:rsidRPr="001C6E3A">
        <w:t xml:space="preserve"> and </w:t>
      </w:r>
      <w:r>
        <w:t xml:space="preserve">include </w:t>
      </w:r>
      <w:r w:rsidRPr="001C6E3A">
        <w:t xml:space="preserve">tertiary consultation supports. </w:t>
      </w:r>
      <w:r>
        <w:t>Furthermore, roles and responsibilities should be aligned with competencies. Currently, there are no core competencies to ensure consistency of mental health care across different professional disciplines.</w:t>
      </w:r>
    </w:p>
    <w:p w14:paraId="7890B6C2" w14:textId="77777777" w:rsidR="00E719D6" w:rsidRDefault="00E719D6" w:rsidP="00E719D6">
      <w:pPr>
        <w:pStyle w:val="Heading3"/>
      </w:pPr>
      <w:bookmarkStart w:id="20" w:name="_Toc83726134"/>
      <w:r>
        <w:t>Skills and competencies</w:t>
      </w:r>
      <w:bookmarkEnd w:id="20"/>
    </w:p>
    <w:p w14:paraId="62C02A9C" w14:textId="402FE180" w:rsidR="00E719D6" w:rsidRDefault="00E719D6" w:rsidP="00E719D6">
      <w:r>
        <w:t>To be effective, the</w:t>
      </w:r>
      <w:r w:rsidRPr="001C6E3A">
        <w:t xml:space="preserve"> environment and service system needs to be enabled to allow the workforce to enact new skills, work to top of</w:t>
      </w:r>
      <w:r>
        <w:t xml:space="preserve"> </w:t>
      </w:r>
      <w:r w:rsidRPr="001C6E3A">
        <w:t xml:space="preserve">scope, </w:t>
      </w:r>
      <w:r>
        <w:t>be innovative</w:t>
      </w:r>
      <w:r w:rsidRPr="001C6E3A">
        <w:t xml:space="preserve"> in role</w:t>
      </w:r>
      <w:r>
        <w:t>s,</w:t>
      </w:r>
      <w:r w:rsidRPr="001C6E3A">
        <w:t xml:space="preserve"> and be supported by cultures of learning and wellbeing.</w:t>
      </w:r>
      <w:r>
        <w:t xml:space="preserve"> The Commission suggests considering the mental health workforce across the stepped care model to identify the different competencies and skills </w:t>
      </w:r>
      <w:r w:rsidRPr="008773A1">
        <w:t>required</w:t>
      </w:r>
      <w:r>
        <w:t>. Doing this emphasises the importance of mental health training for workforces such a</w:t>
      </w:r>
      <w:r w:rsidR="00271689">
        <w:t>s</w:t>
      </w:r>
      <w:r>
        <w:t xml:space="preserve"> GPs and nurses. The final Strategy also needs to consider that while these occupations are </w:t>
      </w:r>
      <w:r>
        <w:lastRenderedPageBreak/>
        <w:t xml:space="preserve">examples of professions with long-established and mature regulatory schemes, they are not regulated in terms of mental health competencies. </w:t>
      </w:r>
    </w:p>
    <w:p w14:paraId="012F7F83" w14:textId="18217D19" w:rsidR="00E719D6" w:rsidRDefault="00E719D6" w:rsidP="00E719D6">
      <w:r>
        <w:t>Working in multidisciplinary teams requires competencies in teamwork, planning, and communication – required to foster collaboration, ensure that all providers in the team know what their role is, and are supported to undertake that role. Digital and technology competencies are also required, not only in terms of being able to deliver care through online avenues (i.e., telehealth</w:t>
      </w:r>
      <w:r w:rsidR="005A2228">
        <w:t xml:space="preserve"> and</w:t>
      </w:r>
      <w:r>
        <w:t xml:space="preserve"> digital platforms) but also when working within teams that span locations.</w:t>
      </w:r>
    </w:p>
    <w:p w14:paraId="163B7A17" w14:textId="77777777" w:rsidR="00E719D6" w:rsidRDefault="00E719D6" w:rsidP="00E719D6">
      <w:r>
        <w:t>Competencies in suicide prevention for mental health workforces are also critical noting that suicide prevention care is also provided through mental health services. Currently, suicide crisis intervention training is not a requirement of psychology or mental health nursing. The final Strategy should include contemporary practice in suicide prevention for professions with consideration of a range of suicide prevention and mental health therapies, safety planning, pharmacological interventions and anti-depressant use.</w:t>
      </w:r>
    </w:p>
    <w:p w14:paraId="02C7925C" w14:textId="77777777" w:rsidR="001B13AA" w:rsidRDefault="001B13AA" w:rsidP="001B13AA">
      <w:pPr>
        <w:pStyle w:val="Heading3"/>
      </w:pPr>
      <w:bookmarkStart w:id="21" w:name="_Toc83726135"/>
      <w:proofErr w:type="spellStart"/>
      <w:r>
        <w:t>Generalism</w:t>
      </w:r>
      <w:bookmarkEnd w:id="21"/>
      <w:proofErr w:type="spellEnd"/>
      <w:r>
        <w:t xml:space="preserve"> </w:t>
      </w:r>
    </w:p>
    <w:p w14:paraId="3D4695C5" w14:textId="77777777" w:rsidR="001B13AA" w:rsidRDefault="00551BC1" w:rsidP="007D48F0">
      <w:r>
        <w:t xml:space="preserve">A model for </w:t>
      </w:r>
      <w:r w:rsidR="003E3DE5">
        <w:t xml:space="preserve">further </w:t>
      </w:r>
      <w:r>
        <w:t xml:space="preserve">consideration is </w:t>
      </w:r>
      <w:r w:rsidR="007C4F03">
        <w:t xml:space="preserve">the principle of </w:t>
      </w:r>
      <w:proofErr w:type="spellStart"/>
      <w:r w:rsidR="007C4F03">
        <w:t>generalism</w:t>
      </w:r>
      <w:proofErr w:type="spellEnd"/>
      <w:r w:rsidR="007C4F03">
        <w:t xml:space="preserve">. Currently, </w:t>
      </w:r>
      <w:r w:rsidR="001B13AA">
        <w:t xml:space="preserve">the workforce and health services </w:t>
      </w:r>
      <w:r w:rsidR="007C4F03">
        <w:t xml:space="preserve">in mental health are structured </w:t>
      </w:r>
      <w:r w:rsidR="001B13AA">
        <w:t>around specialisations.</w:t>
      </w:r>
      <w:r w:rsidR="00B97B10">
        <w:t xml:space="preserve"> This contributes to the </w:t>
      </w:r>
      <w:proofErr w:type="spellStart"/>
      <w:r w:rsidR="00B97B10">
        <w:t>siloed</w:t>
      </w:r>
      <w:proofErr w:type="spellEnd"/>
      <w:r w:rsidR="00B97B10">
        <w:t xml:space="preserve"> approach of the workforce.</w:t>
      </w:r>
      <w:r w:rsidR="001B13AA">
        <w:t xml:space="preserve"> </w:t>
      </w:r>
      <w:r w:rsidR="002075A5">
        <w:t xml:space="preserve">A generalist approach </w:t>
      </w:r>
      <w:r w:rsidR="00416C2A">
        <w:t xml:space="preserve">and the expansion of roles and responsibilities for all health workers could enable </w:t>
      </w:r>
      <w:r w:rsidR="00504B21">
        <w:t xml:space="preserve">the </w:t>
      </w:r>
      <w:r w:rsidR="006D00DF">
        <w:t xml:space="preserve">specialised mental health workforce to work to top of scope. </w:t>
      </w:r>
    </w:p>
    <w:p w14:paraId="57EC8D8E" w14:textId="77777777" w:rsidR="00445623" w:rsidRDefault="00445623" w:rsidP="00445623">
      <w:pPr>
        <w:pStyle w:val="Heading1"/>
        <w:rPr>
          <w:lang w:val="en-AU"/>
        </w:rPr>
      </w:pPr>
      <w:bookmarkStart w:id="22" w:name="_Toc83726136"/>
      <w:r>
        <w:rPr>
          <w:lang w:val="en-AU"/>
        </w:rPr>
        <w:lastRenderedPageBreak/>
        <w:t xml:space="preserve">Section </w:t>
      </w:r>
      <w:r w:rsidR="00882207">
        <w:rPr>
          <w:lang w:val="en-AU"/>
        </w:rPr>
        <w:t>5</w:t>
      </w:r>
      <w:r>
        <w:rPr>
          <w:lang w:val="en-AU"/>
        </w:rPr>
        <w:t xml:space="preserve">: </w:t>
      </w:r>
      <w:r w:rsidR="00511F6B">
        <w:rPr>
          <w:lang w:val="en-AU"/>
        </w:rPr>
        <w:t>The mental health workforce is appropriately skilled</w:t>
      </w:r>
      <w:bookmarkEnd w:id="22"/>
    </w:p>
    <w:p w14:paraId="28FF77B9" w14:textId="77777777" w:rsidR="001F6641" w:rsidRDefault="001F6641" w:rsidP="001F6641">
      <w:r>
        <w:t xml:space="preserve">During 2020, the Commission undertook considerable consultation with key stakeholders, including lived experience peaks bodies; mental health sector peak bodies and their members; peak professional associations; peak private health groups; research and academia; clinical experts; state, territory, and federal governments; Primary Health Networks, Local Health Networks; service providers; and peak bodies and organisations representing identified priority populations. </w:t>
      </w:r>
    </w:p>
    <w:p w14:paraId="6BA0C6B3" w14:textId="108112C6" w:rsidR="001F6641" w:rsidRDefault="001F6641" w:rsidP="001F6641">
      <w:r>
        <w:t xml:space="preserve">The following input was received from participants during the consultation. It identifies several </w:t>
      </w:r>
      <w:r w:rsidRPr="001C6E3A">
        <w:t>cultural and system barriers including training, career pathways and appetite for risk</w:t>
      </w:r>
      <w:r>
        <w:t xml:space="preserve"> from the perspective of participants</w:t>
      </w:r>
      <w:r w:rsidRPr="001C6E3A">
        <w:t>.</w:t>
      </w:r>
      <w:r w:rsidR="00E62F9D">
        <w:t xml:space="preserve"> The Commission </w:t>
      </w:r>
      <w:r w:rsidR="00C337D8">
        <w:t>proposes</w:t>
      </w:r>
      <w:r w:rsidR="00E62F9D">
        <w:t xml:space="preserve"> </w:t>
      </w:r>
      <w:r w:rsidR="004A0047">
        <w:t>the</w:t>
      </w:r>
      <w:r w:rsidR="00C354A9">
        <w:t xml:space="preserve"> Department of Health </w:t>
      </w:r>
      <w:r w:rsidR="00085961">
        <w:t xml:space="preserve">and the Taskforce </w:t>
      </w:r>
      <w:r w:rsidR="00C354A9">
        <w:t>consider the following</w:t>
      </w:r>
      <w:r w:rsidR="0053009F">
        <w:t xml:space="preserve"> input </w:t>
      </w:r>
      <w:r w:rsidR="00061149">
        <w:t xml:space="preserve">as it considers the education and training opportunities as part of Objective </w:t>
      </w:r>
      <w:r w:rsidR="00BA5BCE">
        <w:t xml:space="preserve">4. </w:t>
      </w:r>
    </w:p>
    <w:p w14:paraId="11F3C0B5" w14:textId="77777777" w:rsidR="001F6641" w:rsidRPr="002A734A" w:rsidRDefault="001F6641" w:rsidP="001F6641">
      <w:pPr>
        <w:spacing w:after="0"/>
        <w:rPr>
          <w:u w:val="single"/>
        </w:rPr>
      </w:pPr>
      <w:r w:rsidRPr="002A734A">
        <w:rPr>
          <w:u w:val="single"/>
        </w:rPr>
        <w:t>Training</w:t>
      </w:r>
      <w:r>
        <w:rPr>
          <w:u w:val="single"/>
        </w:rPr>
        <w:t xml:space="preserve"> and career pathways</w:t>
      </w:r>
    </w:p>
    <w:p w14:paraId="4F34A703" w14:textId="77777777" w:rsidR="001F6641" w:rsidRDefault="001F6641" w:rsidP="001F6641">
      <w:pPr>
        <w:pStyle w:val="ListParagraph"/>
      </w:pPr>
      <w:r>
        <w:t>While a</w:t>
      </w:r>
      <w:r w:rsidRPr="001C6E3A">
        <w:t xml:space="preserve"> lot of money is put into training and education</w:t>
      </w:r>
      <w:r>
        <w:t>,</w:t>
      </w:r>
      <w:r w:rsidRPr="001C6E3A">
        <w:t xml:space="preserve"> </w:t>
      </w:r>
      <w:r>
        <w:t>the quality is</w:t>
      </w:r>
      <w:r w:rsidRPr="001C6E3A">
        <w:t xml:space="preserve"> variable and </w:t>
      </w:r>
      <w:r>
        <w:t>does not</w:t>
      </w:r>
      <w:r w:rsidRPr="001C6E3A">
        <w:t xml:space="preserve"> transl</w:t>
      </w:r>
      <w:r>
        <w:t>ate</w:t>
      </w:r>
      <w:r w:rsidRPr="001C6E3A">
        <w:t xml:space="preserve"> into change</w:t>
      </w:r>
      <w:r>
        <w:t xml:space="preserve">s in </w:t>
      </w:r>
      <w:r w:rsidRPr="001C6E3A">
        <w:t xml:space="preserve">practice. </w:t>
      </w:r>
    </w:p>
    <w:p w14:paraId="31F7EDF7" w14:textId="77777777" w:rsidR="001F6641" w:rsidRDefault="001F6641" w:rsidP="001F6641">
      <w:pPr>
        <w:pStyle w:val="ListParagraph"/>
      </w:pPr>
      <w:r w:rsidRPr="001C6E3A">
        <w:t xml:space="preserve">For peer workers, the mental health qualification (Certificate IV) is a big undertaking, and the fees can be restrictive. There needs to be </w:t>
      </w:r>
      <w:r>
        <w:t>a</w:t>
      </w:r>
      <w:r w:rsidRPr="001C6E3A">
        <w:t xml:space="preserve"> more </w:t>
      </w:r>
      <w:r>
        <w:t>graduated access</w:t>
      </w:r>
      <w:r w:rsidRPr="001C6E3A">
        <w:t xml:space="preserve"> pathway </w:t>
      </w:r>
      <w:r>
        <w:t>with</w:t>
      </w:r>
      <w:r w:rsidRPr="001C6E3A">
        <w:t xml:space="preserve"> </w:t>
      </w:r>
      <w:r>
        <w:t xml:space="preserve">qualification levels prior to the Certificate IV, </w:t>
      </w:r>
      <w:r w:rsidRPr="001C6E3A">
        <w:t xml:space="preserve">as well as </w:t>
      </w:r>
      <w:r>
        <w:t>employment opportunities for people who have completed the Certificate IV qualification</w:t>
      </w:r>
      <w:r w:rsidRPr="001C6E3A">
        <w:t xml:space="preserve">.  </w:t>
      </w:r>
    </w:p>
    <w:p w14:paraId="0F70E856" w14:textId="77777777" w:rsidR="001F6641" w:rsidRDefault="001F6641" w:rsidP="001F6641">
      <w:pPr>
        <w:pStyle w:val="ListParagraph"/>
      </w:pPr>
      <w:r w:rsidRPr="001C6E3A">
        <w:lastRenderedPageBreak/>
        <w:t xml:space="preserve">Placements and practical training are </w:t>
      </w:r>
      <w:r>
        <w:t xml:space="preserve">often </w:t>
      </w:r>
      <w:r w:rsidRPr="001C6E3A">
        <w:t xml:space="preserve">not effective. </w:t>
      </w:r>
      <w:r>
        <w:t>For some disciplines, t</w:t>
      </w:r>
      <w:r w:rsidRPr="001C6E3A">
        <w:t xml:space="preserve">here are no </w:t>
      </w:r>
      <w:r>
        <w:t>financial</w:t>
      </w:r>
      <w:r w:rsidRPr="001C6E3A">
        <w:t xml:space="preserve"> incentives for students to undertake placements in rural areas; </w:t>
      </w:r>
      <w:r w:rsidR="0090535C">
        <w:t xml:space="preserve">there is insufficient financial support for </w:t>
      </w:r>
      <w:r w:rsidR="00B71022">
        <w:t>some students</w:t>
      </w:r>
      <w:r w:rsidR="008352B1">
        <w:t>’ travel, accommodation and access to information technology</w:t>
      </w:r>
      <w:r w:rsidR="00143FB9">
        <w:rPr>
          <w:rStyle w:val="EndnoteReference"/>
        </w:rPr>
        <w:endnoteReference w:id="6"/>
      </w:r>
      <w:r w:rsidR="008352B1">
        <w:t xml:space="preserve"> </w:t>
      </w:r>
      <w:r w:rsidRPr="001C6E3A">
        <w:t xml:space="preserve">which is a hindrance; and </w:t>
      </w:r>
      <w:r>
        <w:t xml:space="preserve">there are a disproportionate number of placements in tertiary care when the majority of </w:t>
      </w:r>
      <w:r w:rsidRPr="001C6E3A">
        <w:t xml:space="preserve">mental health care and support is </w:t>
      </w:r>
      <w:r>
        <w:t>provided primary care settings.</w:t>
      </w:r>
    </w:p>
    <w:p w14:paraId="798DE948" w14:textId="77777777" w:rsidR="001F6641" w:rsidRDefault="001F6641" w:rsidP="001F6641">
      <w:pPr>
        <w:pStyle w:val="ListParagraph"/>
      </w:pPr>
      <w:r w:rsidRPr="001C6E3A">
        <w:t xml:space="preserve">The system does not recognise non-traditional professions well </w:t>
      </w:r>
      <w:r>
        <w:t>or</w:t>
      </w:r>
      <w:r w:rsidRPr="001C6E3A">
        <w:t xml:space="preserve"> understand their capacity to work in this space</w:t>
      </w:r>
      <w:r>
        <w:t xml:space="preserve"> resulting in limited career pathways</w:t>
      </w:r>
      <w:r w:rsidRPr="001C6E3A">
        <w:t xml:space="preserve">. For example, graduates of the Bachelor of Health Sciences </w:t>
      </w:r>
      <w:r>
        <w:t>(M</w:t>
      </w:r>
      <w:r w:rsidRPr="001C6E3A">
        <w:t xml:space="preserve">ental </w:t>
      </w:r>
      <w:r>
        <w:t>H</w:t>
      </w:r>
      <w:r w:rsidRPr="001C6E3A">
        <w:t>ealth</w:t>
      </w:r>
      <w:r>
        <w:t xml:space="preserve">), which is </w:t>
      </w:r>
      <w:r w:rsidRPr="001C6E3A">
        <w:t>open to Aboriginal and Torres Strait Islander students only</w:t>
      </w:r>
      <w:r>
        <w:t>,</w:t>
      </w:r>
      <w:r w:rsidRPr="001C6E3A">
        <w:t xml:space="preserve"> struggle for recognition. </w:t>
      </w:r>
    </w:p>
    <w:p w14:paraId="543B5848" w14:textId="77777777" w:rsidR="001F6641" w:rsidRPr="006818CB" w:rsidRDefault="001F6641" w:rsidP="001F6641">
      <w:pPr>
        <w:spacing w:after="0"/>
        <w:rPr>
          <w:u w:val="single"/>
        </w:rPr>
      </w:pPr>
      <w:r w:rsidRPr="006818CB">
        <w:rPr>
          <w:u w:val="single"/>
        </w:rPr>
        <w:t>Appetite for risk</w:t>
      </w:r>
    </w:p>
    <w:p w14:paraId="03B69601" w14:textId="77777777" w:rsidR="001F6641" w:rsidRDefault="001F6641" w:rsidP="001F6641">
      <w:pPr>
        <w:pStyle w:val="ListParagraph"/>
      </w:pPr>
      <w:r w:rsidRPr="001C6E3A">
        <w:t xml:space="preserve">There is a culture of risk </w:t>
      </w:r>
      <w:r>
        <w:t>avoidance</w:t>
      </w:r>
      <w:r w:rsidRPr="001C6E3A">
        <w:t xml:space="preserve"> that prevents people </w:t>
      </w:r>
      <w:r>
        <w:t>from</w:t>
      </w:r>
      <w:r w:rsidRPr="001C6E3A">
        <w:t xml:space="preserve"> work</w:t>
      </w:r>
      <w:r>
        <w:t>ing to</w:t>
      </w:r>
      <w:r w:rsidRPr="001C6E3A">
        <w:t xml:space="preserve"> top of scope or broaden</w:t>
      </w:r>
      <w:r>
        <w:t>ing</w:t>
      </w:r>
      <w:r w:rsidRPr="001C6E3A">
        <w:t xml:space="preserve"> their scope. </w:t>
      </w:r>
    </w:p>
    <w:p w14:paraId="0EA561A8" w14:textId="77777777" w:rsidR="001F6641" w:rsidRDefault="001F6641" w:rsidP="001F6641">
      <w:pPr>
        <w:pStyle w:val="ListParagraph"/>
      </w:pPr>
      <w:r w:rsidRPr="001C6E3A">
        <w:t>The role of knowledge translation and implementation of new skills needs to be considered.</w:t>
      </w:r>
      <w:r>
        <w:t xml:space="preserve"> Participants provided the example that when staff were sent off for training, they were unable to then implement their new knowledge and skills because ‘that was not the way things were done’ at their workplace. </w:t>
      </w:r>
    </w:p>
    <w:p w14:paraId="79A033D5" w14:textId="77777777" w:rsidR="001F6641" w:rsidRDefault="001F6641" w:rsidP="001F6641">
      <w:pPr>
        <w:pStyle w:val="ListParagraph"/>
      </w:pPr>
      <w:r w:rsidRPr="00930FE2">
        <w:t>Solutions need to be inter-</w:t>
      </w:r>
      <w:r>
        <w:t>disciplinary</w:t>
      </w:r>
      <w:r w:rsidRPr="00930FE2">
        <w:t xml:space="preserve"> and inter-jurisdictional</w:t>
      </w:r>
      <w:r>
        <w:t>,</w:t>
      </w:r>
      <w:r w:rsidRPr="00930FE2">
        <w:t xml:space="preserve"> noting the role of regulators and state and territory laws that </w:t>
      </w:r>
      <w:r>
        <w:t>define a profession’s scope of practice and can impede working to top of scope.</w:t>
      </w:r>
    </w:p>
    <w:p w14:paraId="11F16F5D" w14:textId="77777777" w:rsidR="00445623" w:rsidRDefault="00445623" w:rsidP="00445623">
      <w:pPr>
        <w:pStyle w:val="Heading1"/>
        <w:rPr>
          <w:lang w:val="en-AU"/>
        </w:rPr>
      </w:pPr>
      <w:bookmarkStart w:id="23" w:name="_Toc83726137"/>
      <w:r>
        <w:rPr>
          <w:lang w:val="en-AU"/>
        </w:rPr>
        <w:lastRenderedPageBreak/>
        <w:t xml:space="preserve">Section </w:t>
      </w:r>
      <w:r w:rsidR="00365F75">
        <w:rPr>
          <w:lang w:val="en-AU"/>
        </w:rPr>
        <w:t>6</w:t>
      </w:r>
      <w:r>
        <w:rPr>
          <w:lang w:val="en-AU"/>
        </w:rPr>
        <w:t xml:space="preserve">: </w:t>
      </w:r>
      <w:r w:rsidR="00365F75">
        <w:rPr>
          <w:lang w:val="en-AU"/>
        </w:rPr>
        <w:t>The mental health workforce is retained in the sector</w:t>
      </w:r>
      <w:bookmarkEnd w:id="23"/>
    </w:p>
    <w:p w14:paraId="7649F55C" w14:textId="77777777" w:rsidR="00A74EC9" w:rsidRDefault="007675AF" w:rsidP="006579ED">
      <w:r>
        <w:t>While the Consultation Draft consider</w:t>
      </w:r>
      <w:r w:rsidR="008D7515">
        <w:t>s</w:t>
      </w:r>
      <w:r>
        <w:t xml:space="preserve"> </w:t>
      </w:r>
      <w:r w:rsidR="007C1E81">
        <w:t xml:space="preserve">some of the consistent issues that drive poor retention across the mental health workforce, the Department of Health and the Taskforce need to </w:t>
      </w:r>
      <w:r w:rsidR="008D7515">
        <w:t xml:space="preserve">identify, </w:t>
      </w:r>
      <w:r w:rsidR="007C1E81">
        <w:t>consider</w:t>
      </w:r>
      <w:r w:rsidR="008D7515">
        <w:t xml:space="preserve">, and </w:t>
      </w:r>
      <w:r w:rsidR="00D9440F">
        <w:t>address</w:t>
      </w:r>
      <w:r w:rsidR="007C1E81">
        <w:t xml:space="preserve"> </w:t>
      </w:r>
      <w:r w:rsidR="00D9440F">
        <w:t>f</w:t>
      </w:r>
      <w:r w:rsidR="00153149">
        <w:t xml:space="preserve">actors affecting </w:t>
      </w:r>
      <w:r w:rsidR="00B71B83">
        <w:t xml:space="preserve">capacity </w:t>
      </w:r>
      <w:r w:rsidR="00C72B5B">
        <w:t>such as</w:t>
      </w:r>
      <w:r w:rsidR="00B71B83">
        <w:t xml:space="preserve"> staff absenteeism, difficulty recruiting to </w:t>
      </w:r>
      <w:r w:rsidR="0063484A">
        <w:t>vacant positions that are already funded</w:t>
      </w:r>
      <w:r w:rsidR="006207FB">
        <w:t xml:space="preserve">, workers compensation claims, and </w:t>
      </w:r>
      <w:r w:rsidR="00A74EC9">
        <w:t>inefficiencies in the workplace.</w:t>
      </w:r>
    </w:p>
    <w:p w14:paraId="0E56BB91" w14:textId="77777777" w:rsidR="00FD79F0" w:rsidRDefault="00856B2A" w:rsidP="00FD79F0">
      <w:r>
        <w:t>Stress and burnout are reported across all health professions, with particularly high rates in mental health. Practitioners may not have access to the supports that they require to maintain their own mental health, particularly those working in rural and remote areas.</w:t>
      </w:r>
      <w:r>
        <w:rPr>
          <w:rStyle w:val="EndnoteReference"/>
        </w:rPr>
        <w:endnoteReference w:id="7"/>
      </w:r>
      <w:r w:rsidR="00966846">
        <w:t xml:space="preserve">The wellbeing of the mental health workforce is </w:t>
      </w:r>
      <w:r>
        <w:t xml:space="preserve">therefore </w:t>
      </w:r>
      <w:r w:rsidR="001C34B8">
        <w:t xml:space="preserve">an important consideration </w:t>
      </w:r>
      <w:r w:rsidR="005E75C8">
        <w:t xml:space="preserve">and while it has been included as a priority </w:t>
      </w:r>
      <w:r w:rsidR="004F6788">
        <w:t>area for action</w:t>
      </w:r>
      <w:r>
        <w:t xml:space="preserve"> in the Consultation Draft</w:t>
      </w:r>
      <w:r w:rsidR="004F6788">
        <w:t>, the related actions</w:t>
      </w:r>
      <w:r w:rsidR="002C192A">
        <w:t xml:space="preserve"> </w:t>
      </w:r>
      <w:r w:rsidR="00E92F2C">
        <w:t xml:space="preserve">do not adequately address what is needed for a workforce to be supported and well. </w:t>
      </w:r>
    </w:p>
    <w:p w14:paraId="306667F1" w14:textId="24F821A5" w:rsidR="00FD79F0" w:rsidRDefault="00FD79F0" w:rsidP="00FD79F0">
      <w:r>
        <w:t xml:space="preserve">There is a growing body of knowledge in relation to supporting the mental health and wellbeing of staff within the workforce with clinical supervision and mentoring identified as essential elements for workforce support and development. Too often, clinical supervision is not provided, prioritised or consistently implemented. The Commission notes the inclusion of supervision as a priority area, </w:t>
      </w:r>
      <w:r w:rsidR="008A3D90">
        <w:t>however,</w:t>
      </w:r>
      <w:r>
        <w:t xml:space="preserve"> there needs to be a targeted approach to its</w:t>
      </w:r>
      <w:r w:rsidR="00856B2A">
        <w:t xml:space="preserve"> </w:t>
      </w:r>
      <w:r>
        <w:t xml:space="preserve">implementation beyond the review of guidelines and </w:t>
      </w:r>
      <w:r>
        <w:lastRenderedPageBreak/>
        <w:t>specification of standards.</w:t>
      </w:r>
      <w:r w:rsidR="00475702">
        <w:t xml:space="preserve"> Additionally, programs such as the </w:t>
      </w:r>
      <w:r w:rsidR="00C661FA">
        <w:t xml:space="preserve">Workforce Incentive Program </w:t>
      </w:r>
      <w:r w:rsidR="00CB1752">
        <w:t xml:space="preserve">are valuable as they </w:t>
      </w:r>
      <w:r w:rsidR="00C661FA">
        <w:t xml:space="preserve">not only </w:t>
      </w:r>
      <w:r w:rsidR="00D743FA">
        <w:t xml:space="preserve">provide flexibility for primary care practices to respond to local need, the </w:t>
      </w:r>
      <w:r w:rsidR="00A54FD7">
        <w:t xml:space="preserve">team-based model of care can </w:t>
      </w:r>
      <w:r w:rsidR="00330598">
        <w:t xml:space="preserve">reduce stress and burnout </w:t>
      </w:r>
      <w:r w:rsidR="008B70A0">
        <w:t>that result from high workload</w:t>
      </w:r>
      <w:r w:rsidR="002C0D22">
        <w:t>s and practitioner shortages</w:t>
      </w:r>
      <w:r w:rsidR="00330598">
        <w:t>.</w:t>
      </w:r>
    </w:p>
    <w:p w14:paraId="63AE6037" w14:textId="5FD27159" w:rsidR="00FF796A" w:rsidRDefault="00FD79F0" w:rsidP="00FD79F0">
      <w:r>
        <w:t>Investing in staff wellbeing can lead to improvements in productivity and boost retention. A strategic approach to the prioritisation of the wellbeing of the mental health workforce is required, with consideration given to an investment in supervision</w:t>
      </w:r>
      <w:r w:rsidR="00216FE5">
        <w:t>,</w:t>
      </w:r>
      <w:r w:rsidR="00B420B1">
        <w:t xml:space="preserve"> </w:t>
      </w:r>
      <w:r>
        <w:t>mentoring</w:t>
      </w:r>
      <w:r w:rsidR="00216FE5">
        <w:t xml:space="preserve"> and </w:t>
      </w:r>
      <w:r w:rsidR="00B420B1">
        <w:t>integrated care approaches that promote wellbeing</w:t>
      </w:r>
      <w:r>
        <w:t xml:space="preserve">, </w:t>
      </w:r>
      <w:r w:rsidR="00B420B1">
        <w:t xml:space="preserve">all </w:t>
      </w:r>
      <w:r>
        <w:t>of which require resources and time to be allocated.</w:t>
      </w:r>
    </w:p>
    <w:p w14:paraId="33AE0BC0" w14:textId="77777777" w:rsidR="00DA201F" w:rsidRDefault="00DA201F" w:rsidP="00DA201F">
      <w:pPr>
        <w:pStyle w:val="Heading3"/>
      </w:pPr>
      <w:bookmarkStart w:id="24" w:name="_Toc83726138"/>
      <w:r>
        <w:t>Culture</w:t>
      </w:r>
      <w:bookmarkEnd w:id="24"/>
    </w:p>
    <w:p w14:paraId="05F871AE" w14:textId="702538FF" w:rsidR="00AE7A18" w:rsidRDefault="00856B2A" w:rsidP="006579ED">
      <w:r>
        <w:t>T</w:t>
      </w:r>
      <w:r w:rsidR="00877ACA">
        <w:t>he consideration of culture on the mental health and wellbeing of the workforce</w:t>
      </w:r>
      <w:r>
        <w:t xml:space="preserve"> is a</w:t>
      </w:r>
      <w:r w:rsidR="00DA201F">
        <w:t xml:space="preserve"> critical gap in the Consultation Draft</w:t>
      </w:r>
      <w:r w:rsidR="00877ACA">
        <w:t>.</w:t>
      </w:r>
      <w:r w:rsidR="003F7046">
        <w:t xml:space="preserve"> </w:t>
      </w:r>
      <w:r w:rsidR="00B37C72">
        <w:t>The mental health workforce’s e</w:t>
      </w:r>
      <w:r w:rsidR="00435F82">
        <w:t xml:space="preserve">xposure to multiple stressors </w:t>
      </w:r>
      <w:r w:rsidR="005303E8">
        <w:t xml:space="preserve">and </w:t>
      </w:r>
      <w:r w:rsidR="001F4A0F">
        <w:t>high-pressured</w:t>
      </w:r>
      <w:r w:rsidR="005303E8">
        <w:t xml:space="preserve"> environments </w:t>
      </w:r>
      <w:r w:rsidR="00435F82">
        <w:t xml:space="preserve">can </w:t>
      </w:r>
      <w:r w:rsidR="00145A63">
        <w:t xml:space="preserve">contribute to negative </w:t>
      </w:r>
      <w:r w:rsidR="00007BA9">
        <w:t>workplace culture</w:t>
      </w:r>
      <w:r w:rsidR="00E2053A">
        <w:t xml:space="preserve"> in some </w:t>
      </w:r>
      <w:r w:rsidR="001D4036">
        <w:t>services</w:t>
      </w:r>
      <w:r w:rsidR="006C0BFB">
        <w:t>, particularly in the public sector</w:t>
      </w:r>
      <w:r w:rsidR="002A6FFD">
        <w:t xml:space="preserve">. </w:t>
      </w:r>
      <w:r w:rsidR="00312617">
        <w:t>Stressors</w:t>
      </w:r>
      <w:r w:rsidR="00DB24C1">
        <w:t xml:space="preserve"> </w:t>
      </w:r>
      <w:r w:rsidR="0054773B">
        <w:t xml:space="preserve">can </w:t>
      </w:r>
      <w:r w:rsidR="00DB24C1">
        <w:t>includ</w:t>
      </w:r>
      <w:r w:rsidR="002A6FFD">
        <w:t>e</w:t>
      </w:r>
      <w:r w:rsidR="00850524">
        <w:t xml:space="preserve"> </w:t>
      </w:r>
      <w:r w:rsidR="00A9639E">
        <w:t>high workloads</w:t>
      </w:r>
      <w:r w:rsidR="00760C90">
        <w:t>,</w:t>
      </w:r>
      <w:r w:rsidR="00A90968">
        <w:t xml:space="preserve"> overwork and stress from workplace shortages;</w:t>
      </w:r>
      <w:r w:rsidR="00760C90">
        <w:t xml:space="preserve"> resource limitations</w:t>
      </w:r>
      <w:r w:rsidR="00A90968">
        <w:t>;</w:t>
      </w:r>
      <w:r w:rsidR="00760C90">
        <w:t xml:space="preserve"> fear of making clinical errors</w:t>
      </w:r>
      <w:r w:rsidR="00A90968">
        <w:t>;</w:t>
      </w:r>
      <w:r w:rsidR="00AA6596">
        <w:t xml:space="preserve"> and</w:t>
      </w:r>
      <w:r w:rsidR="002B4460">
        <w:t xml:space="preserve"> exposure to violence</w:t>
      </w:r>
      <w:r w:rsidR="00A37999">
        <w:t xml:space="preserve">. </w:t>
      </w:r>
      <w:r w:rsidR="00AA6596">
        <w:t>Factors such as</w:t>
      </w:r>
      <w:r w:rsidR="008E5834">
        <w:t xml:space="preserve"> a lack of financial rewards, feeling undervalued</w:t>
      </w:r>
      <w:r w:rsidR="008425BC">
        <w:t xml:space="preserve"> and increasing </w:t>
      </w:r>
      <w:r w:rsidR="00B26A03">
        <w:t xml:space="preserve">bureaucracy and paperwork can also contribute to </w:t>
      </w:r>
      <w:r w:rsidR="00507063">
        <w:t xml:space="preserve">a </w:t>
      </w:r>
      <w:r w:rsidR="00B26A03">
        <w:t xml:space="preserve">negative </w:t>
      </w:r>
      <w:r w:rsidR="00F74029">
        <w:t>culture</w:t>
      </w:r>
      <w:r w:rsidR="00507063">
        <w:t xml:space="preserve"> within the mental health workforce.</w:t>
      </w:r>
      <w:r w:rsidR="003F7046">
        <w:t xml:space="preserve"> </w:t>
      </w:r>
      <w:r w:rsidR="00664665">
        <w:t>The mental health workforce</w:t>
      </w:r>
      <w:r w:rsidR="00A74B89">
        <w:t xml:space="preserve"> also</w:t>
      </w:r>
      <w:r w:rsidR="00664665">
        <w:t xml:space="preserve"> face </w:t>
      </w:r>
      <w:r w:rsidR="001305A0">
        <w:t>heightened</w:t>
      </w:r>
      <w:r w:rsidR="00664665">
        <w:t xml:space="preserve"> risk</w:t>
      </w:r>
      <w:r w:rsidR="007D421F">
        <w:t xml:space="preserve"> of mental illness, suicidal ideation, burnout and cy</w:t>
      </w:r>
      <w:r w:rsidR="00573F1B">
        <w:t>nicism</w:t>
      </w:r>
      <w:r w:rsidR="00D54A41">
        <w:t xml:space="preserve">, </w:t>
      </w:r>
      <w:r w:rsidR="00B76CEA">
        <w:t>and</w:t>
      </w:r>
      <w:r w:rsidR="00BB413D">
        <w:t xml:space="preserve"> s</w:t>
      </w:r>
      <w:r w:rsidR="00E53A35">
        <w:t xml:space="preserve">tigma and discrimination </w:t>
      </w:r>
      <w:r w:rsidR="00607791">
        <w:t>has been found to</w:t>
      </w:r>
      <w:r w:rsidR="00E526DA">
        <w:t xml:space="preserve"> deter</w:t>
      </w:r>
      <w:r w:rsidR="00E53A35">
        <w:t xml:space="preserve"> </w:t>
      </w:r>
      <w:r w:rsidR="006D21E6">
        <w:t>mental</w:t>
      </w:r>
      <w:r w:rsidR="004A0729">
        <w:t xml:space="preserve"> health </w:t>
      </w:r>
      <w:r w:rsidR="006D21E6">
        <w:t>professionals from seeking help.</w:t>
      </w:r>
      <w:r w:rsidR="003F7046">
        <w:t xml:space="preserve"> </w:t>
      </w:r>
    </w:p>
    <w:p w14:paraId="3705A290" w14:textId="38BB56A9" w:rsidR="00DA201F" w:rsidRDefault="00FF796A" w:rsidP="006579ED">
      <w:pPr>
        <w:rPr>
          <w:lang w:val="en-US"/>
        </w:rPr>
      </w:pPr>
      <w:r w:rsidRPr="00FF796A">
        <w:rPr>
          <w:lang w:val="en-US"/>
        </w:rPr>
        <w:t xml:space="preserve">The final Strategy needs to build a platform where culture, values, and attitudes are front and </w:t>
      </w:r>
      <w:proofErr w:type="spellStart"/>
      <w:r w:rsidRPr="00FF796A">
        <w:rPr>
          <w:lang w:val="en-US"/>
        </w:rPr>
        <w:t>centre</w:t>
      </w:r>
      <w:proofErr w:type="spellEnd"/>
      <w:r w:rsidRPr="00FF796A">
        <w:rPr>
          <w:lang w:val="en-US"/>
        </w:rPr>
        <w:t xml:space="preserve"> of mind and policy across all workplaces. </w:t>
      </w:r>
      <w:r w:rsidRPr="00FF796A">
        <w:rPr>
          <w:lang w:val="en-US"/>
        </w:rPr>
        <w:lastRenderedPageBreak/>
        <w:t>There needs to be emphasis and commitment to shared values and attitudes throughout the system by all employees and this needs to begin at the strategic policy level.</w:t>
      </w:r>
      <w:r w:rsidR="003F7046">
        <w:rPr>
          <w:lang w:val="en-US"/>
        </w:rPr>
        <w:t xml:space="preserve"> </w:t>
      </w:r>
    </w:p>
    <w:p w14:paraId="6E3A31AC" w14:textId="77777777" w:rsidR="00E92F2C" w:rsidRPr="003F7046" w:rsidRDefault="00FF796A" w:rsidP="006579ED">
      <w:pPr>
        <w:rPr>
          <w:lang w:val="en-US"/>
        </w:rPr>
      </w:pPr>
      <w:r w:rsidRPr="00FF796A">
        <w:rPr>
          <w:lang w:val="en-US"/>
        </w:rPr>
        <w:t>The Department of Health and the Taskforce might like to consider the work of Sidney Dekker and the concept of a just culture which promotes the need to develop a culture of trust, learning and accountability. This concept has been applied internationally and has the potential to increase staff satisfaction and address barriers to capacity.</w:t>
      </w:r>
    </w:p>
    <w:tbl>
      <w:tblPr>
        <w:tblStyle w:val="TableGrid"/>
        <w:tblW w:w="0" w:type="auto"/>
        <w:tblLook w:val="04A0" w:firstRow="1" w:lastRow="0" w:firstColumn="1" w:lastColumn="0" w:noHBand="0" w:noVBand="1"/>
      </w:tblPr>
      <w:tblGrid>
        <w:gridCol w:w="9622"/>
      </w:tblGrid>
      <w:tr w:rsidR="007A0C27" w14:paraId="4670E772" w14:textId="77777777" w:rsidTr="005063FA">
        <w:tc>
          <w:tcPr>
            <w:tcW w:w="9622" w:type="dxa"/>
            <w:vAlign w:val="center"/>
          </w:tcPr>
          <w:p w14:paraId="499078A3" w14:textId="77777777" w:rsidR="007A0C27" w:rsidRDefault="007A0C27" w:rsidP="005063FA">
            <w:r w:rsidRPr="00A43833">
              <w:rPr>
                <w:b/>
                <w:bCs/>
                <w:color w:val="F7941D"/>
              </w:rPr>
              <w:t>Recommendation</w:t>
            </w:r>
            <w:r>
              <w:rPr>
                <w:b/>
                <w:bCs/>
                <w:color w:val="F7941D"/>
              </w:rPr>
              <w:t xml:space="preserve"> 9</w:t>
            </w:r>
            <w:r w:rsidRPr="00A43833">
              <w:rPr>
                <w:b/>
                <w:bCs/>
                <w:color w:val="F7941D"/>
              </w:rPr>
              <w:t>:</w:t>
            </w:r>
            <w:r w:rsidRPr="00A43833">
              <w:rPr>
                <w:color w:val="F7941D"/>
              </w:rPr>
              <w:t xml:space="preserve"> </w:t>
            </w:r>
            <w:r>
              <w:t xml:space="preserve">The National Mental Health Workforce Strategy should include a priority area to increase the capacity of the mental health workforce, including targeted short, medium, and long-term strategies. </w:t>
            </w:r>
            <w:r w:rsidR="0012784B">
              <w:t xml:space="preserve">Cultural change and supporting the mental health and wellbeing of the workforce will need to be key focus </w:t>
            </w:r>
            <w:r w:rsidR="00CD0145">
              <w:t xml:space="preserve">actions. </w:t>
            </w:r>
          </w:p>
        </w:tc>
      </w:tr>
    </w:tbl>
    <w:p w14:paraId="746BDF45" w14:textId="77777777" w:rsidR="008A3D90" w:rsidRDefault="008A3D90" w:rsidP="008A3D90">
      <w:pPr>
        <w:spacing w:after="0"/>
        <w:rPr>
          <w:lang w:val="en-AU"/>
        </w:rPr>
      </w:pPr>
    </w:p>
    <w:p w14:paraId="6961589E" w14:textId="77777777" w:rsidR="00976F88" w:rsidRDefault="00976F88" w:rsidP="00976F88">
      <w:pPr>
        <w:pStyle w:val="Heading1"/>
        <w:rPr>
          <w:lang w:val="en-AU"/>
        </w:rPr>
      </w:pPr>
      <w:bookmarkStart w:id="25" w:name="_Toc83726139"/>
      <w:r>
        <w:rPr>
          <w:lang w:val="en-AU"/>
        </w:rPr>
        <w:t>Section 7: The mental health workforce is distributed to deliver support and treatment when and where consumers need it</w:t>
      </w:r>
      <w:bookmarkEnd w:id="25"/>
    </w:p>
    <w:p w14:paraId="56919DA8" w14:textId="77777777" w:rsidR="00680E2B" w:rsidRDefault="00680E2B" w:rsidP="00680E2B">
      <w:pPr>
        <w:pStyle w:val="Heading2"/>
      </w:pPr>
      <w:bookmarkStart w:id="26" w:name="_Toc83726140"/>
      <w:proofErr w:type="spellStart"/>
      <w:r>
        <w:t>Maldistribution</w:t>
      </w:r>
      <w:bookmarkEnd w:id="26"/>
      <w:proofErr w:type="spellEnd"/>
    </w:p>
    <w:p w14:paraId="2B5A2454" w14:textId="77777777" w:rsidR="00680E2B" w:rsidRDefault="0064469E" w:rsidP="00680E2B">
      <w:r>
        <w:t xml:space="preserve">The allocation of current resources across the mental health system is not optimal, resulting in practitioners not working to top of scope and not working in areas of greatest need. </w:t>
      </w:r>
      <w:r w:rsidR="00680E2B">
        <w:t xml:space="preserve">There are a number of factors </w:t>
      </w:r>
      <w:r w:rsidR="00680E2B">
        <w:lastRenderedPageBreak/>
        <w:t xml:space="preserve">contributing to the </w:t>
      </w:r>
      <w:proofErr w:type="spellStart"/>
      <w:r w:rsidR="00680E2B">
        <w:t>maldistribution</w:t>
      </w:r>
      <w:proofErr w:type="spellEnd"/>
      <w:r w:rsidR="00680E2B">
        <w:t xml:space="preserve"> of the mental health workforce. These include funding models; remuneration models; employment requirements; the variety of employment standards and qualifications that exist across states and territories; pre-service and service training pathways; and registration and professional recognition requirements. Whil</w:t>
      </w:r>
      <w:r w:rsidR="0083419C">
        <w:t>e</w:t>
      </w:r>
      <w:r w:rsidR="00680E2B">
        <w:t xml:space="preserve"> the </w:t>
      </w:r>
      <w:r w:rsidR="00CA2EA7">
        <w:t xml:space="preserve">Consultation Draft </w:t>
      </w:r>
      <w:r w:rsidR="00680E2B">
        <w:t xml:space="preserve">addresses some of these, there remain areas not adequately addressed. </w:t>
      </w:r>
    </w:p>
    <w:p w14:paraId="3C306C61" w14:textId="77777777" w:rsidR="00680E2B" w:rsidRDefault="00680E2B" w:rsidP="00680E2B">
      <w:r>
        <w:t xml:space="preserve">The movement of mental health professions from public to private settings is a continuing trend, particularly amongst psychiatrists and psychologists. Factors contributing to this include a lack of funding and resourcing in the public system resulting in an over-stretched public </w:t>
      </w:r>
      <w:r w:rsidR="002236B1">
        <w:t>system,</w:t>
      </w:r>
      <w:r w:rsidR="004B360A">
        <w:t xml:space="preserve"> and </w:t>
      </w:r>
      <w:r>
        <w:t>a lack of professional development and career progression opportunities</w:t>
      </w:r>
      <w:r w:rsidR="004B360A">
        <w:t>.</w:t>
      </w:r>
    </w:p>
    <w:p w14:paraId="28BA921E" w14:textId="68292781" w:rsidR="004A5D51" w:rsidRDefault="004A5D51" w:rsidP="004A5D51">
      <w:pPr>
        <w:rPr>
          <w:lang w:val="en-AU"/>
        </w:rPr>
      </w:pPr>
      <w:proofErr w:type="spellStart"/>
      <w:r>
        <w:t>Maldistribution</w:t>
      </w:r>
      <w:proofErr w:type="spellEnd"/>
      <w:r>
        <w:t xml:space="preserve"> leads to </w:t>
      </w:r>
      <w:r w:rsidRPr="00E5421F">
        <w:t>significant variations</w:t>
      </w:r>
      <w:r>
        <w:t xml:space="preserve"> </w:t>
      </w:r>
      <w:r w:rsidRPr="00E5421F">
        <w:t xml:space="preserve">between </w:t>
      </w:r>
      <w:r>
        <w:t xml:space="preserve">the </w:t>
      </w:r>
      <w:r w:rsidRPr="00E5421F">
        <w:t>workforce in public and private mental health and health settings</w:t>
      </w:r>
      <w:r>
        <w:t xml:space="preserve">. </w:t>
      </w:r>
      <w:r w:rsidRPr="00E5421F">
        <w:t>These variances are driven by remuneration models but also by the systemic differences between private and public health and how these impact on models of care. To address</w:t>
      </w:r>
      <w:r>
        <w:t xml:space="preserve"> this, there needs to be a balanced and complementary offering b</w:t>
      </w:r>
      <w:r w:rsidRPr="00E5421F">
        <w:t xml:space="preserve">etween service </w:t>
      </w:r>
      <w:proofErr w:type="gramStart"/>
      <w:r w:rsidRPr="00E5421F">
        <w:t>delivery</w:t>
      </w:r>
      <w:proofErr w:type="gramEnd"/>
      <w:r w:rsidRPr="00E5421F">
        <w:t xml:space="preserve"> in private care with that provided in public care</w:t>
      </w:r>
      <w:r>
        <w:t xml:space="preserve">. Not doing so will result in </w:t>
      </w:r>
      <w:r w:rsidRPr="00E5421F">
        <w:t>people</w:t>
      </w:r>
      <w:r>
        <w:t xml:space="preserve"> </w:t>
      </w:r>
      <w:r w:rsidRPr="00E5421F">
        <w:t>continu</w:t>
      </w:r>
      <w:r>
        <w:t>ing</w:t>
      </w:r>
      <w:r w:rsidRPr="00E5421F">
        <w:t xml:space="preserve"> to receive different levels and types of care in both settings</w:t>
      </w:r>
      <w:r>
        <w:t>.</w:t>
      </w:r>
      <w:r w:rsidRPr="004D287E">
        <w:rPr>
          <w:lang w:val="en-AU"/>
        </w:rPr>
        <w:t xml:space="preserve"> </w:t>
      </w:r>
    </w:p>
    <w:p w14:paraId="18844A50" w14:textId="77777777" w:rsidR="00C87867" w:rsidRDefault="00C87867" w:rsidP="00C87867">
      <w:r>
        <w:t xml:space="preserve">It is necessary to build the capacity of the primary health care sector to significantly and pragmatically increase service access to a greater proportion of persons with mental ill-health and improve the delivery of mental health promotion and the likelihood of earlier intervention. This includes developing the mental health competence of GPs and collaborative teams to provide them with appropriate support services and </w:t>
      </w:r>
      <w:r>
        <w:lastRenderedPageBreak/>
        <w:t>decision-making tools to assess and manage the mental health needs of their patients.</w:t>
      </w:r>
    </w:p>
    <w:p w14:paraId="2623A87E" w14:textId="77777777" w:rsidR="00C87867" w:rsidRDefault="00C87867" w:rsidP="00C87867">
      <w:r>
        <w:t xml:space="preserve">There is also a need to address system barriers (such as the Better Access scheme) that are preventing the expansion of the community and primary care workforces, particularly in mental health. By way of example, the Better Access scheme currently excludes mental health nurses who are a critical part of the mental health workforce. The Better Access scheme has also led to the </w:t>
      </w:r>
      <w:r w:rsidRPr="0067646B">
        <w:t xml:space="preserve">geographic </w:t>
      </w:r>
      <w:proofErr w:type="spellStart"/>
      <w:r w:rsidRPr="0067646B">
        <w:t>maldistribution</w:t>
      </w:r>
      <w:proofErr w:type="spellEnd"/>
      <w:r w:rsidRPr="0067646B">
        <w:t xml:space="preserve"> of service providers – with data showing a tendency for providers to cluster in areas of relative socio-economic advantage</w:t>
      </w:r>
      <w:r>
        <w:t>. With s 51(</w:t>
      </w:r>
      <w:proofErr w:type="spellStart"/>
      <w:r>
        <w:t>xxiiiA</w:t>
      </w:r>
      <w:proofErr w:type="spellEnd"/>
      <w:r>
        <w:t xml:space="preserve">) of the Australian Constitution allowing doctors to set their own fees, </w:t>
      </w:r>
      <w:r w:rsidRPr="0067646B">
        <w:t>affordability</w:t>
      </w:r>
      <w:r>
        <w:t xml:space="preserve"> is a real and persistent issue</w:t>
      </w:r>
      <w:r w:rsidRPr="0067646B">
        <w:t xml:space="preserve"> for those who cannot afford ‘gap’ payments over and above the standard MBS rebate</w:t>
      </w:r>
      <w:r>
        <w:t xml:space="preserve">. </w:t>
      </w:r>
    </w:p>
    <w:p w14:paraId="4103C3EA" w14:textId="77777777" w:rsidR="00680E2B" w:rsidRDefault="00680E2B" w:rsidP="00680E2B">
      <w:r>
        <w:t xml:space="preserve">The </w:t>
      </w:r>
      <w:proofErr w:type="spellStart"/>
      <w:r>
        <w:t>maldistribution</w:t>
      </w:r>
      <w:proofErr w:type="spellEnd"/>
      <w:r>
        <w:t xml:space="preserve"> of mental health professionals has also resulted in a shortage of professionals in rural and remote areas, and a high concentration in urban areas</w:t>
      </w:r>
      <w:r w:rsidR="00A96BE1">
        <w:t>.</w:t>
      </w:r>
      <w:r w:rsidR="000B08BC">
        <w:t xml:space="preserve"> The rural and remote mental health workforce is discussed in the </w:t>
      </w:r>
      <w:hyperlink w:anchor="_The_rural_and" w:history="1">
        <w:r w:rsidR="00487036">
          <w:rPr>
            <w:rStyle w:val="Hyperlink"/>
          </w:rPr>
          <w:t>final</w:t>
        </w:r>
        <w:r w:rsidR="000B08BC" w:rsidRPr="00F605E0">
          <w:rPr>
            <w:rStyle w:val="Hyperlink"/>
          </w:rPr>
          <w:t xml:space="preserve"> section</w:t>
        </w:r>
      </w:hyperlink>
      <w:r w:rsidR="00487036">
        <w:t xml:space="preserve"> of this submission</w:t>
      </w:r>
      <w:r w:rsidR="00F605E0">
        <w:t xml:space="preserve">. </w:t>
      </w:r>
    </w:p>
    <w:p w14:paraId="487FAF31" w14:textId="0198237B" w:rsidR="00EE1173" w:rsidRDefault="00340A00" w:rsidP="00C87867">
      <w:pPr>
        <w:spacing w:after="0"/>
      </w:pPr>
      <w:r>
        <w:t>Notably</w:t>
      </w:r>
      <w:r w:rsidR="00680E2B">
        <w:t xml:space="preserve"> absent from the </w:t>
      </w:r>
      <w:r w:rsidR="00CA2EA7">
        <w:t xml:space="preserve">Consultation Draft </w:t>
      </w:r>
      <w:r w:rsidR="00680E2B">
        <w:t>is a strategic approach to investment</w:t>
      </w:r>
      <w:r>
        <w:t xml:space="preserve">, including consideration of </w:t>
      </w:r>
      <w:r w:rsidR="00C87867">
        <w:t>the time taken to develop the workforce</w:t>
      </w:r>
      <w:r w:rsidR="0011787D">
        <w:t>.</w:t>
      </w:r>
      <w:r w:rsidR="00680E2B">
        <w:t xml:space="preserve"> The final Strategy needs to </w:t>
      </w:r>
      <w:r>
        <w:t xml:space="preserve">include an approach that commits governments as well as the private sector to </w:t>
      </w:r>
      <w:r w:rsidR="00950D8A">
        <w:t xml:space="preserve">invest in the growth and development of the workforce. </w:t>
      </w:r>
    </w:p>
    <w:p w14:paraId="6570B3B4" w14:textId="77777777" w:rsidR="00680E2B" w:rsidRDefault="00680E2B" w:rsidP="00680E2B">
      <w:pPr>
        <w:spacing w:after="0"/>
      </w:pPr>
    </w:p>
    <w:tbl>
      <w:tblPr>
        <w:tblStyle w:val="TableGrid"/>
        <w:tblW w:w="0" w:type="auto"/>
        <w:tblLook w:val="04A0" w:firstRow="1" w:lastRow="0" w:firstColumn="1" w:lastColumn="0" w:noHBand="0" w:noVBand="1"/>
      </w:tblPr>
      <w:tblGrid>
        <w:gridCol w:w="9622"/>
      </w:tblGrid>
      <w:tr w:rsidR="00680E2B" w14:paraId="4CBE8A59" w14:textId="77777777" w:rsidTr="00AE423D">
        <w:tc>
          <w:tcPr>
            <w:tcW w:w="9622" w:type="dxa"/>
          </w:tcPr>
          <w:p w14:paraId="2FAAF67B" w14:textId="77777777" w:rsidR="00680E2B" w:rsidRPr="00700909" w:rsidRDefault="00680E2B" w:rsidP="00AE423D">
            <w:pPr>
              <w:suppressAutoHyphens w:val="0"/>
              <w:autoSpaceDE/>
              <w:autoSpaceDN/>
              <w:adjustRightInd/>
              <w:textAlignment w:val="auto"/>
              <w:rPr>
                <w:lang w:val="en-AU"/>
              </w:rPr>
            </w:pPr>
            <w:r w:rsidRPr="00C5451D">
              <w:rPr>
                <w:b/>
                <w:bCs/>
                <w:color w:val="F7941D"/>
                <w:lang w:val="en-AU"/>
              </w:rPr>
              <w:t>Recommendation</w:t>
            </w:r>
            <w:r>
              <w:rPr>
                <w:b/>
                <w:bCs/>
                <w:color w:val="F7941D"/>
                <w:lang w:val="en-AU"/>
              </w:rPr>
              <w:t xml:space="preserve"> </w:t>
            </w:r>
            <w:r w:rsidR="00CF27F3">
              <w:rPr>
                <w:b/>
                <w:bCs/>
                <w:color w:val="F7941D"/>
                <w:lang w:val="en-AU"/>
              </w:rPr>
              <w:t>6</w:t>
            </w:r>
            <w:r w:rsidRPr="00C5451D">
              <w:rPr>
                <w:b/>
                <w:bCs/>
                <w:color w:val="F7941D"/>
                <w:lang w:val="en-AU"/>
              </w:rPr>
              <w:t>:</w:t>
            </w:r>
            <w:r w:rsidRPr="00C5451D">
              <w:rPr>
                <w:color w:val="F7941D"/>
                <w:lang w:val="en-AU"/>
              </w:rPr>
              <w:t xml:space="preserve"> </w:t>
            </w:r>
            <w:r>
              <w:t xml:space="preserve">The National Mental Health Workforce Strategy must include a </w:t>
            </w:r>
            <w:r>
              <w:rPr>
                <w:lang w:val="en-AU"/>
              </w:rPr>
              <w:t xml:space="preserve">strategic approach to investment as well as targeted approaches to funding and remuneration to address the </w:t>
            </w:r>
            <w:proofErr w:type="spellStart"/>
            <w:r>
              <w:rPr>
                <w:lang w:val="en-AU"/>
              </w:rPr>
              <w:t>maldistribution</w:t>
            </w:r>
            <w:proofErr w:type="spellEnd"/>
            <w:r>
              <w:rPr>
                <w:lang w:val="en-AU"/>
              </w:rPr>
              <w:t xml:space="preserve"> of the mental health workforce. </w:t>
            </w:r>
            <w:r w:rsidRPr="00C5451D">
              <w:rPr>
                <w:lang w:val="en-AU"/>
              </w:rPr>
              <w:t xml:space="preserve"> </w:t>
            </w:r>
          </w:p>
        </w:tc>
      </w:tr>
    </w:tbl>
    <w:p w14:paraId="44CE64FA" w14:textId="77777777" w:rsidR="00F057AB" w:rsidRDefault="00F057AB" w:rsidP="00F057AB">
      <w:pPr>
        <w:spacing w:after="0"/>
        <w:rPr>
          <w:lang w:val="en-AU"/>
        </w:rPr>
      </w:pPr>
    </w:p>
    <w:p w14:paraId="3D04B332" w14:textId="77777777" w:rsidR="009538C5" w:rsidRDefault="009538C5" w:rsidP="009538C5">
      <w:pPr>
        <w:pStyle w:val="Heading1"/>
        <w:rPr>
          <w:lang w:val="en-AU"/>
        </w:rPr>
      </w:pPr>
      <w:bookmarkStart w:id="27" w:name="_Toc83726141"/>
      <w:r>
        <w:rPr>
          <w:lang w:val="en-AU"/>
        </w:rPr>
        <w:t>Section 8: Implementation of the Strategy</w:t>
      </w:r>
      <w:bookmarkEnd w:id="27"/>
    </w:p>
    <w:p w14:paraId="785B5FF9" w14:textId="77777777" w:rsidR="00744064" w:rsidRDefault="00744064" w:rsidP="00744064">
      <w:r>
        <w:t xml:space="preserve">In its National Report 2019, the Commission made a recommendation for the Australian Government to produce a clear implementation plan to accompany the development and release of the National Mental Health Workforce Strategy. The Commission notes the intention of the final Strategy to be supported by an implementation plan (or series of plans). Some actions in the </w:t>
      </w:r>
      <w:r w:rsidR="00CA2EA7">
        <w:t xml:space="preserve">Consultation Draft </w:t>
      </w:r>
      <w:r>
        <w:t xml:space="preserve">are identified as priorities within 12 months of the Strategy commencing. As such, the Commission affirms its recommendation for the implementation plan (or the first in the series) to be released at the same time as the final Strategy. </w:t>
      </w:r>
    </w:p>
    <w:tbl>
      <w:tblPr>
        <w:tblStyle w:val="TableGrid"/>
        <w:tblpPr w:leftFromText="180" w:rightFromText="180" w:vertAnchor="text" w:horzAnchor="margin" w:tblpY="-23"/>
        <w:tblW w:w="0" w:type="auto"/>
        <w:tblLook w:val="04A0" w:firstRow="1" w:lastRow="0" w:firstColumn="1" w:lastColumn="0" w:noHBand="0" w:noVBand="1"/>
      </w:tblPr>
      <w:tblGrid>
        <w:gridCol w:w="9622"/>
      </w:tblGrid>
      <w:tr w:rsidR="00744064" w14:paraId="4B084250" w14:textId="77777777" w:rsidTr="00AE423D">
        <w:tc>
          <w:tcPr>
            <w:tcW w:w="9622" w:type="dxa"/>
            <w:vAlign w:val="center"/>
          </w:tcPr>
          <w:p w14:paraId="647DD95A" w14:textId="77777777" w:rsidR="00744064" w:rsidRDefault="00744064" w:rsidP="00AE423D">
            <w:r w:rsidRPr="00E94A70">
              <w:rPr>
                <w:b/>
                <w:bCs/>
                <w:color w:val="F7941D"/>
              </w:rPr>
              <w:t>Recommendation</w:t>
            </w:r>
            <w:r>
              <w:rPr>
                <w:b/>
                <w:bCs/>
                <w:color w:val="F7941D"/>
              </w:rPr>
              <w:t xml:space="preserve"> </w:t>
            </w:r>
            <w:r w:rsidR="00583475">
              <w:rPr>
                <w:b/>
                <w:bCs/>
                <w:color w:val="F7941D"/>
              </w:rPr>
              <w:t>7:</w:t>
            </w:r>
            <w:r w:rsidRPr="00E94A70">
              <w:rPr>
                <w:color w:val="F7941D"/>
              </w:rPr>
              <w:t xml:space="preserve"> </w:t>
            </w:r>
            <w:r>
              <w:rPr>
                <w:color w:val="auto"/>
              </w:rPr>
              <w:t xml:space="preserve">The </w:t>
            </w:r>
            <w:r>
              <w:t>National Mental Health Workforce Strategy is released with an implementation plan (or the first implementation plan of the series).</w:t>
            </w:r>
          </w:p>
        </w:tc>
      </w:tr>
    </w:tbl>
    <w:p w14:paraId="16E4D121" w14:textId="77777777" w:rsidR="00744064" w:rsidRDefault="00744064" w:rsidP="00744064">
      <w:pPr>
        <w:spacing w:after="0"/>
      </w:pPr>
    </w:p>
    <w:p w14:paraId="63379F33" w14:textId="77777777" w:rsidR="00744064" w:rsidRDefault="00744064" w:rsidP="00744064">
      <w:r>
        <w:t xml:space="preserve">The </w:t>
      </w:r>
      <w:r w:rsidR="00CA2EA7">
        <w:t xml:space="preserve">Consultation Draft </w:t>
      </w:r>
      <w:r>
        <w:t>lacks a strategic approach to evaluation. I</w:t>
      </w:r>
      <w:r w:rsidRPr="00B61F8A">
        <w:t>t is necessary the</w:t>
      </w:r>
      <w:r>
        <w:t xml:space="preserve"> final S</w:t>
      </w:r>
      <w:r w:rsidRPr="00B61F8A">
        <w:t xml:space="preserve">trategy </w:t>
      </w:r>
      <w:r>
        <w:t>articulates an approach to evaluation, including</w:t>
      </w:r>
      <w:r w:rsidRPr="00B61F8A">
        <w:t xml:space="preserve"> implementation and associated timeframes</w:t>
      </w:r>
      <w:r>
        <w:t>, and who will be responsible for the evaluation of the Strategy.</w:t>
      </w:r>
    </w:p>
    <w:tbl>
      <w:tblPr>
        <w:tblStyle w:val="TableGrid"/>
        <w:tblW w:w="0" w:type="auto"/>
        <w:tblLook w:val="04A0" w:firstRow="1" w:lastRow="0" w:firstColumn="1" w:lastColumn="0" w:noHBand="0" w:noVBand="1"/>
      </w:tblPr>
      <w:tblGrid>
        <w:gridCol w:w="9622"/>
      </w:tblGrid>
      <w:tr w:rsidR="00744064" w14:paraId="1823B8B9" w14:textId="77777777" w:rsidTr="00AE423D">
        <w:tc>
          <w:tcPr>
            <w:tcW w:w="9622" w:type="dxa"/>
          </w:tcPr>
          <w:p w14:paraId="67E35AEA" w14:textId="77777777" w:rsidR="00744064" w:rsidRDefault="00744064" w:rsidP="00AE423D">
            <w:r w:rsidRPr="00E94A70">
              <w:rPr>
                <w:b/>
                <w:bCs/>
                <w:color w:val="F7941D"/>
              </w:rPr>
              <w:t>Recommendation</w:t>
            </w:r>
            <w:r>
              <w:rPr>
                <w:b/>
                <w:bCs/>
                <w:color w:val="F7941D"/>
              </w:rPr>
              <w:t xml:space="preserve"> </w:t>
            </w:r>
            <w:r w:rsidR="00352530">
              <w:rPr>
                <w:b/>
                <w:bCs/>
                <w:color w:val="F7941D"/>
              </w:rPr>
              <w:t>8</w:t>
            </w:r>
            <w:r w:rsidRPr="00E94A70">
              <w:rPr>
                <w:b/>
                <w:bCs/>
                <w:color w:val="F7941D"/>
              </w:rPr>
              <w:t>:</w:t>
            </w:r>
            <w:r w:rsidRPr="00E94A70">
              <w:rPr>
                <w:color w:val="F7941D"/>
              </w:rPr>
              <w:t xml:space="preserve"> </w:t>
            </w:r>
            <w:r>
              <w:rPr>
                <w:color w:val="auto"/>
              </w:rPr>
              <w:t xml:space="preserve">The </w:t>
            </w:r>
            <w:r>
              <w:t xml:space="preserve">National Mental Health Workforce Strategy includes a strategic approach to evaluation. </w:t>
            </w:r>
          </w:p>
        </w:tc>
      </w:tr>
    </w:tbl>
    <w:p w14:paraId="2D725265" w14:textId="77777777" w:rsidR="009B4FF5" w:rsidRDefault="009B4FF5" w:rsidP="00A432CD">
      <w:pPr>
        <w:spacing w:after="0"/>
      </w:pPr>
    </w:p>
    <w:p w14:paraId="15CFC795" w14:textId="77777777" w:rsidR="0008549B" w:rsidRPr="00DE007A" w:rsidRDefault="0008549B" w:rsidP="0096489B">
      <w:pPr>
        <w:pStyle w:val="Heading1"/>
      </w:pPr>
      <w:bookmarkStart w:id="28" w:name="_The_rural_and"/>
      <w:bookmarkStart w:id="29" w:name="_Toc83726142"/>
      <w:bookmarkEnd w:id="28"/>
      <w:r>
        <w:lastRenderedPageBreak/>
        <w:t>The rural and remote mental health workforce</w:t>
      </w:r>
      <w:bookmarkEnd w:id="29"/>
    </w:p>
    <w:p w14:paraId="5F285F44" w14:textId="77777777" w:rsidR="00B740A0" w:rsidRDefault="00DC47F4" w:rsidP="00DC47F4">
      <w:pPr>
        <w:suppressAutoHyphens w:val="0"/>
        <w:autoSpaceDE/>
        <w:autoSpaceDN/>
        <w:adjustRightInd/>
        <w:textAlignment w:val="auto"/>
      </w:pPr>
      <w:r w:rsidRPr="00C5451D">
        <w:rPr>
          <w:lang w:val="en-AU"/>
        </w:rPr>
        <w:t xml:space="preserve">Ongoing challenges remain in recruiting and retaining a multidisciplinary mental health workforce to rural and remote Australia. </w:t>
      </w:r>
      <w:r w:rsidR="00E44DE9">
        <w:t>C</w:t>
      </w:r>
      <w:r w:rsidR="00E44DE9" w:rsidRPr="000D3114">
        <w:t xml:space="preserve">ritical </w:t>
      </w:r>
      <w:r w:rsidR="00E44DE9">
        <w:t xml:space="preserve">workforce </w:t>
      </w:r>
      <w:r w:rsidR="00E44DE9" w:rsidRPr="000D3114">
        <w:t xml:space="preserve">shortages </w:t>
      </w:r>
      <w:r w:rsidR="00E44DE9">
        <w:t xml:space="preserve">are </w:t>
      </w:r>
      <w:r w:rsidR="00E44DE9" w:rsidRPr="000D3114">
        <w:t xml:space="preserve">evident across the mental health workforce in rural communities including mental health nurses, </w:t>
      </w:r>
      <w:r w:rsidR="00B740A0" w:rsidRPr="000D3114">
        <w:t>psychologists,</w:t>
      </w:r>
      <w:r w:rsidR="00E44DE9" w:rsidRPr="000D3114">
        <w:t xml:space="preserve"> and psychiatrists. </w:t>
      </w:r>
      <w:r w:rsidR="00B740A0">
        <w:t>The lack of mental health services and workforce means many primary health care professionals have roles and responsibilities that require additional knowledge, training, skills and competencies compared to their metropolitan counterparts</w:t>
      </w:r>
      <w:r w:rsidR="00B52CE0">
        <w:t>.</w:t>
      </w:r>
    </w:p>
    <w:p w14:paraId="371FC53E" w14:textId="77777777" w:rsidR="00BD6C10" w:rsidRDefault="007351AD" w:rsidP="00E0719D">
      <w:pPr>
        <w:suppressAutoHyphens w:val="0"/>
        <w:autoSpaceDE/>
        <w:autoSpaceDN/>
        <w:adjustRightInd/>
        <w:textAlignment w:val="auto"/>
      </w:pPr>
      <w:r>
        <w:rPr>
          <w:lang w:val="en-AU"/>
        </w:rPr>
        <w:t>C</w:t>
      </w:r>
      <w:r w:rsidR="00DC47F4" w:rsidRPr="00C5451D">
        <w:rPr>
          <w:lang w:val="en-AU"/>
        </w:rPr>
        <w:t xml:space="preserve">hallenges </w:t>
      </w:r>
      <w:r w:rsidR="00E0719D">
        <w:rPr>
          <w:lang w:val="en-AU"/>
        </w:rPr>
        <w:t>in</w:t>
      </w:r>
      <w:r w:rsidR="00DC47F4" w:rsidRPr="00C5451D">
        <w:rPr>
          <w:lang w:val="en-AU"/>
        </w:rPr>
        <w:t xml:space="preserve"> recruiting</w:t>
      </w:r>
      <w:r>
        <w:rPr>
          <w:lang w:val="en-AU"/>
        </w:rPr>
        <w:t xml:space="preserve"> and retaining the mental health workforce in rural and remote communities w</w:t>
      </w:r>
      <w:r w:rsidR="00E0719D">
        <w:rPr>
          <w:lang w:val="en-AU"/>
        </w:rPr>
        <w:t>ere</w:t>
      </w:r>
      <w:r>
        <w:rPr>
          <w:lang w:val="en-AU"/>
        </w:rPr>
        <w:t xml:space="preserve"> </w:t>
      </w:r>
      <w:r w:rsidR="00E0719D">
        <w:rPr>
          <w:lang w:val="en-AU"/>
        </w:rPr>
        <w:t>detailed in</w:t>
      </w:r>
      <w:r w:rsidR="00DC47F4" w:rsidRPr="00C5451D">
        <w:rPr>
          <w:lang w:val="en-AU"/>
        </w:rPr>
        <w:t xml:space="preserve"> the </w:t>
      </w:r>
      <w:r w:rsidR="007371D1">
        <w:rPr>
          <w:lang w:val="en-AU"/>
        </w:rPr>
        <w:t>2018 S</w:t>
      </w:r>
      <w:r w:rsidR="00DC47F4" w:rsidRPr="00C5451D">
        <w:rPr>
          <w:lang w:val="en-AU"/>
        </w:rPr>
        <w:t xml:space="preserve">enate </w:t>
      </w:r>
      <w:r w:rsidR="007371D1">
        <w:rPr>
          <w:lang w:val="en-AU"/>
        </w:rPr>
        <w:t>I</w:t>
      </w:r>
      <w:r w:rsidR="00DC47F4" w:rsidRPr="00C5451D">
        <w:rPr>
          <w:lang w:val="en-AU"/>
        </w:rPr>
        <w:t>nquiry</w:t>
      </w:r>
      <w:r w:rsidR="007371D1">
        <w:rPr>
          <w:lang w:val="en-AU"/>
        </w:rPr>
        <w:t xml:space="preserve"> into the accessibility and </w:t>
      </w:r>
      <w:r w:rsidR="00B25312">
        <w:rPr>
          <w:lang w:val="en-AU"/>
        </w:rPr>
        <w:t>quality</w:t>
      </w:r>
      <w:r w:rsidR="007371D1">
        <w:rPr>
          <w:lang w:val="en-AU"/>
        </w:rPr>
        <w:t xml:space="preserve"> of </w:t>
      </w:r>
      <w:r w:rsidR="00B25312">
        <w:rPr>
          <w:lang w:val="en-AU"/>
        </w:rPr>
        <w:t>mental health services in rural and remote Australia (2018 Senate Inquiry)</w:t>
      </w:r>
      <w:r w:rsidR="00DC47F4" w:rsidRPr="00C5451D">
        <w:rPr>
          <w:lang w:val="en-AU"/>
        </w:rPr>
        <w:t>.</w:t>
      </w:r>
      <w:r w:rsidR="00DC47F4">
        <w:rPr>
          <w:lang w:val="en-AU"/>
        </w:rPr>
        <w:t xml:space="preserve"> </w:t>
      </w:r>
      <w:r w:rsidR="007F14D6">
        <w:t>As part of t</w:t>
      </w:r>
      <w:r w:rsidR="00E367EC">
        <w:t>he Vision 2030 consultation</w:t>
      </w:r>
      <w:r w:rsidR="00CE043E">
        <w:t>,</w:t>
      </w:r>
      <w:r w:rsidR="007F14D6">
        <w:t xml:space="preserve"> the Commission held a </w:t>
      </w:r>
      <w:r w:rsidR="00E367EC">
        <w:t xml:space="preserve">rural and remote roundtable </w:t>
      </w:r>
      <w:r w:rsidR="000D13E4">
        <w:t>that</w:t>
      </w:r>
      <w:r w:rsidR="00E367EC">
        <w:t xml:space="preserve"> included discussion on workforce issues.</w:t>
      </w:r>
      <w:r w:rsidR="007F14D6">
        <w:t xml:space="preserve"> </w:t>
      </w:r>
      <w:r w:rsidR="00E367EC">
        <w:t xml:space="preserve">Participants </w:t>
      </w:r>
      <w:r w:rsidR="00F23FF3">
        <w:t>expressed</w:t>
      </w:r>
      <w:r w:rsidR="00E367EC">
        <w:t xml:space="preserve"> the 2018 Senate Inquiry </w:t>
      </w:r>
      <w:r w:rsidR="00CE043E">
        <w:t xml:space="preserve">provided </w:t>
      </w:r>
      <w:r w:rsidR="00912396">
        <w:t>adequate</w:t>
      </w:r>
      <w:r w:rsidR="00E367EC">
        <w:t xml:space="preserve"> solutions to </w:t>
      </w:r>
      <w:r w:rsidR="00CE043E">
        <w:t xml:space="preserve">these </w:t>
      </w:r>
      <w:r w:rsidR="000A52CB">
        <w:t>challenges;</w:t>
      </w:r>
      <w:r w:rsidR="00CE043E">
        <w:t xml:space="preserve"> h</w:t>
      </w:r>
      <w:r w:rsidR="00E367EC">
        <w:t>owever time and funding certainty</w:t>
      </w:r>
      <w:r w:rsidR="00D9576D">
        <w:t xml:space="preserve"> have</w:t>
      </w:r>
      <w:r w:rsidR="00E367EC">
        <w:t xml:space="preserve"> been </w:t>
      </w:r>
      <w:r w:rsidR="000A52CB">
        <w:t>significant</w:t>
      </w:r>
      <w:r w:rsidR="00E367EC">
        <w:t xml:space="preserve"> barrier</w:t>
      </w:r>
      <w:r w:rsidR="000A52CB">
        <w:t>s</w:t>
      </w:r>
      <w:r w:rsidR="00E367EC">
        <w:t xml:space="preserve"> to </w:t>
      </w:r>
      <w:r w:rsidR="000A52CB">
        <w:t>their implementation</w:t>
      </w:r>
      <w:r w:rsidR="00E367EC">
        <w:t xml:space="preserve">. </w:t>
      </w:r>
    </w:p>
    <w:p w14:paraId="2ADBA020" w14:textId="5BC71094" w:rsidR="00E367EC" w:rsidRDefault="00E81737" w:rsidP="00E0719D">
      <w:pPr>
        <w:suppressAutoHyphens w:val="0"/>
        <w:autoSpaceDE/>
        <w:autoSpaceDN/>
        <w:adjustRightInd/>
        <w:textAlignment w:val="auto"/>
      </w:pPr>
      <w:r>
        <w:t xml:space="preserve">The </w:t>
      </w:r>
      <w:r>
        <w:rPr>
          <w:lang w:val="en-AU"/>
        </w:rPr>
        <w:t xml:space="preserve">Rural Psychiatry Roadmap 2021-31 (Attachment A) also </w:t>
      </w:r>
      <w:r w:rsidR="00B84428">
        <w:rPr>
          <w:lang w:val="en-AU"/>
        </w:rPr>
        <w:t>sets out a strategic direction and practical recommendations</w:t>
      </w:r>
      <w:r w:rsidR="00D418E2">
        <w:rPr>
          <w:lang w:val="en-AU"/>
        </w:rPr>
        <w:t xml:space="preserve"> to address workforce </w:t>
      </w:r>
      <w:r w:rsidR="002B2FB6">
        <w:rPr>
          <w:lang w:val="en-AU"/>
        </w:rPr>
        <w:t>challenges</w:t>
      </w:r>
      <w:r w:rsidR="00D418E2">
        <w:rPr>
          <w:lang w:val="en-AU"/>
        </w:rPr>
        <w:t xml:space="preserve"> in rural and remote Australia</w:t>
      </w:r>
      <w:r w:rsidR="002B2FB6">
        <w:rPr>
          <w:lang w:val="en-AU"/>
        </w:rPr>
        <w:t>.</w:t>
      </w:r>
      <w:r w:rsidR="00DF2E56">
        <w:rPr>
          <w:lang w:val="en-AU"/>
        </w:rPr>
        <w:t xml:space="preserve"> Whil</w:t>
      </w:r>
      <w:r w:rsidR="006D28C5">
        <w:rPr>
          <w:lang w:val="en-AU"/>
        </w:rPr>
        <w:t>e</w:t>
      </w:r>
      <w:r w:rsidR="00DF2E56">
        <w:rPr>
          <w:lang w:val="en-AU"/>
        </w:rPr>
        <w:t xml:space="preserve"> focused on the psychiatry workforce, the </w:t>
      </w:r>
      <w:r w:rsidR="003F339D">
        <w:rPr>
          <w:lang w:val="en-AU"/>
        </w:rPr>
        <w:t xml:space="preserve">change needed to </w:t>
      </w:r>
      <w:r w:rsidR="0091025E">
        <w:rPr>
          <w:lang w:val="en-AU"/>
        </w:rPr>
        <w:t>address the inequalities in service provision between rural and remote and metropolitan areas</w:t>
      </w:r>
      <w:r w:rsidR="00C17298">
        <w:rPr>
          <w:lang w:val="en-AU"/>
        </w:rPr>
        <w:t xml:space="preserve"> pertain to broader </w:t>
      </w:r>
      <w:r w:rsidR="00C17298">
        <w:rPr>
          <w:lang w:val="en-AU"/>
        </w:rPr>
        <w:lastRenderedPageBreak/>
        <w:t xml:space="preserve">workforces. </w:t>
      </w:r>
      <w:r w:rsidR="00405D38">
        <w:rPr>
          <w:lang w:val="en-AU"/>
        </w:rPr>
        <w:t xml:space="preserve">This includes the need for investment, </w:t>
      </w:r>
      <w:r w:rsidR="006925A3">
        <w:rPr>
          <w:lang w:val="en-AU"/>
        </w:rPr>
        <w:t>im</w:t>
      </w:r>
      <w:r w:rsidR="00710C60">
        <w:rPr>
          <w:lang w:val="en-AU"/>
        </w:rPr>
        <w:t>provements in training opportunities</w:t>
      </w:r>
      <w:r w:rsidR="00ED6899">
        <w:rPr>
          <w:lang w:val="en-AU"/>
        </w:rPr>
        <w:t xml:space="preserve">, </w:t>
      </w:r>
      <w:r w:rsidR="00EB158A">
        <w:rPr>
          <w:lang w:val="en-AU"/>
        </w:rPr>
        <w:t xml:space="preserve">and equipping the workforce with the range of </w:t>
      </w:r>
      <w:r w:rsidR="00701008">
        <w:rPr>
          <w:lang w:val="en-AU"/>
        </w:rPr>
        <w:t xml:space="preserve">skills and competencies required to meet the </w:t>
      </w:r>
      <w:r w:rsidR="00004396">
        <w:rPr>
          <w:lang w:val="en-AU"/>
        </w:rPr>
        <w:t>needs of the community,</w:t>
      </w:r>
    </w:p>
    <w:p w14:paraId="469ABF18" w14:textId="77777777" w:rsidR="008F467D" w:rsidRPr="00C5451D" w:rsidRDefault="008F467D" w:rsidP="00820CA2">
      <w:pPr>
        <w:rPr>
          <w:lang w:val="en-AU"/>
        </w:rPr>
      </w:pPr>
      <w:r>
        <w:t>The 2018 Senate Inquiry recommended the development of a national rural and remote mental health strategy</w:t>
      </w:r>
      <w:r w:rsidR="004F60C1">
        <w:t>,</w:t>
      </w:r>
      <w:r>
        <w:t xml:space="preserve"> </w:t>
      </w:r>
      <w:r w:rsidR="00DE4DA9">
        <w:t>inc</w:t>
      </w:r>
      <w:r w:rsidR="002951A8">
        <w:t xml:space="preserve">luding </w:t>
      </w:r>
      <w:r>
        <w:t>addressing the issues of workforce shortages in rural and remote communities. While the Government supported the recommendation, the decision taken regarding workforce was to include it in the National Mental Health Workforce Strategy.</w:t>
      </w:r>
      <w:r w:rsidR="00230540">
        <w:t xml:space="preserve"> </w:t>
      </w:r>
      <w:r>
        <w:t xml:space="preserve">The </w:t>
      </w:r>
      <w:r w:rsidR="00230540">
        <w:t>final Strategy therefore needs to ensure a strategic approach</w:t>
      </w:r>
      <w:r w:rsidR="00536E0E">
        <w:t xml:space="preserve"> to the rural and remote workforce</w:t>
      </w:r>
      <w:r w:rsidR="00512BD4">
        <w:t xml:space="preserve"> that facilitates all three levels of government working together and promoting local leadership</w:t>
      </w:r>
      <w:r w:rsidR="00820E13">
        <w:t xml:space="preserve"> in workforce planning</w:t>
      </w:r>
      <w:r w:rsidR="00536E0E">
        <w:t xml:space="preserve">. </w:t>
      </w:r>
      <w:r w:rsidR="00820CA2">
        <w:t xml:space="preserve">The Commission acknowledges </w:t>
      </w:r>
      <w:r w:rsidR="00536E0E">
        <w:t xml:space="preserve">there are </w:t>
      </w:r>
      <w:r w:rsidR="008F0765">
        <w:t xml:space="preserve">actions that pertain to </w:t>
      </w:r>
      <w:r w:rsidR="00820CA2">
        <w:t xml:space="preserve">rural and remote communities, however </w:t>
      </w:r>
      <w:r w:rsidR="00F70633">
        <w:t>t</w:t>
      </w:r>
      <w:r w:rsidRPr="00C5451D">
        <w:rPr>
          <w:lang w:val="en-AU"/>
        </w:rPr>
        <w:t>he lac</w:t>
      </w:r>
      <w:r>
        <w:rPr>
          <w:lang w:val="en-AU"/>
        </w:rPr>
        <w:t>k</w:t>
      </w:r>
      <w:r w:rsidRPr="00C5451D">
        <w:rPr>
          <w:lang w:val="en-AU"/>
        </w:rPr>
        <w:t xml:space="preserve"> of a dedicated focus on </w:t>
      </w:r>
      <w:r w:rsidR="00F70633">
        <w:rPr>
          <w:lang w:val="en-AU"/>
        </w:rPr>
        <w:t>the</w:t>
      </w:r>
      <w:r w:rsidRPr="00C5451D">
        <w:rPr>
          <w:lang w:val="en-AU"/>
        </w:rPr>
        <w:t xml:space="preserve"> rural and remote </w:t>
      </w:r>
      <w:r w:rsidR="00F70633">
        <w:rPr>
          <w:lang w:val="en-AU"/>
        </w:rPr>
        <w:t>workforce</w:t>
      </w:r>
      <w:r w:rsidRPr="00C5451D">
        <w:rPr>
          <w:lang w:val="en-AU"/>
        </w:rPr>
        <w:t xml:space="preserve"> in the </w:t>
      </w:r>
      <w:r w:rsidR="00164D59">
        <w:t>Consultation Draft</w:t>
      </w:r>
      <w:r w:rsidR="00164D59" w:rsidRPr="00C5451D">
        <w:rPr>
          <w:lang w:val="en-AU"/>
        </w:rPr>
        <w:t xml:space="preserve"> </w:t>
      </w:r>
      <w:r w:rsidRPr="00C5451D">
        <w:rPr>
          <w:lang w:val="en-AU"/>
        </w:rPr>
        <w:t>is an oversight</w:t>
      </w:r>
      <w:r>
        <w:rPr>
          <w:lang w:val="en-AU"/>
        </w:rPr>
        <w:t>, and it remains unclear how rural and remote workforce issues are</w:t>
      </w:r>
      <w:r w:rsidR="001C3322">
        <w:rPr>
          <w:lang w:val="en-AU"/>
        </w:rPr>
        <w:t xml:space="preserve"> going to be</w:t>
      </w:r>
      <w:r>
        <w:rPr>
          <w:lang w:val="en-AU"/>
        </w:rPr>
        <w:t xml:space="preserve"> addressed in the </w:t>
      </w:r>
      <w:r w:rsidR="001C3322">
        <w:rPr>
          <w:lang w:val="en-AU"/>
        </w:rPr>
        <w:t>final</w:t>
      </w:r>
      <w:r>
        <w:rPr>
          <w:lang w:val="en-AU"/>
        </w:rPr>
        <w:t xml:space="preserve"> Strategy. </w:t>
      </w:r>
    </w:p>
    <w:p w14:paraId="39A1E2E5" w14:textId="77777777" w:rsidR="008F467D" w:rsidRDefault="00354C1D" w:rsidP="00FE590A">
      <w:pPr>
        <w:pStyle w:val="Heading3"/>
      </w:pPr>
      <w:bookmarkStart w:id="30" w:name="_Toc83726143"/>
      <w:r>
        <w:t>Vision 2030 consultation p</w:t>
      </w:r>
      <w:r w:rsidR="00944358">
        <w:t>riorities for consideration</w:t>
      </w:r>
      <w:bookmarkEnd w:id="30"/>
      <w:r w:rsidR="00944358">
        <w:t xml:space="preserve"> </w:t>
      </w:r>
    </w:p>
    <w:p w14:paraId="128A499B" w14:textId="77777777" w:rsidR="0037067C" w:rsidRDefault="008B7A12" w:rsidP="00E367EC">
      <w:r>
        <w:t xml:space="preserve">The </w:t>
      </w:r>
      <w:r w:rsidR="00691D28">
        <w:t xml:space="preserve">Commission suggests the Department of Health </w:t>
      </w:r>
      <w:r w:rsidR="00410A0A">
        <w:t xml:space="preserve">and the Taskforce </w:t>
      </w:r>
      <w:r w:rsidR="00691D28">
        <w:t xml:space="preserve">consider the following contributions </w:t>
      </w:r>
      <w:r w:rsidR="00250327">
        <w:t xml:space="preserve">in its </w:t>
      </w:r>
      <w:r w:rsidR="0037067C">
        <w:t>development</w:t>
      </w:r>
      <w:r w:rsidR="00250327">
        <w:t xml:space="preserve"> of priorities and actions for rural and remote communities in the final Strategy</w:t>
      </w:r>
      <w:r w:rsidR="0037067C">
        <w:t xml:space="preserve">. </w:t>
      </w:r>
    </w:p>
    <w:p w14:paraId="5E366DB0" w14:textId="77777777" w:rsidR="00E367EC" w:rsidRDefault="003E7E8A" w:rsidP="00E367EC">
      <w:r>
        <w:t xml:space="preserve">Participants at the Vision 2030 rural and remote roundtable </w:t>
      </w:r>
      <w:r w:rsidR="00EE731E">
        <w:t>identified</w:t>
      </w:r>
      <w:r w:rsidR="00E938AB">
        <w:t xml:space="preserve"> </w:t>
      </w:r>
      <w:r w:rsidR="00741F42">
        <w:t>t</w:t>
      </w:r>
      <w:r w:rsidR="00E367EC">
        <w:t xml:space="preserve">he importance of career support and development opportunities (including supervision and mentoring opportunities) for </w:t>
      </w:r>
      <w:r w:rsidR="002E6CFE">
        <w:t>rural and remote service providers</w:t>
      </w:r>
      <w:r w:rsidR="00E367EC">
        <w:t xml:space="preserve">. </w:t>
      </w:r>
      <w:r w:rsidR="00F33EF2" w:rsidRPr="00F33EF2">
        <w:t xml:space="preserve">Consideration needs to be given to communities that are not residential, for example transportation communities and fly-in-fly-out workers, and how they can be incorporated into the system. </w:t>
      </w:r>
      <w:r w:rsidR="00E367EC">
        <w:t xml:space="preserve">Emphasis </w:t>
      </w:r>
      <w:r w:rsidR="00E367EC">
        <w:lastRenderedPageBreak/>
        <w:t xml:space="preserve">was placed on the need for development of a self-sufficient ‘home-grown’ workforce </w:t>
      </w:r>
      <w:r w:rsidR="00A739BB">
        <w:t>that</w:t>
      </w:r>
      <w:r w:rsidR="00E367EC">
        <w:t xml:space="preserve"> does not rely on locums.</w:t>
      </w:r>
    </w:p>
    <w:p w14:paraId="691AE37C" w14:textId="77777777" w:rsidR="00E367EC" w:rsidRDefault="00E367EC" w:rsidP="00E367EC">
      <w:r>
        <w:t>Participants particularly emphasised that the allocation of additional service funding without consideration for the available workforce in those rural and remote communities can be problematic and is likely to result in redistribution of the existing mental health workforce without increasing their overall capacity.</w:t>
      </w:r>
    </w:p>
    <w:p w14:paraId="4795F120" w14:textId="77777777" w:rsidR="00354C1D" w:rsidRDefault="00354C1D" w:rsidP="00354C1D">
      <w:r>
        <w:t xml:space="preserve">Many innovative solutions were </w:t>
      </w:r>
      <w:r w:rsidR="00AF4167">
        <w:t>raised by participants</w:t>
      </w:r>
      <w:r>
        <w:t xml:space="preserve"> including work and training packages, integration of supervision and mentoring opportunities across professional groups and implementation of a multidisciplinary focus. </w:t>
      </w:r>
    </w:p>
    <w:tbl>
      <w:tblPr>
        <w:tblStyle w:val="TableGrid"/>
        <w:tblW w:w="0" w:type="auto"/>
        <w:tblLook w:val="04A0" w:firstRow="1" w:lastRow="0" w:firstColumn="1" w:lastColumn="0" w:noHBand="0" w:noVBand="1"/>
      </w:tblPr>
      <w:tblGrid>
        <w:gridCol w:w="9622"/>
      </w:tblGrid>
      <w:tr w:rsidR="005203D7" w14:paraId="64840F72" w14:textId="77777777" w:rsidTr="00134C8D">
        <w:tc>
          <w:tcPr>
            <w:tcW w:w="9622" w:type="dxa"/>
            <w:vAlign w:val="center"/>
          </w:tcPr>
          <w:p w14:paraId="5E5033BC" w14:textId="77777777" w:rsidR="00991492" w:rsidRDefault="005203D7" w:rsidP="00C5451D">
            <w:pPr>
              <w:suppressAutoHyphens w:val="0"/>
              <w:autoSpaceDE/>
              <w:autoSpaceDN/>
              <w:adjustRightInd/>
              <w:textAlignment w:val="auto"/>
              <w:rPr>
                <w:lang w:val="en-AU"/>
              </w:rPr>
            </w:pPr>
            <w:r w:rsidRPr="00C5451D">
              <w:rPr>
                <w:b/>
                <w:bCs/>
                <w:color w:val="F7941D"/>
                <w:lang w:val="en-AU"/>
              </w:rPr>
              <w:t>Recommendation</w:t>
            </w:r>
            <w:r w:rsidR="00C16FC4">
              <w:rPr>
                <w:b/>
                <w:bCs/>
                <w:color w:val="F7941D"/>
                <w:lang w:val="en-AU"/>
              </w:rPr>
              <w:t xml:space="preserve"> </w:t>
            </w:r>
            <w:r w:rsidR="00890AB8">
              <w:rPr>
                <w:b/>
                <w:bCs/>
                <w:color w:val="F7941D"/>
                <w:lang w:val="en-AU"/>
              </w:rPr>
              <w:t>10</w:t>
            </w:r>
            <w:r w:rsidRPr="00C5451D">
              <w:rPr>
                <w:b/>
                <w:bCs/>
                <w:color w:val="F7941D"/>
                <w:lang w:val="en-AU"/>
              </w:rPr>
              <w:t>:</w:t>
            </w:r>
            <w:r w:rsidRPr="00C5451D">
              <w:rPr>
                <w:color w:val="F7941D"/>
                <w:lang w:val="en-AU"/>
              </w:rPr>
              <w:t xml:space="preserve"> </w:t>
            </w:r>
            <w:r w:rsidR="006D4B26">
              <w:rPr>
                <w:lang w:val="en-AU"/>
              </w:rPr>
              <w:t>T</w:t>
            </w:r>
            <w:r w:rsidRPr="00C5451D">
              <w:rPr>
                <w:lang w:val="en-AU"/>
              </w:rPr>
              <w:t xml:space="preserve">he </w:t>
            </w:r>
            <w:r w:rsidR="006D4B26">
              <w:t>National Mental Health Workforce</w:t>
            </w:r>
            <w:r w:rsidR="00991492">
              <w:t xml:space="preserve"> Strategy </w:t>
            </w:r>
            <w:r w:rsidR="00991492">
              <w:rPr>
                <w:lang w:val="en-AU"/>
              </w:rPr>
              <w:t xml:space="preserve">must include approaches for workforces to be </w:t>
            </w:r>
            <w:r w:rsidR="001709BD" w:rsidRPr="008C22E2">
              <w:t>active</w:t>
            </w:r>
            <w:r w:rsidR="00991492">
              <w:t>ly</w:t>
            </w:r>
            <w:r w:rsidR="001709BD" w:rsidRPr="008C22E2">
              <w:t xml:space="preserve"> recruit</w:t>
            </w:r>
            <w:r w:rsidR="00991492">
              <w:t>ed</w:t>
            </w:r>
            <w:r w:rsidR="001709BD" w:rsidRPr="008C22E2">
              <w:t>, appropriate</w:t>
            </w:r>
            <w:r w:rsidR="00991492">
              <w:t>ly</w:t>
            </w:r>
            <w:r w:rsidR="001709BD" w:rsidRPr="008C22E2">
              <w:t xml:space="preserve"> train</w:t>
            </w:r>
            <w:r w:rsidR="00991492">
              <w:t>ed</w:t>
            </w:r>
            <w:r w:rsidR="001709BD" w:rsidRPr="008C22E2">
              <w:t>, retain</w:t>
            </w:r>
            <w:r w:rsidR="00991492">
              <w:t>ed</w:t>
            </w:r>
            <w:r w:rsidR="001709BD" w:rsidRPr="008C22E2">
              <w:t xml:space="preserve">, and incentivised to take up </w:t>
            </w:r>
            <w:r w:rsidR="00991492">
              <w:t xml:space="preserve">rural </w:t>
            </w:r>
            <w:r w:rsidR="001709BD" w:rsidRPr="008C22E2">
              <w:t xml:space="preserve">and </w:t>
            </w:r>
            <w:r w:rsidR="00991492">
              <w:t>remote</w:t>
            </w:r>
            <w:r w:rsidR="001709BD" w:rsidRPr="008C22E2">
              <w:t xml:space="preserve"> work</w:t>
            </w:r>
            <w:r w:rsidR="00971310">
              <w:t xml:space="preserve"> and remain working in rural and remote communities</w:t>
            </w:r>
            <w:r w:rsidRPr="00C5451D">
              <w:rPr>
                <w:lang w:val="en-AU"/>
              </w:rPr>
              <w:t xml:space="preserve">. </w:t>
            </w:r>
          </w:p>
          <w:p w14:paraId="45DDAEB4" w14:textId="77777777" w:rsidR="005203D7" w:rsidRDefault="005203D7" w:rsidP="00C5451D">
            <w:pPr>
              <w:suppressAutoHyphens w:val="0"/>
              <w:autoSpaceDE/>
              <w:autoSpaceDN/>
              <w:adjustRightInd/>
              <w:textAlignment w:val="auto"/>
              <w:rPr>
                <w:lang w:val="en-AU"/>
              </w:rPr>
            </w:pPr>
            <w:r w:rsidRPr="00C5451D">
              <w:rPr>
                <w:lang w:val="en-AU"/>
              </w:rPr>
              <w:t>The Commission notes that whi</w:t>
            </w:r>
            <w:r>
              <w:rPr>
                <w:lang w:val="en-AU"/>
              </w:rPr>
              <w:t>le</w:t>
            </w:r>
            <w:r w:rsidRPr="00C5451D">
              <w:rPr>
                <w:lang w:val="en-AU"/>
              </w:rPr>
              <w:t xml:space="preserve"> we have referred to rural and remote communities collectively, regional, rural, and remote locations often face different challenges and these need to be considered in the development of the </w:t>
            </w:r>
            <w:r w:rsidR="00062B19">
              <w:rPr>
                <w:lang w:val="en-AU"/>
              </w:rPr>
              <w:t>S</w:t>
            </w:r>
            <w:r w:rsidRPr="00C5451D">
              <w:rPr>
                <w:lang w:val="en-AU"/>
              </w:rPr>
              <w:t xml:space="preserve">trategy. </w:t>
            </w:r>
          </w:p>
        </w:tc>
      </w:tr>
    </w:tbl>
    <w:p w14:paraId="2F9AC1E9" w14:textId="77777777" w:rsidR="00467168" w:rsidRDefault="00467168" w:rsidP="00AA6EBF"/>
    <w:p w14:paraId="0729B020" w14:textId="77777777" w:rsidR="003D4196" w:rsidRPr="001B13AA" w:rsidRDefault="00D10E93" w:rsidP="001B13AA">
      <w:pPr>
        <w:pStyle w:val="Heading1"/>
        <w:rPr>
          <w:rFonts w:ascii="Roboto-Bold" w:hAnsi="Roboto-Bold"/>
          <w:sz w:val="26"/>
          <w:szCs w:val="26"/>
        </w:rPr>
      </w:pPr>
      <w:bookmarkStart w:id="31" w:name="_Toc83726144"/>
      <w:r>
        <w:t>References</w:t>
      </w:r>
      <w:bookmarkStart w:id="32" w:name="_GoBack"/>
      <w:bookmarkEnd w:id="31"/>
      <w:bookmarkEnd w:id="32"/>
    </w:p>
    <w:sectPr w:rsidR="003D4196" w:rsidRPr="001B13AA" w:rsidSect="00737032">
      <w:footerReference w:type="even" r:id="rId12"/>
      <w:footerReference w:type="default" r:id="rId13"/>
      <w:headerReference w:type="first" r:id="rId14"/>
      <w:endnotePr>
        <w:numFmt w:val="decimal"/>
      </w:endnotePr>
      <w:pgSz w:w="11900" w:h="16840"/>
      <w:pgMar w:top="1701" w:right="1134" w:bottom="1701"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2ECFA" w14:textId="77777777" w:rsidR="00043D0D" w:rsidRDefault="00043D0D" w:rsidP="00DC1DC6">
      <w:r>
        <w:separator/>
      </w:r>
    </w:p>
  </w:endnote>
  <w:endnote w:type="continuationSeparator" w:id="0">
    <w:p w14:paraId="2902029F" w14:textId="77777777" w:rsidR="00043D0D" w:rsidRDefault="00043D0D" w:rsidP="00DC1DC6">
      <w:r>
        <w:continuationSeparator/>
      </w:r>
    </w:p>
  </w:endnote>
  <w:endnote w:type="continuationNotice" w:id="1">
    <w:p w14:paraId="110AC079" w14:textId="77777777" w:rsidR="00043D0D" w:rsidRDefault="00043D0D">
      <w:pPr>
        <w:spacing w:after="0" w:line="240" w:lineRule="auto"/>
      </w:pPr>
    </w:p>
  </w:endnote>
  <w:endnote w:id="2">
    <w:p w14:paraId="7D760019" w14:textId="77777777" w:rsidR="001840AA" w:rsidRPr="00F83FB6" w:rsidRDefault="001840AA" w:rsidP="001840AA">
      <w:pPr>
        <w:pStyle w:val="EndnoteText"/>
        <w:rPr>
          <w:sz w:val="18"/>
          <w:szCs w:val="18"/>
          <w:lang w:val="en-US"/>
        </w:rPr>
      </w:pPr>
      <w:r w:rsidRPr="00F83FB6">
        <w:rPr>
          <w:rStyle w:val="EndnoteReference"/>
          <w:sz w:val="18"/>
          <w:szCs w:val="18"/>
        </w:rPr>
        <w:endnoteRef/>
      </w:r>
      <w:r w:rsidRPr="00F83FB6">
        <w:rPr>
          <w:sz w:val="18"/>
          <w:szCs w:val="18"/>
        </w:rPr>
        <w:t xml:space="preserve"> The University of </w:t>
      </w:r>
      <w:proofErr w:type="spellStart"/>
      <w:r w:rsidRPr="00F83FB6">
        <w:rPr>
          <w:sz w:val="18"/>
          <w:szCs w:val="18"/>
        </w:rPr>
        <w:t>Qld</w:t>
      </w:r>
      <w:proofErr w:type="spellEnd"/>
      <w:r w:rsidRPr="00F83FB6">
        <w:rPr>
          <w:sz w:val="18"/>
          <w:szCs w:val="18"/>
        </w:rPr>
        <w:t xml:space="preserve"> Institute for Social Science Research</w:t>
      </w:r>
      <w:r w:rsidR="00003DAC" w:rsidRPr="00F83FB6">
        <w:rPr>
          <w:sz w:val="18"/>
          <w:szCs w:val="18"/>
        </w:rPr>
        <w:t>.</w:t>
      </w:r>
      <w:r w:rsidRPr="00F83FB6">
        <w:rPr>
          <w:sz w:val="18"/>
          <w:szCs w:val="18"/>
        </w:rPr>
        <w:t xml:space="preserve"> National Mental Health Workforce Strategy – A literature review of existing national and jurisdictional workforce strategies relevant to the mental health workforce and recent findings of mental health reviews and inquiries Final Report</w:t>
      </w:r>
      <w:r w:rsidR="00F83FB6" w:rsidRPr="00F83FB6">
        <w:rPr>
          <w:sz w:val="18"/>
          <w:szCs w:val="18"/>
        </w:rPr>
        <w:t>;</w:t>
      </w:r>
      <w:r w:rsidR="00003DAC" w:rsidRPr="00F83FB6">
        <w:rPr>
          <w:sz w:val="18"/>
          <w:szCs w:val="18"/>
        </w:rPr>
        <w:t xml:space="preserve"> 2020. Available from:</w:t>
      </w:r>
      <w:r w:rsidR="004932F1" w:rsidRPr="00F83FB6">
        <w:rPr>
          <w:sz w:val="18"/>
          <w:szCs w:val="18"/>
        </w:rPr>
        <w:t xml:space="preserve"> </w:t>
      </w:r>
      <w:hyperlink r:id="rId1" w:history="1">
        <w:r w:rsidR="004932F1" w:rsidRPr="00F83FB6">
          <w:rPr>
            <w:rStyle w:val="Hyperlink"/>
            <w:sz w:val="18"/>
            <w:szCs w:val="18"/>
          </w:rPr>
          <w:t>https://www.health.gov.au/resources/publications/national-mental-health-workforce-strategy-a-literature-review</w:t>
        </w:r>
      </w:hyperlink>
      <w:r w:rsidR="004932F1" w:rsidRPr="00F83FB6">
        <w:rPr>
          <w:sz w:val="18"/>
          <w:szCs w:val="18"/>
        </w:rPr>
        <w:t xml:space="preserve"> </w:t>
      </w:r>
    </w:p>
  </w:endnote>
  <w:endnote w:id="3">
    <w:p w14:paraId="32EEB9F7" w14:textId="77777777" w:rsidR="00827F99" w:rsidRPr="00F83FB6" w:rsidRDefault="00827F99">
      <w:pPr>
        <w:pStyle w:val="EndnoteText"/>
        <w:rPr>
          <w:sz w:val="18"/>
          <w:szCs w:val="18"/>
          <w:lang w:val="en-AU"/>
        </w:rPr>
      </w:pPr>
      <w:r w:rsidRPr="00F83FB6">
        <w:rPr>
          <w:rStyle w:val="EndnoteReference"/>
          <w:sz w:val="18"/>
          <w:szCs w:val="18"/>
        </w:rPr>
        <w:endnoteRef/>
      </w:r>
      <w:r w:rsidRPr="00F83FB6">
        <w:rPr>
          <w:sz w:val="18"/>
          <w:szCs w:val="18"/>
        </w:rPr>
        <w:t xml:space="preserve"> </w:t>
      </w:r>
      <w:r w:rsidR="000973FD" w:rsidRPr="00F83FB6">
        <w:rPr>
          <w:sz w:val="18"/>
          <w:szCs w:val="18"/>
        </w:rPr>
        <w:t xml:space="preserve">Council of Australian Governments Health Council. </w:t>
      </w:r>
      <w:r w:rsidR="00B9256D" w:rsidRPr="00F83FB6">
        <w:rPr>
          <w:sz w:val="18"/>
          <w:szCs w:val="18"/>
        </w:rPr>
        <w:t>The fifth national mental health and suicide prevention plan implementation plan. Canberra. Australian Government Department of Health</w:t>
      </w:r>
      <w:r w:rsidR="00F83FB6" w:rsidRPr="00F83FB6">
        <w:rPr>
          <w:sz w:val="18"/>
          <w:szCs w:val="18"/>
        </w:rPr>
        <w:t>; 2017</w:t>
      </w:r>
    </w:p>
  </w:endnote>
  <w:endnote w:id="4">
    <w:p w14:paraId="4C1F2F1C" w14:textId="77777777" w:rsidR="00676FB6" w:rsidRPr="00F83FB6" w:rsidRDefault="00676FB6" w:rsidP="00676FB6">
      <w:pPr>
        <w:pStyle w:val="EndnoteText"/>
        <w:rPr>
          <w:rFonts w:eastAsia="Times New Roman"/>
          <w:sz w:val="18"/>
          <w:szCs w:val="18"/>
        </w:rPr>
      </w:pPr>
      <w:r w:rsidRPr="00F83FB6">
        <w:rPr>
          <w:rStyle w:val="EndnoteReference"/>
          <w:sz w:val="18"/>
          <w:szCs w:val="18"/>
        </w:rPr>
        <w:endnoteRef/>
      </w:r>
      <w:r w:rsidRPr="00F83FB6">
        <w:rPr>
          <w:sz w:val="18"/>
          <w:szCs w:val="18"/>
        </w:rPr>
        <w:t xml:space="preserve"> The State of Queensland (Queensland Health). Full scope of practice; 2017 [accessed 21 September 2021] Available from: </w:t>
      </w:r>
      <w:hyperlink r:id="rId2" w:history="1">
        <w:r w:rsidRPr="00F83FB6">
          <w:rPr>
            <w:rStyle w:val="Hyperlink"/>
            <w:rFonts w:eastAsia="Times New Roman"/>
            <w:sz w:val="18"/>
            <w:szCs w:val="18"/>
          </w:rPr>
          <w:t>https://www.health.qld.gov.au/ahwac/html/full-scope</w:t>
        </w:r>
      </w:hyperlink>
    </w:p>
  </w:endnote>
  <w:endnote w:id="5">
    <w:p w14:paraId="257143F5" w14:textId="77777777" w:rsidR="00E3107B" w:rsidRPr="00F83FB6" w:rsidRDefault="00E3107B" w:rsidP="00E3107B">
      <w:pPr>
        <w:pStyle w:val="EndnoteText"/>
        <w:rPr>
          <w:sz w:val="18"/>
          <w:szCs w:val="18"/>
          <w:lang w:val="en-US"/>
        </w:rPr>
      </w:pPr>
      <w:r w:rsidRPr="00F83FB6">
        <w:rPr>
          <w:rStyle w:val="EndnoteReference"/>
          <w:sz w:val="18"/>
          <w:szCs w:val="18"/>
        </w:rPr>
        <w:endnoteRef/>
      </w:r>
      <w:r w:rsidRPr="00F83FB6">
        <w:rPr>
          <w:sz w:val="18"/>
          <w:szCs w:val="18"/>
        </w:rPr>
        <w:t xml:space="preserve"> </w:t>
      </w:r>
      <w:proofErr w:type="spellStart"/>
      <w:r w:rsidRPr="00F83FB6">
        <w:rPr>
          <w:sz w:val="18"/>
          <w:szCs w:val="18"/>
        </w:rPr>
        <w:t>Te</w:t>
      </w:r>
      <w:proofErr w:type="spellEnd"/>
      <w:r w:rsidRPr="00F83FB6">
        <w:rPr>
          <w:sz w:val="18"/>
          <w:szCs w:val="18"/>
        </w:rPr>
        <w:t xml:space="preserve"> </w:t>
      </w:r>
      <w:proofErr w:type="spellStart"/>
      <w:r w:rsidRPr="00F83FB6">
        <w:rPr>
          <w:sz w:val="18"/>
          <w:szCs w:val="18"/>
        </w:rPr>
        <w:t>Pou</w:t>
      </w:r>
      <w:proofErr w:type="spellEnd"/>
      <w:r w:rsidRPr="00F83FB6">
        <w:rPr>
          <w:sz w:val="18"/>
          <w:szCs w:val="18"/>
        </w:rPr>
        <w:t xml:space="preserve"> o </w:t>
      </w:r>
      <w:proofErr w:type="spellStart"/>
      <w:proofErr w:type="gramStart"/>
      <w:r w:rsidRPr="00F83FB6">
        <w:rPr>
          <w:sz w:val="18"/>
          <w:szCs w:val="18"/>
        </w:rPr>
        <w:t>te</w:t>
      </w:r>
      <w:proofErr w:type="spellEnd"/>
      <w:proofErr w:type="gramEnd"/>
      <w:r w:rsidRPr="00F83FB6">
        <w:rPr>
          <w:sz w:val="18"/>
          <w:szCs w:val="18"/>
        </w:rPr>
        <w:t xml:space="preserve"> </w:t>
      </w:r>
      <w:proofErr w:type="spellStart"/>
      <w:r w:rsidRPr="00F83FB6">
        <w:rPr>
          <w:sz w:val="18"/>
          <w:szCs w:val="18"/>
        </w:rPr>
        <w:t>Whakaaro</w:t>
      </w:r>
      <w:proofErr w:type="spellEnd"/>
      <w:r w:rsidRPr="00F83FB6">
        <w:rPr>
          <w:sz w:val="18"/>
          <w:szCs w:val="18"/>
        </w:rPr>
        <w:t xml:space="preserve"> Nui. Scope it right - Working to top of scope literature review summary - Mental health and addiction workforce</w:t>
      </w:r>
      <w:r w:rsidR="00F83FB6" w:rsidRPr="00F83FB6">
        <w:rPr>
          <w:sz w:val="18"/>
          <w:szCs w:val="18"/>
        </w:rPr>
        <w:t>;</w:t>
      </w:r>
      <w:r w:rsidRPr="00F83FB6">
        <w:rPr>
          <w:sz w:val="18"/>
          <w:szCs w:val="18"/>
        </w:rPr>
        <w:t xml:space="preserve"> 2015. Available from:</w:t>
      </w:r>
      <w:hyperlink r:id="rId3" w:history="1">
        <w:r w:rsidRPr="00F83FB6">
          <w:rPr>
            <w:rStyle w:val="Hyperlink"/>
            <w:rFonts w:eastAsia="Times New Roman"/>
            <w:sz w:val="18"/>
            <w:szCs w:val="18"/>
          </w:rPr>
          <w:t>https://www.tepou.co.nz/uploads/files/resources/scope-it-right-literature-review.pdf</w:t>
        </w:r>
      </w:hyperlink>
    </w:p>
  </w:endnote>
  <w:endnote w:id="6">
    <w:p w14:paraId="0548C1A2" w14:textId="77777777" w:rsidR="00143FB9" w:rsidRPr="00F83FB6" w:rsidRDefault="00143FB9">
      <w:pPr>
        <w:pStyle w:val="EndnoteText"/>
        <w:rPr>
          <w:sz w:val="18"/>
          <w:szCs w:val="18"/>
          <w:lang w:val="en-AU"/>
        </w:rPr>
      </w:pPr>
      <w:r w:rsidRPr="00F83FB6">
        <w:rPr>
          <w:rStyle w:val="EndnoteReference"/>
          <w:sz w:val="18"/>
          <w:szCs w:val="18"/>
        </w:rPr>
        <w:endnoteRef/>
      </w:r>
      <w:r w:rsidRPr="00F83FB6">
        <w:rPr>
          <w:sz w:val="18"/>
          <w:szCs w:val="18"/>
        </w:rPr>
        <w:t xml:space="preserve"> </w:t>
      </w:r>
      <w:r w:rsidR="00A42303" w:rsidRPr="00F83FB6">
        <w:rPr>
          <w:sz w:val="18"/>
          <w:szCs w:val="18"/>
          <w:lang w:val="en-AU"/>
        </w:rPr>
        <w:t xml:space="preserve">National Rural Health Alliance. </w:t>
      </w:r>
      <w:r w:rsidR="00A42303" w:rsidRPr="00F83FB6">
        <w:rPr>
          <w:sz w:val="18"/>
          <w:szCs w:val="18"/>
        </w:rPr>
        <w:t>A Quality Rural Placement System for Health Students</w:t>
      </w:r>
      <w:r w:rsidR="00F83FB6" w:rsidRPr="00F83FB6">
        <w:rPr>
          <w:sz w:val="18"/>
          <w:szCs w:val="18"/>
        </w:rPr>
        <w:t>;</w:t>
      </w:r>
      <w:r w:rsidR="00A42303" w:rsidRPr="00F83FB6">
        <w:rPr>
          <w:sz w:val="18"/>
          <w:szCs w:val="18"/>
        </w:rPr>
        <w:t xml:space="preserve"> 2004. Available from: </w:t>
      </w:r>
      <w:hyperlink r:id="rId4" w:history="1">
        <w:r w:rsidR="00650CDF" w:rsidRPr="00F83FB6">
          <w:rPr>
            <w:rStyle w:val="Hyperlink"/>
            <w:sz w:val="18"/>
            <w:szCs w:val="18"/>
          </w:rPr>
          <w:t>http://ruralhealth.org.au/sites/default/files/position-papers/position-paper-04-04-01.pdf</w:t>
        </w:r>
      </w:hyperlink>
      <w:r w:rsidR="00650CDF" w:rsidRPr="00F83FB6">
        <w:rPr>
          <w:sz w:val="18"/>
          <w:szCs w:val="18"/>
        </w:rPr>
        <w:t xml:space="preserve"> </w:t>
      </w:r>
    </w:p>
  </w:endnote>
  <w:endnote w:id="7">
    <w:p w14:paraId="53391D19" w14:textId="77777777" w:rsidR="00856B2A" w:rsidRPr="00FD79F0" w:rsidRDefault="00856B2A" w:rsidP="00856B2A">
      <w:pPr>
        <w:pStyle w:val="EndnoteText"/>
        <w:rPr>
          <w:lang w:val="en-AU"/>
        </w:rPr>
      </w:pPr>
      <w:r w:rsidRPr="00F83FB6">
        <w:rPr>
          <w:rStyle w:val="EndnoteReference"/>
          <w:sz w:val="18"/>
          <w:szCs w:val="18"/>
        </w:rPr>
        <w:endnoteRef/>
      </w:r>
      <w:r w:rsidRPr="00F83FB6">
        <w:rPr>
          <w:sz w:val="18"/>
          <w:szCs w:val="18"/>
        </w:rPr>
        <w:t xml:space="preserve"> Outback Futures. Productivity Commission Inquiry into Mental Health</w:t>
      </w:r>
      <w:r w:rsidR="00F83FB6" w:rsidRPr="00F83FB6">
        <w:rPr>
          <w:sz w:val="18"/>
          <w:szCs w:val="18"/>
        </w:rPr>
        <w:t>;</w:t>
      </w:r>
      <w:r w:rsidRPr="00F83FB6">
        <w:rPr>
          <w:sz w:val="18"/>
          <w:szCs w:val="18"/>
        </w:rPr>
        <w:t xml:space="preserve"> 2019. Available from: </w:t>
      </w:r>
      <w:hyperlink r:id="rId5" w:history="1">
        <w:r w:rsidRPr="00F83FB6">
          <w:rPr>
            <w:rStyle w:val="Hyperlink"/>
            <w:sz w:val="18"/>
            <w:szCs w:val="18"/>
          </w:rPr>
          <w:t>https://www.pc.gov.au/__data/assets/pdf_file/0012/240204/sub107-mental-health.pdf</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Light">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Bold">
    <w:altName w:val="Arial"/>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erriweather-Regular">
    <w:altName w:val="Cambria"/>
    <w:charset w:val="4D"/>
    <w:family w:val="auto"/>
    <w:pitch w:val="variable"/>
    <w:sig w:usb0="20000207" w:usb1="00000002"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Roboto-Regular">
    <w:altName w:val="Arial"/>
    <w:charset w:val="00"/>
    <w:family w:val="auto"/>
    <w:pitch w:val="variable"/>
    <w:sig w:usb0="E00002FF" w:usb1="5000205B" w:usb2="00000020" w:usb3="00000000" w:csb0="0000019F" w:csb1="00000000"/>
  </w:font>
  <w:font w:name="Roboto-Medium">
    <w:altName w:val="Arial"/>
    <w:charset w:val="00"/>
    <w:family w:val="auto"/>
    <w:pitch w:val="variable"/>
    <w:sig w:usb0="E00002FF" w:usb1="5000205B" w:usb2="00000020" w:usb3="00000000" w:csb0="0000019F" w:csb1="00000000"/>
  </w:font>
  <w:font w:name="MinionPro-Regular">
    <w:altName w:val="Calibri"/>
    <w:charset w:val="4D"/>
    <w:family w:val="auto"/>
    <w:pitch w:val="default"/>
    <w:sig w:usb0="00000003" w:usb1="00000000" w:usb2="00000000" w:usb3="00000000" w:csb0="00000001" w:csb1="00000000"/>
  </w:font>
  <w:font w:name="Roboto Medium">
    <w:panose1 w:val="02000000000000000000"/>
    <w:charset w:val="00"/>
    <w:family w:val="auto"/>
    <w:pitch w:val="variable"/>
    <w:sig w:usb0="E00002FF" w:usb1="5000205B" w:usb2="00000020" w:usb3="00000000" w:csb0="0000019F" w:csb1="00000000"/>
  </w:font>
  <w:font w:name="Merriweather">
    <w:panose1 w:val="00000500000000000000"/>
    <w:charset w:val="00"/>
    <w:family w:val="auto"/>
    <w:pitch w:val="variable"/>
    <w:sig w:usb0="20000207" w:usb1="00000002"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51712444"/>
      <w:docPartObj>
        <w:docPartGallery w:val="Page Numbers (Bottom of Page)"/>
        <w:docPartUnique/>
      </w:docPartObj>
    </w:sdtPr>
    <w:sdtEndPr>
      <w:rPr>
        <w:rStyle w:val="PageNumber"/>
      </w:rPr>
    </w:sdtEndPr>
    <w:sdtContent>
      <w:p w14:paraId="4366C13F" w14:textId="77777777" w:rsidR="00ED090F" w:rsidRDefault="00ED090F" w:rsidP="008037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10676D" w14:textId="77777777" w:rsidR="00ED090F" w:rsidRDefault="00ED090F" w:rsidP="00ED09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293095"/>
      <w:docPartObj>
        <w:docPartGallery w:val="Page Numbers (Bottom of Page)"/>
        <w:docPartUnique/>
      </w:docPartObj>
    </w:sdtPr>
    <w:sdtEndPr>
      <w:rPr>
        <w:rStyle w:val="PageNumber"/>
        <w:color w:val="F15A31"/>
      </w:rPr>
    </w:sdtEndPr>
    <w:sdtContent>
      <w:p w14:paraId="63F6A859" w14:textId="1DE242D6" w:rsidR="00803754" w:rsidRPr="00737032" w:rsidRDefault="00803754" w:rsidP="00A27240">
        <w:pPr>
          <w:pStyle w:val="Footer"/>
          <w:framePr w:wrap="none" w:vAnchor="text" w:hAnchor="margin" w:xAlign="right" w:y="1"/>
          <w:rPr>
            <w:rStyle w:val="PageNumber"/>
            <w:color w:val="F15A31"/>
          </w:rPr>
        </w:pPr>
        <w:r w:rsidRPr="00737032">
          <w:rPr>
            <w:rStyle w:val="PageNumber"/>
            <w:color w:val="F15A31"/>
          </w:rPr>
          <w:fldChar w:fldCharType="begin"/>
        </w:r>
        <w:r w:rsidRPr="00737032">
          <w:rPr>
            <w:rStyle w:val="PageNumber"/>
            <w:color w:val="F15A31"/>
          </w:rPr>
          <w:instrText xml:space="preserve"> PAGE </w:instrText>
        </w:r>
        <w:r w:rsidRPr="00737032">
          <w:rPr>
            <w:rStyle w:val="PageNumber"/>
            <w:color w:val="F15A31"/>
          </w:rPr>
          <w:fldChar w:fldCharType="separate"/>
        </w:r>
        <w:r w:rsidR="00230229">
          <w:rPr>
            <w:rStyle w:val="PageNumber"/>
            <w:noProof/>
            <w:color w:val="F15A31"/>
          </w:rPr>
          <w:t>15</w:t>
        </w:r>
        <w:r w:rsidRPr="00737032">
          <w:rPr>
            <w:rStyle w:val="PageNumber"/>
            <w:color w:val="F15A31"/>
          </w:rPr>
          <w:fldChar w:fldCharType="end"/>
        </w:r>
      </w:p>
    </w:sdtContent>
  </w:sdt>
  <w:p w14:paraId="08A5516D" w14:textId="77777777" w:rsidR="0051589C" w:rsidRPr="00737032" w:rsidRDefault="00803754" w:rsidP="00737032">
    <w:pPr>
      <w:pStyle w:val="Folio-DocumentNameFOLIO"/>
    </w:pPr>
    <w:r w:rsidRPr="00737032">
      <w:rPr>
        <w:rStyle w:val="RobotoMediumRoboto"/>
      </w:rPr>
      <w:t xml:space="preserve">National Mental Health </w:t>
    </w:r>
    <w:proofErr w:type="gramStart"/>
    <w:r w:rsidRPr="00737032">
      <w:rPr>
        <w:rStyle w:val="RobotoMediumRoboto"/>
      </w:rPr>
      <w:t>Commission</w:t>
    </w:r>
    <w:r w:rsidR="00737032">
      <w:t xml:space="preserve">  </w:t>
    </w:r>
    <w:r w:rsidR="00737032" w:rsidRPr="00737032">
      <w:rPr>
        <w:color w:val="F15A31"/>
      </w:rPr>
      <w:t>•</w:t>
    </w:r>
    <w:proofErr w:type="gramEnd"/>
    <w:r w:rsidR="00737032">
      <w:t xml:space="preserve">  </w:t>
    </w:r>
    <w:r w:rsidR="00801187">
      <w:t xml:space="preserve">Submission on the consultation draft National Mental Health Workforce Strategy </w:t>
    </w:r>
    <w:r w:rsidR="00D82F84">
      <w:t>2021-2023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598E" w14:textId="77777777" w:rsidR="00043D0D" w:rsidRDefault="00043D0D" w:rsidP="00DC1DC6">
      <w:r>
        <w:separator/>
      </w:r>
    </w:p>
  </w:footnote>
  <w:footnote w:type="continuationSeparator" w:id="0">
    <w:p w14:paraId="7C6FE320" w14:textId="77777777" w:rsidR="00043D0D" w:rsidRDefault="00043D0D" w:rsidP="00DC1DC6">
      <w:r>
        <w:continuationSeparator/>
      </w:r>
    </w:p>
  </w:footnote>
  <w:footnote w:type="continuationNotice" w:id="1">
    <w:p w14:paraId="3E136956" w14:textId="77777777" w:rsidR="00043D0D" w:rsidRDefault="00043D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B8894" w14:textId="77777777" w:rsidR="00000B8A" w:rsidRDefault="00DB74F3">
    <w:pPr>
      <w:pStyle w:val="Header"/>
    </w:pPr>
    <w:r>
      <w:rPr>
        <w:noProof/>
        <w:lang w:val="en-AU" w:eastAsia="en-AU"/>
      </w:rPr>
      <w:drawing>
        <wp:anchor distT="0" distB="0" distL="114300" distR="114300" simplePos="0" relativeHeight="251658240" behindDoc="1" locked="0" layoutInCell="1" allowOverlap="1" wp14:anchorId="5C175935" wp14:editId="06C63899">
          <wp:simplePos x="0" y="0"/>
          <wp:positionH relativeFrom="page">
            <wp:align>center</wp:align>
          </wp:positionH>
          <wp:positionV relativeFrom="page">
            <wp:align>top</wp:align>
          </wp:positionV>
          <wp:extent cx="7560000" cy="106956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DAD0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0EBC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50EA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A410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DA5F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06E9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BE50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A63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DAB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048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4575B"/>
    <w:multiLevelType w:val="hybridMultilevel"/>
    <w:tmpl w:val="6C16040E"/>
    <w:lvl w:ilvl="0" w:tplc="13CCFA5E">
      <w:numFmt w:val="bullet"/>
      <w:lvlText w:val="-"/>
      <w:lvlJc w:val="left"/>
      <w:pPr>
        <w:ind w:left="720" w:hanging="360"/>
      </w:pPr>
      <w:rPr>
        <w:rFonts w:ascii="Roboto-Light" w:eastAsiaTheme="minorHAnsi" w:hAnsi="Roboto-Light" w:cs="Roboto-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486EB3"/>
    <w:multiLevelType w:val="multilevel"/>
    <w:tmpl w:val="2B106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ED6905"/>
    <w:multiLevelType w:val="multilevel"/>
    <w:tmpl w:val="7586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8A6729"/>
    <w:multiLevelType w:val="multilevel"/>
    <w:tmpl w:val="CCD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A516E0"/>
    <w:multiLevelType w:val="multilevel"/>
    <w:tmpl w:val="08A28368"/>
    <w:lvl w:ilvl="0">
      <w:start w:val="1"/>
      <w:numFmt w:val="bullet"/>
      <w:lvlText w:val=""/>
      <w:lvlJc w:val="left"/>
      <w:pPr>
        <w:ind w:left="170" w:hanging="170"/>
      </w:pPr>
      <w:rPr>
        <w:rFonts w:ascii="Symbol" w:hAnsi="Symbol"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5" w15:restartNumberingAfterBreak="0">
    <w:nsid w:val="2E3E4232"/>
    <w:multiLevelType w:val="hybridMultilevel"/>
    <w:tmpl w:val="E1865778"/>
    <w:lvl w:ilvl="0" w:tplc="DCAA285E">
      <w:start w:val="1"/>
      <w:numFmt w:val="bullet"/>
      <w:pStyle w:val="ListParagraph"/>
      <w:lvlText w:val="•"/>
      <w:lvlJc w:val="left"/>
      <w:pPr>
        <w:ind w:left="170" w:hanging="170"/>
      </w:pPr>
      <w:rPr>
        <w:rFonts w:ascii="Roboto-Bold" w:hAnsi="Roboto-Bold" w:hint="default"/>
        <w:color w:val="F7941D"/>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6" w15:restartNumberingAfterBreak="0">
    <w:nsid w:val="37C25E82"/>
    <w:multiLevelType w:val="multilevel"/>
    <w:tmpl w:val="A31E6874"/>
    <w:lvl w:ilvl="0">
      <w:start w:val="1"/>
      <w:numFmt w:val="bullet"/>
      <w:lvlText w:val="•"/>
      <w:lvlJc w:val="left"/>
      <w:pPr>
        <w:ind w:left="170" w:hanging="170"/>
      </w:pPr>
      <w:rPr>
        <w:rFonts w:ascii="Roboto" w:hAnsi="Roboto"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7" w15:restartNumberingAfterBreak="0">
    <w:nsid w:val="3929269D"/>
    <w:multiLevelType w:val="multilevel"/>
    <w:tmpl w:val="5D8649D2"/>
    <w:lvl w:ilvl="0">
      <w:start w:val="1"/>
      <w:numFmt w:val="bullet"/>
      <w:lvlText w:val=""/>
      <w:lvlJc w:val="left"/>
      <w:pPr>
        <w:ind w:left="170" w:hanging="170"/>
      </w:pPr>
      <w:rPr>
        <w:rFonts w:ascii="Roboto" w:hAnsi="Roboto"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8" w15:restartNumberingAfterBreak="0">
    <w:nsid w:val="3A2E2762"/>
    <w:multiLevelType w:val="multilevel"/>
    <w:tmpl w:val="2F18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3639AA"/>
    <w:multiLevelType w:val="hybridMultilevel"/>
    <w:tmpl w:val="DD4EA0EA"/>
    <w:lvl w:ilvl="0" w:tplc="6BA2B9FE">
      <w:numFmt w:val="bullet"/>
      <w:lvlText w:val="-"/>
      <w:lvlJc w:val="left"/>
      <w:pPr>
        <w:ind w:left="720" w:hanging="360"/>
      </w:pPr>
      <w:rPr>
        <w:rFonts w:ascii="Roboto-Light" w:eastAsiaTheme="minorHAnsi" w:hAnsi="Roboto-Light" w:cs="Roboto-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91D65"/>
    <w:multiLevelType w:val="multilevel"/>
    <w:tmpl w:val="CDC0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A912D7"/>
    <w:multiLevelType w:val="multilevel"/>
    <w:tmpl w:val="EF46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EF7630"/>
    <w:multiLevelType w:val="hybridMultilevel"/>
    <w:tmpl w:val="F9D4BC8E"/>
    <w:lvl w:ilvl="0" w:tplc="02921954">
      <w:numFmt w:val="bullet"/>
      <w:lvlText w:val="-"/>
      <w:lvlJc w:val="left"/>
      <w:pPr>
        <w:ind w:left="720" w:hanging="360"/>
      </w:pPr>
      <w:rPr>
        <w:rFonts w:ascii="Roboto-Light" w:eastAsiaTheme="minorHAnsi" w:hAnsi="Roboto-Light" w:cs="Roboto-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F14C8"/>
    <w:multiLevelType w:val="multilevel"/>
    <w:tmpl w:val="EDAED0C6"/>
    <w:lvl w:ilvl="0">
      <w:start w:val="1"/>
      <w:numFmt w:val="bullet"/>
      <w:lvlText w:val=""/>
      <w:lvlJc w:val="left"/>
      <w:pPr>
        <w:ind w:left="284" w:hanging="284"/>
      </w:pPr>
      <w:rPr>
        <w:rFonts w:ascii="Symbol" w:hAnsi="Symbol" w:hint="default"/>
        <w:color w:val="F7941D"/>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4" w15:restartNumberingAfterBreak="0">
    <w:nsid w:val="552D56CD"/>
    <w:multiLevelType w:val="multilevel"/>
    <w:tmpl w:val="1A7EC318"/>
    <w:lvl w:ilvl="0">
      <w:start w:val="1"/>
      <w:numFmt w:val="bullet"/>
      <w:lvlText w:val=""/>
      <w:lvlJc w:val="left"/>
      <w:pPr>
        <w:ind w:left="360" w:hanging="360"/>
      </w:pPr>
      <w:rPr>
        <w:rFonts w:ascii="Symbol" w:hAnsi="Symbol" w:hint="default"/>
        <w:color w:val="00B9F2"/>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634B7734"/>
    <w:multiLevelType w:val="multilevel"/>
    <w:tmpl w:val="57D03ACA"/>
    <w:lvl w:ilvl="0">
      <w:start w:val="1"/>
      <w:numFmt w:val="bullet"/>
      <w:lvlText w:val=""/>
      <w:lvlJc w:val="left"/>
      <w:pPr>
        <w:ind w:left="284" w:hanging="284"/>
      </w:pPr>
      <w:rPr>
        <w:rFonts w:ascii="Symbol" w:hAnsi="Symbol" w:hint="default"/>
        <w:color w:val="00B9F2"/>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6" w15:restartNumberingAfterBreak="0">
    <w:nsid w:val="747F7AC5"/>
    <w:multiLevelType w:val="hybridMultilevel"/>
    <w:tmpl w:val="33722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4"/>
  </w:num>
  <w:num w:numId="13">
    <w:abstractNumId w:val="19"/>
  </w:num>
  <w:num w:numId="14">
    <w:abstractNumId w:val="22"/>
  </w:num>
  <w:num w:numId="15">
    <w:abstractNumId w:val="10"/>
  </w:num>
  <w:num w:numId="16">
    <w:abstractNumId w:val="25"/>
  </w:num>
  <w:num w:numId="17">
    <w:abstractNumId w:val="23"/>
  </w:num>
  <w:num w:numId="18">
    <w:abstractNumId w:val="14"/>
  </w:num>
  <w:num w:numId="19">
    <w:abstractNumId w:val="17"/>
  </w:num>
  <w:num w:numId="20">
    <w:abstractNumId w:val="16"/>
  </w:num>
  <w:num w:numId="21">
    <w:abstractNumId w:val="26"/>
  </w:num>
  <w:num w:numId="22">
    <w:abstractNumId w:val="21"/>
  </w:num>
  <w:num w:numId="23">
    <w:abstractNumId w:val="12"/>
  </w:num>
  <w:num w:numId="24">
    <w:abstractNumId w:val="18"/>
  </w:num>
  <w:num w:numId="25">
    <w:abstractNumId w:val="13"/>
  </w:num>
  <w:num w:numId="26">
    <w:abstractNumId w:val="2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9C"/>
    <w:rsid w:val="00000B8A"/>
    <w:rsid w:val="00001612"/>
    <w:rsid w:val="00001FBC"/>
    <w:rsid w:val="00002589"/>
    <w:rsid w:val="00003D11"/>
    <w:rsid w:val="00003DAC"/>
    <w:rsid w:val="00003E37"/>
    <w:rsid w:val="00004396"/>
    <w:rsid w:val="0000588D"/>
    <w:rsid w:val="00005B8D"/>
    <w:rsid w:val="00005EC1"/>
    <w:rsid w:val="00006397"/>
    <w:rsid w:val="00007BA9"/>
    <w:rsid w:val="000107FB"/>
    <w:rsid w:val="00012E70"/>
    <w:rsid w:val="00012F6D"/>
    <w:rsid w:val="00013A28"/>
    <w:rsid w:val="000152EC"/>
    <w:rsid w:val="00016FC6"/>
    <w:rsid w:val="00020771"/>
    <w:rsid w:val="00020D4B"/>
    <w:rsid w:val="0002102B"/>
    <w:rsid w:val="00021165"/>
    <w:rsid w:val="00022A00"/>
    <w:rsid w:val="00023DD0"/>
    <w:rsid w:val="00024AD5"/>
    <w:rsid w:val="00025F7B"/>
    <w:rsid w:val="00031EEE"/>
    <w:rsid w:val="0003241C"/>
    <w:rsid w:val="000331D6"/>
    <w:rsid w:val="00035E59"/>
    <w:rsid w:val="0003736B"/>
    <w:rsid w:val="00041C52"/>
    <w:rsid w:val="00042B09"/>
    <w:rsid w:val="00042E74"/>
    <w:rsid w:val="00043629"/>
    <w:rsid w:val="00043D0D"/>
    <w:rsid w:val="00045636"/>
    <w:rsid w:val="000459E5"/>
    <w:rsid w:val="00050777"/>
    <w:rsid w:val="00052B08"/>
    <w:rsid w:val="00054C7C"/>
    <w:rsid w:val="00057861"/>
    <w:rsid w:val="000600B2"/>
    <w:rsid w:val="00060B5A"/>
    <w:rsid w:val="00060BCF"/>
    <w:rsid w:val="00061149"/>
    <w:rsid w:val="00062235"/>
    <w:rsid w:val="00062B19"/>
    <w:rsid w:val="00063C37"/>
    <w:rsid w:val="000644E0"/>
    <w:rsid w:val="00064AE7"/>
    <w:rsid w:val="000651E0"/>
    <w:rsid w:val="0006585F"/>
    <w:rsid w:val="00070C76"/>
    <w:rsid w:val="0007101D"/>
    <w:rsid w:val="000720EB"/>
    <w:rsid w:val="0007246A"/>
    <w:rsid w:val="00072FE0"/>
    <w:rsid w:val="00074254"/>
    <w:rsid w:val="00074505"/>
    <w:rsid w:val="000758CD"/>
    <w:rsid w:val="00076004"/>
    <w:rsid w:val="00080077"/>
    <w:rsid w:val="000803DA"/>
    <w:rsid w:val="000806B5"/>
    <w:rsid w:val="00081D44"/>
    <w:rsid w:val="00083F77"/>
    <w:rsid w:val="00084065"/>
    <w:rsid w:val="00084B92"/>
    <w:rsid w:val="0008549B"/>
    <w:rsid w:val="000857E9"/>
    <w:rsid w:val="00085961"/>
    <w:rsid w:val="0008607A"/>
    <w:rsid w:val="00087779"/>
    <w:rsid w:val="00087E91"/>
    <w:rsid w:val="00090E8D"/>
    <w:rsid w:val="00090FC0"/>
    <w:rsid w:val="00091A43"/>
    <w:rsid w:val="00092C65"/>
    <w:rsid w:val="000963EC"/>
    <w:rsid w:val="000973FD"/>
    <w:rsid w:val="00097E38"/>
    <w:rsid w:val="000A01F0"/>
    <w:rsid w:val="000A3CD0"/>
    <w:rsid w:val="000A450A"/>
    <w:rsid w:val="000A515E"/>
    <w:rsid w:val="000A52CB"/>
    <w:rsid w:val="000A7734"/>
    <w:rsid w:val="000B0773"/>
    <w:rsid w:val="000B08BC"/>
    <w:rsid w:val="000B1577"/>
    <w:rsid w:val="000B22AD"/>
    <w:rsid w:val="000B40AC"/>
    <w:rsid w:val="000B74ED"/>
    <w:rsid w:val="000C173D"/>
    <w:rsid w:val="000C201B"/>
    <w:rsid w:val="000C25DF"/>
    <w:rsid w:val="000C2F81"/>
    <w:rsid w:val="000C367B"/>
    <w:rsid w:val="000C3A0A"/>
    <w:rsid w:val="000C47D6"/>
    <w:rsid w:val="000C6AE5"/>
    <w:rsid w:val="000C6F4E"/>
    <w:rsid w:val="000D0D24"/>
    <w:rsid w:val="000D13E4"/>
    <w:rsid w:val="000D1B5B"/>
    <w:rsid w:val="000D1E30"/>
    <w:rsid w:val="000D2446"/>
    <w:rsid w:val="000D3FCC"/>
    <w:rsid w:val="000D41AB"/>
    <w:rsid w:val="000D633C"/>
    <w:rsid w:val="000D6AD1"/>
    <w:rsid w:val="000D6CD3"/>
    <w:rsid w:val="000D7BFD"/>
    <w:rsid w:val="000E1B44"/>
    <w:rsid w:val="000E2A9B"/>
    <w:rsid w:val="000E4E8E"/>
    <w:rsid w:val="000E6F97"/>
    <w:rsid w:val="000F115F"/>
    <w:rsid w:val="000F1493"/>
    <w:rsid w:val="000F1B1C"/>
    <w:rsid w:val="000F4376"/>
    <w:rsid w:val="000F5C82"/>
    <w:rsid w:val="000F7D2A"/>
    <w:rsid w:val="000F7FC8"/>
    <w:rsid w:val="00100417"/>
    <w:rsid w:val="00100A33"/>
    <w:rsid w:val="00100F34"/>
    <w:rsid w:val="00101487"/>
    <w:rsid w:val="001014A5"/>
    <w:rsid w:val="00101D1B"/>
    <w:rsid w:val="00102244"/>
    <w:rsid w:val="00102BD0"/>
    <w:rsid w:val="001034B1"/>
    <w:rsid w:val="001055FB"/>
    <w:rsid w:val="00105F78"/>
    <w:rsid w:val="00106F3E"/>
    <w:rsid w:val="0011119C"/>
    <w:rsid w:val="00112848"/>
    <w:rsid w:val="001130B2"/>
    <w:rsid w:val="001136DB"/>
    <w:rsid w:val="00114314"/>
    <w:rsid w:val="001151F7"/>
    <w:rsid w:val="001151FA"/>
    <w:rsid w:val="001172EA"/>
    <w:rsid w:val="0011787D"/>
    <w:rsid w:val="0012034B"/>
    <w:rsid w:val="00121108"/>
    <w:rsid w:val="00121BB1"/>
    <w:rsid w:val="00122AFA"/>
    <w:rsid w:val="00123882"/>
    <w:rsid w:val="00125027"/>
    <w:rsid w:val="00125973"/>
    <w:rsid w:val="00126AE5"/>
    <w:rsid w:val="0012784B"/>
    <w:rsid w:val="001305A0"/>
    <w:rsid w:val="0013076E"/>
    <w:rsid w:val="00130C4C"/>
    <w:rsid w:val="00131839"/>
    <w:rsid w:val="00132207"/>
    <w:rsid w:val="00134B93"/>
    <w:rsid w:val="00134C8D"/>
    <w:rsid w:val="00134E90"/>
    <w:rsid w:val="001358B0"/>
    <w:rsid w:val="00136FFD"/>
    <w:rsid w:val="00140011"/>
    <w:rsid w:val="00140812"/>
    <w:rsid w:val="00140842"/>
    <w:rsid w:val="001411CC"/>
    <w:rsid w:val="001413EA"/>
    <w:rsid w:val="0014248B"/>
    <w:rsid w:val="00143FB9"/>
    <w:rsid w:val="00144B5B"/>
    <w:rsid w:val="00145A63"/>
    <w:rsid w:val="00146713"/>
    <w:rsid w:val="00146D5C"/>
    <w:rsid w:val="00147B23"/>
    <w:rsid w:val="00152176"/>
    <w:rsid w:val="001527E3"/>
    <w:rsid w:val="00153149"/>
    <w:rsid w:val="00153AA4"/>
    <w:rsid w:val="00153E2F"/>
    <w:rsid w:val="0015419C"/>
    <w:rsid w:val="00154EA4"/>
    <w:rsid w:val="00155700"/>
    <w:rsid w:val="00155A04"/>
    <w:rsid w:val="0016001B"/>
    <w:rsid w:val="001609FF"/>
    <w:rsid w:val="00161709"/>
    <w:rsid w:val="00162621"/>
    <w:rsid w:val="0016424B"/>
    <w:rsid w:val="00164D59"/>
    <w:rsid w:val="001650C1"/>
    <w:rsid w:val="001676C8"/>
    <w:rsid w:val="001709BD"/>
    <w:rsid w:val="00172C04"/>
    <w:rsid w:val="001734CA"/>
    <w:rsid w:val="0017441A"/>
    <w:rsid w:val="00175D8D"/>
    <w:rsid w:val="00176F48"/>
    <w:rsid w:val="00181281"/>
    <w:rsid w:val="001818EC"/>
    <w:rsid w:val="00181A76"/>
    <w:rsid w:val="00182431"/>
    <w:rsid w:val="0018362A"/>
    <w:rsid w:val="00183FD2"/>
    <w:rsid w:val="001840AA"/>
    <w:rsid w:val="001841D3"/>
    <w:rsid w:val="00185049"/>
    <w:rsid w:val="00191ABD"/>
    <w:rsid w:val="0019416F"/>
    <w:rsid w:val="001947ED"/>
    <w:rsid w:val="00195323"/>
    <w:rsid w:val="00195A13"/>
    <w:rsid w:val="00195E7D"/>
    <w:rsid w:val="00196119"/>
    <w:rsid w:val="0019774F"/>
    <w:rsid w:val="00197F8F"/>
    <w:rsid w:val="001A1768"/>
    <w:rsid w:val="001A182A"/>
    <w:rsid w:val="001A1856"/>
    <w:rsid w:val="001A2DF8"/>
    <w:rsid w:val="001A2EE3"/>
    <w:rsid w:val="001A352E"/>
    <w:rsid w:val="001A45A7"/>
    <w:rsid w:val="001A665F"/>
    <w:rsid w:val="001B087F"/>
    <w:rsid w:val="001B0CD2"/>
    <w:rsid w:val="001B13AA"/>
    <w:rsid w:val="001B1A6E"/>
    <w:rsid w:val="001B1CCD"/>
    <w:rsid w:val="001B3D48"/>
    <w:rsid w:val="001B5250"/>
    <w:rsid w:val="001B5CB8"/>
    <w:rsid w:val="001B7BD7"/>
    <w:rsid w:val="001C0327"/>
    <w:rsid w:val="001C1E23"/>
    <w:rsid w:val="001C2098"/>
    <w:rsid w:val="001C24BE"/>
    <w:rsid w:val="001C3322"/>
    <w:rsid w:val="001C34B8"/>
    <w:rsid w:val="001C3512"/>
    <w:rsid w:val="001C6100"/>
    <w:rsid w:val="001C6673"/>
    <w:rsid w:val="001C6E3A"/>
    <w:rsid w:val="001D05B1"/>
    <w:rsid w:val="001D23E2"/>
    <w:rsid w:val="001D2411"/>
    <w:rsid w:val="001D2683"/>
    <w:rsid w:val="001D2C0C"/>
    <w:rsid w:val="001D3431"/>
    <w:rsid w:val="001D3FD0"/>
    <w:rsid w:val="001D4036"/>
    <w:rsid w:val="001D50B0"/>
    <w:rsid w:val="001D73AF"/>
    <w:rsid w:val="001E12C2"/>
    <w:rsid w:val="001E1332"/>
    <w:rsid w:val="001E1666"/>
    <w:rsid w:val="001E36D9"/>
    <w:rsid w:val="001E4200"/>
    <w:rsid w:val="001E495B"/>
    <w:rsid w:val="001E5946"/>
    <w:rsid w:val="001E753E"/>
    <w:rsid w:val="001E764C"/>
    <w:rsid w:val="001F379F"/>
    <w:rsid w:val="001F4A0F"/>
    <w:rsid w:val="001F5F56"/>
    <w:rsid w:val="001F6641"/>
    <w:rsid w:val="001F6AA6"/>
    <w:rsid w:val="001F7191"/>
    <w:rsid w:val="001F71E7"/>
    <w:rsid w:val="0020263B"/>
    <w:rsid w:val="002028F3"/>
    <w:rsid w:val="002043AA"/>
    <w:rsid w:val="00206380"/>
    <w:rsid w:val="00206474"/>
    <w:rsid w:val="00206A26"/>
    <w:rsid w:val="002075A5"/>
    <w:rsid w:val="00211EA8"/>
    <w:rsid w:val="00211F4A"/>
    <w:rsid w:val="00214C55"/>
    <w:rsid w:val="00215A0B"/>
    <w:rsid w:val="00216D96"/>
    <w:rsid w:val="00216FE5"/>
    <w:rsid w:val="002201C1"/>
    <w:rsid w:val="002207D8"/>
    <w:rsid w:val="00220E7C"/>
    <w:rsid w:val="0022162F"/>
    <w:rsid w:val="00221B47"/>
    <w:rsid w:val="002236B1"/>
    <w:rsid w:val="00224291"/>
    <w:rsid w:val="002242C0"/>
    <w:rsid w:val="00224CA5"/>
    <w:rsid w:val="00227058"/>
    <w:rsid w:val="00227D06"/>
    <w:rsid w:val="00230229"/>
    <w:rsid w:val="00230540"/>
    <w:rsid w:val="00230B95"/>
    <w:rsid w:val="002316C9"/>
    <w:rsid w:val="002337A6"/>
    <w:rsid w:val="002415CF"/>
    <w:rsid w:val="00242B6B"/>
    <w:rsid w:val="00242BE9"/>
    <w:rsid w:val="00243BF1"/>
    <w:rsid w:val="002442E1"/>
    <w:rsid w:val="0024580D"/>
    <w:rsid w:val="00247EC6"/>
    <w:rsid w:val="0025025E"/>
    <w:rsid w:val="00250327"/>
    <w:rsid w:val="00250ADE"/>
    <w:rsid w:val="00250CF8"/>
    <w:rsid w:val="00252E9C"/>
    <w:rsid w:val="0025383C"/>
    <w:rsid w:val="00253F0E"/>
    <w:rsid w:val="00255205"/>
    <w:rsid w:val="00256CDA"/>
    <w:rsid w:val="0025709F"/>
    <w:rsid w:val="00257871"/>
    <w:rsid w:val="00260216"/>
    <w:rsid w:val="00260DBC"/>
    <w:rsid w:val="00261417"/>
    <w:rsid w:val="00262D28"/>
    <w:rsid w:val="002645EA"/>
    <w:rsid w:val="002646D8"/>
    <w:rsid w:val="0026503D"/>
    <w:rsid w:val="002651BF"/>
    <w:rsid w:val="00265B29"/>
    <w:rsid w:val="00267E1D"/>
    <w:rsid w:val="00271689"/>
    <w:rsid w:val="00272A53"/>
    <w:rsid w:val="00273ACB"/>
    <w:rsid w:val="00274811"/>
    <w:rsid w:val="002761DD"/>
    <w:rsid w:val="002772C8"/>
    <w:rsid w:val="0027768C"/>
    <w:rsid w:val="0028075F"/>
    <w:rsid w:val="002810B7"/>
    <w:rsid w:val="00281903"/>
    <w:rsid w:val="00282AC6"/>
    <w:rsid w:val="00282AFE"/>
    <w:rsid w:val="00285226"/>
    <w:rsid w:val="00285E18"/>
    <w:rsid w:val="002860A0"/>
    <w:rsid w:val="0028703E"/>
    <w:rsid w:val="002878C4"/>
    <w:rsid w:val="00287ADF"/>
    <w:rsid w:val="002910EA"/>
    <w:rsid w:val="00291AFF"/>
    <w:rsid w:val="00291DE8"/>
    <w:rsid w:val="00292758"/>
    <w:rsid w:val="00293C81"/>
    <w:rsid w:val="0029470E"/>
    <w:rsid w:val="002948B9"/>
    <w:rsid w:val="002948C1"/>
    <w:rsid w:val="002951A8"/>
    <w:rsid w:val="0029533A"/>
    <w:rsid w:val="00295E05"/>
    <w:rsid w:val="002966B0"/>
    <w:rsid w:val="0029680D"/>
    <w:rsid w:val="00297718"/>
    <w:rsid w:val="002A0B0B"/>
    <w:rsid w:val="002A183E"/>
    <w:rsid w:val="002A198E"/>
    <w:rsid w:val="002A1C05"/>
    <w:rsid w:val="002A36D1"/>
    <w:rsid w:val="002A3BF5"/>
    <w:rsid w:val="002A6379"/>
    <w:rsid w:val="002A6C1C"/>
    <w:rsid w:val="002A6FFD"/>
    <w:rsid w:val="002A734A"/>
    <w:rsid w:val="002A793B"/>
    <w:rsid w:val="002A7B37"/>
    <w:rsid w:val="002A7E65"/>
    <w:rsid w:val="002B252B"/>
    <w:rsid w:val="002B2FB6"/>
    <w:rsid w:val="002B4460"/>
    <w:rsid w:val="002B5671"/>
    <w:rsid w:val="002B6037"/>
    <w:rsid w:val="002B77E1"/>
    <w:rsid w:val="002C007F"/>
    <w:rsid w:val="002C0875"/>
    <w:rsid w:val="002C0D22"/>
    <w:rsid w:val="002C192A"/>
    <w:rsid w:val="002C1936"/>
    <w:rsid w:val="002C3C95"/>
    <w:rsid w:val="002C4669"/>
    <w:rsid w:val="002C5C15"/>
    <w:rsid w:val="002C68D4"/>
    <w:rsid w:val="002C778E"/>
    <w:rsid w:val="002D1476"/>
    <w:rsid w:val="002D150B"/>
    <w:rsid w:val="002D4D35"/>
    <w:rsid w:val="002D745B"/>
    <w:rsid w:val="002D7EF7"/>
    <w:rsid w:val="002E03FC"/>
    <w:rsid w:val="002E0A51"/>
    <w:rsid w:val="002E193D"/>
    <w:rsid w:val="002E275C"/>
    <w:rsid w:val="002E6028"/>
    <w:rsid w:val="002E6CFE"/>
    <w:rsid w:val="002E6F5B"/>
    <w:rsid w:val="002F0027"/>
    <w:rsid w:val="002F0155"/>
    <w:rsid w:val="002F0215"/>
    <w:rsid w:val="002F08E7"/>
    <w:rsid w:val="002F0C96"/>
    <w:rsid w:val="002F0F23"/>
    <w:rsid w:val="002F1FC4"/>
    <w:rsid w:val="002F6108"/>
    <w:rsid w:val="002F761E"/>
    <w:rsid w:val="002F7849"/>
    <w:rsid w:val="002F7FCB"/>
    <w:rsid w:val="0030261F"/>
    <w:rsid w:val="003027AF"/>
    <w:rsid w:val="00302E43"/>
    <w:rsid w:val="00302EA8"/>
    <w:rsid w:val="0030331C"/>
    <w:rsid w:val="00303C72"/>
    <w:rsid w:val="00303D6A"/>
    <w:rsid w:val="00307793"/>
    <w:rsid w:val="00307C8C"/>
    <w:rsid w:val="003107E4"/>
    <w:rsid w:val="00312346"/>
    <w:rsid w:val="00312617"/>
    <w:rsid w:val="00313DC3"/>
    <w:rsid w:val="00315932"/>
    <w:rsid w:val="00316DF2"/>
    <w:rsid w:val="003171DE"/>
    <w:rsid w:val="0032051C"/>
    <w:rsid w:val="003223CC"/>
    <w:rsid w:val="003242B2"/>
    <w:rsid w:val="00326E62"/>
    <w:rsid w:val="00330598"/>
    <w:rsid w:val="003309BE"/>
    <w:rsid w:val="0033170A"/>
    <w:rsid w:val="0033195C"/>
    <w:rsid w:val="0033239D"/>
    <w:rsid w:val="003331A4"/>
    <w:rsid w:val="00335C1E"/>
    <w:rsid w:val="00335CAF"/>
    <w:rsid w:val="003360C5"/>
    <w:rsid w:val="0033714F"/>
    <w:rsid w:val="003375ED"/>
    <w:rsid w:val="003400F8"/>
    <w:rsid w:val="00340A00"/>
    <w:rsid w:val="0034159C"/>
    <w:rsid w:val="00342424"/>
    <w:rsid w:val="00342D3B"/>
    <w:rsid w:val="00346563"/>
    <w:rsid w:val="0034725B"/>
    <w:rsid w:val="00347DB9"/>
    <w:rsid w:val="003502CE"/>
    <w:rsid w:val="003506EB"/>
    <w:rsid w:val="003510D0"/>
    <w:rsid w:val="00351AEB"/>
    <w:rsid w:val="00352530"/>
    <w:rsid w:val="003529BD"/>
    <w:rsid w:val="00352D20"/>
    <w:rsid w:val="0035318A"/>
    <w:rsid w:val="003545DA"/>
    <w:rsid w:val="00354C1D"/>
    <w:rsid w:val="003557A9"/>
    <w:rsid w:val="0036017D"/>
    <w:rsid w:val="00360AF5"/>
    <w:rsid w:val="00365186"/>
    <w:rsid w:val="00365611"/>
    <w:rsid w:val="00365F75"/>
    <w:rsid w:val="00366833"/>
    <w:rsid w:val="00366D57"/>
    <w:rsid w:val="003705B5"/>
    <w:rsid w:val="0037067C"/>
    <w:rsid w:val="0037108D"/>
    <w:rsid w:val="00372F00"/>
    <w:rsid w:val="003732EE"/>
    <w:rsid w:val="003734EC"/>
    <w:rsid w:val="00374B13"/>
    <w:rsid w:val="00374CC5"/>
    <w:rsid w:val="00375EDD"/>
    <w:rsid w:val="003763AD"/>
    <w:rsid w:val="00376D61"/>
    <w:rsid w:val="00376E16"/>
    <w:rsid w:val="0038046A"/>
    <w:rsid w:val="003804E4"/>
    <w:rsid w:val="00380765"/>
    <w:rsid w:val="00381867"/>
    <w:rsid w:val="0038298C"/>
    <w:rsid w:val="0038451A"/>
    <w:rsid w:val="00385A41"/>
    <w:rsid w:val="00387179"/>
    <w:rsid w:val="00387B02"/>
    <w:rsid w:val="00390248"/>
    <w:rsid w:val="0039063F"/>
    <w:rsid w:val="0039215B"/>
    <w:rsid w:val="0039369A"/>
    <w:rsid w:val="00393815"/>
    <w:rsid w:val="00393917"/>
    <w:rsid w:val="003945AC"/>
    <w:rsid w:val="003953A7"/>
    <w:rsid w:val="003962E2"/>
    <w:rsid w:val="00396C83"/>
    <w:rsid w:val="00397D09"/>
    <w:rsid w:val="003A3890"/>
    <w:rsid w:val="003A49B6"/>
    <w:rsid w:val="003A798C"/>
    <w:rsid w:val="003A7D14"/>
    <w:rsid w:val="003B00B5"/>
    <w:rsid w:val="003B166E"/>
    <w:rsid w:val="003B1E87"/>
    <w:rsid w:val="003B28DC"/>
    <w:rsid w:val="003B30BC"/>
    <w:rsid w:val="003B40BD"/>
    <w:rsid w:val="003B4C4C"/>
    <w:rsid w:val="003B530A"/>
    <w:rsid w:val="003B6C98"/>
    <w:rsid w:val="003B6E07"/>
    <w:rsid w:val="003C03B0"/>
    <w:rsid w:val="003C1AF0"/>
    <w:rsid w:val="003C3438"/>
    <w:rsid w:val="003C62AB"/>
    <w:rsid w:val="003C7038"/>
    <w:rsid w:val="003D0851"/>
    <w:rsid w:val="003D21E0"/>
    <w:rsid w:val="003D3855"/>
    <w:rsid w:val="003D4196"/>
    <w:rsid w:val="003D58C4"/>
    <w:rsid w:val="003D7A54"/>
    <w:rsid w:val="003E0236"/>
    <w:rsid w:val="003E0BF8"/>
    <w:rsid w:val="003E3DE5"/>
    <w:rsid w:val="003E4CEF"/>
    <w:rsid w:val="003E7671"/>
    <w:rsid w:val="003E7832"/>
    <w:rsid w:val="003E7C9A"/>
    <w:rsid w:val="003E7E8A"/>
    <w:rsid w:val="003F1B73"/>
    <w:rsid w:val="003F29A4"/>
    <w:rsid w:val="003F29B0"/>
    <w:rsid w:val="003F339D"/>
    <w:rsid w:val="003F3D85"/>
    <w:rsid w:val="003F5F27"/>
    <w:rsid w:val="003F7046"/>
    <w:rsid w:val="003F75C8"/>
    <w:rsid w:val="00404F3A"/>
    <w:rsid w:val="00405D38"/>
    <w:rsid w:val="00406188"/>
    <w:rsid w:val="004061D9"/>
    <w:rsid w:val="004075CE"/>
    <w:rsid w:val="00410941"/>
    <w:rsid w:val="00410A0A"/>
    <w:rsid w:val="00410BA1"/>
    <w:rsid w:val="004111AA"/>
    <w:rsid w:val="00411A5E"/>
    <w:rsid w:val="00411F04"/>
    <w:rsid w:val="004121E8"/>
    <w:rsid w:val="004132AD"/>
    <w:rsid w:val="00413F87"/>
    <w:rsid w:val="00415516"/>
    <w:rsid w:val="0041610B"/>
    <w:rsid w:val="00416C2A"/>
    <w:rsid w:val="0041733F"/>
    <w:rsid w:val="0042081B"/>
    <w:rsid w:val="00421830"/>
    <w:rsid w:val="00421F92"/>
    <w:rsid w:val="0042385A"/>
    <w:rsid w:val="00424794"/>
    <w:rsid w:val="00424BC2"/>
    <w:rsid w:val="00425A58"/>
    <w:rsid w:val="0042612C"/>
    <w:rsid w:val="0042694A"/>
    <w:rsid w:val="004269EE"/>
    <w:rsid w:val="004307E7"/>
    <w:rsid w:val="00433CB4"/>
    <w:rsid w:val="00435390"/>
    <w:rsid w:val="00435F82"/>
    <w:rsid w:val="004425B2"/>
    <w:rsid w:val="00445623"/>
    <w:rsid w:val="004461B4"/>
    <w:rsid w:val="0044698E"/>
    <w:rsid w:val="004475BE"/>
    <w:rsid w:val="00447D8C"/>
    <w:rsid w:val="00450947"/>
    <w:rsid w:val="00450D33"/>
    <w:rsid w:val="004511EC"/>
    <w:rsid w:val="004511F1"/>
    <w:rsid w:val="00451735"/>
    <w:rsid w:val="00451960"/>
    <w:rsid w:val="00452617"/>
    <w:rsid w:val="00453BAB"/>
    <w:rsid w:val="00456B99"/>
    <w:rsid w:val="00456D17"/>
    <w:rsid w:val="004620CD"/>
    <w:rsid w:val="004626FC"/>
    <w:rsid w:val="004640BE"/>
    <w:rsid w:val="00465886"/>
    <w:rsid w:val="00465C62"/>
    <w:rsid w:val="00467168"/>
    <w:rsid w:val="00471BFB"/>
    <w:rsid w:val="0047335E"/>
    <w:rsid w:val="00473BF2"/>
    <w:rsid w:val="00474D58"/>
    <w:rsid w:val="00475702"/>
    <w:rsid w:val="00475B31"/>
    <w:rsid w:val="00476104"/>
    <w:rsid w:val="00476521"/>
    <w:rsid w:val="00480031"/>
    <w:rsid w:val="0048149F"/>
    <w:rsid w:val="00483427"/>
    <w:rsid w:val="00483C90"/>
    <w:rsid w:val="00484872"/>
    <w:rsid w:val="00484CD9"/>
    <w:rsid w:val="00485247"/>
    <w:rsid w:val="00485464"/>
    <w:rsid w:val="004858CC"/>
    <w:rsid w:val="004868FE"/>
    <w:rsid w:val="00487036"/>
    <w:rsid w:val="0048760D"/>
    <w:rsid w:val="00487DDF"/>
    <w:rsid w:val="00491416"/>
    <w:rsid w:val="00491535"/>
    <w:rsid w:val="00491F8E"/>
    <w:rsid w:val="004923E2"/>
    <w:rsid w:val="00492704"/>
    <w:rsid w:val="00492B07"/>
    <w:rsid w:val="00492FF1"/>
    <w:rsid w:val="00493275"/>
    <w:rsid w:val="004932F1"/>
    <w:rsid w:val="00493AF0"/>
    <w:rsid w:val="00494030"/>
    <w:rsid w:val="0049538B"/>
    <w:rsid w:val="00497A32"/>
    <w:rsid w:val="004A0047"/>
    <w:rsid w:val="004A0729"/>
    <w:rsid w:val="004A0859"/>
    <w:rsid w:val="004A0F61"/>
    <w:rsid w:val="004A1FBD"/>
    <w:rsid w:val="004A3192"/>
    <w:rsid w:val="004A5692"/>
    <w:rsid w:val="004A5D51"/>
    <w:rsid w:val="004A5E94"/>
    <w:rsid w:val="004A6403"/>
    <w:rsid w:val="004A76D7"/>
    <w:rsid w:val="004A7A12"/>
    <w:rsid w:val="004B024F"/>
    <w:rsid w:val="004B1B6E"/>
    <w:rsid w:val="004B290D"/>
    <w:rsid w:val="004B2E5F"/>
    <w:rsid w:val="004B360A"/>
    <w:rsid w:val="004B3B39"/>
    <w:rsid w:val="004B467C"/>
    <w:rsid w:val="004C08CC"/>
    <w:rsid w:val="004C0B56"/>
    <w:rsid w:val="004C1128"/>
    <w:rsid w:val="004C123D"/>
    <w:rsid w:val="004C482F"/>
    <w:rsid w:val="004C4C22"/>
    <w:rsid w:val="004D036E"/>
    <w:rsid w:val="004D0F69"/>
    <w:rsid w:val="004D287E"/>
    <w:rsid w:val="004D3007"/>
    <w:rsid w:val="004D4DF7"/>
    <w:rsid w:val="004D5418"/>
    <w:rsid w:val="004D561D"/>
    <w:rsid w:val="004D5D12"/>
    <w:rsid w:val="004D7B71"/>
    <w:rsid w:val="004E0279"/>
    <w:rsid w:val="004E4478"/>
    <w:rsid w:val="004E4ABE"/>
    <w:rsid w:val="004E5D52"/>
    <w:rsid w:val="004E6154"/>
    <w:rsid w:val="004F3BD1"/>
    <w:rsid w:val="004F59A9"/>
    <w:rsid w:val="004F60C1"/>
    <w:rsid w:val="004F6788"/>
    <w:rsid w:val="004F7013"/>
    <w:rsid w:val="004F7D02"/>
    <w:rsid w:val="004F7E4B"/>
    <w:rsid w:val="00504B21"/>
    <w:rsid w:val="005063FA"/>
    <w:rsid w:val="00507063"/>
    <w:rsid w:val="00511F6B"/>
    <w:rsid w:val="005121C5"/>
    <w:rsid w:val="00512408"/>
    <w:rsid w:val="00512BD4"/>
    <w:rsid w:val="00514117"/>
    <w:rsid w:val="00514D82"/>
    <w:rsid w:val="0051589C"/>
    <w:rsid w:val="005165FB"/>
    <w:rsid w:val="005166D8"/>
    <w:rsid w:val="005203D7"/>
    <w:rsid w:val="0052058A"/>
    <w:rsid w:val="005209C0"/>
    <w:rsid w:val="00520BCE"/>
    <w:rsid w:val="005226A5"/>
    <w:rsid w:val="005232F3"/>
    <w:rsid w:val="00523A2B"/>
    <w:rsid w:val="00524716"/>
    <w:rsid w:val="005247BF"/>
    <w:rsid w:val="00525BA1"/>
    <w:rsid w:val="005273C6"/>
    <w:rsid w:val="0053009F"/>
    <w:rsid w:val="005303E8"/>
    <w:rsid w:val="00530A44"/>
    <w:rsid w:val="005317A3"/>
    <w:rsid w:val="00531D19"/>
    <w:rsid w:val="00532A13"/>
    <w:rsid w:val="00533AE1"/>
    <w:rsid w:val="00533C22"/>
    <w:rsid w:val="00533C89"/>
    <w:rsid w:val="00536B5F"/>
    <w:rsid w:val="00536E0E"/>
    <w:rsid w:val="0054052E"/>
    <w:rsid w:val="00541E60"/>
    <w:rsid w:val="005421F0"/>
    <w:rsid w:val="00542303"/>
    <w:rsid w:val="0054266A"/>
    <w:rsid w:val="0054267E"/>
    <w:rsid w:val="00545BA8"/>
    <w:rsid w:val="00545E37"/>
    <w:rsid w:val="005474EF"/>
    <w:rsid w:val="0054773B"/>
    <w:rsid w:val="00547D5C"/>
    <w:rsid w:val="00550235"/>
    <w:rsid w:val="00551BC1"/>
    <w:rsid w:val="005523D8"/>
    <w:rsid w:val="00553680"/>
    <w:rsid w:val="0055437F"/>
    <w:rsid w:val="00554AD4"/>
    <w:rsid w:val="00554E0A"/>
    <w:rsid w:val="00556A4E"/>
    <w:rsid w:val="0055746F"/>
    <w:rsid w:val="0056000A"/>
    <w:rsid w:val="0056075D"/>
    <w:rsid w:val="00561DD5"/>
    <w:rsid w:val="00562FD0"/>
    <w:rsid w:val="00565A77"/>
    <w:rsid w:val="00565A7D"/>
    <w:rsid w:val="005671EF"/>
    <w:rsid w:val="0056740A"/>
    <w:rsid w:val="00570978"/>
    <w:rsid w:val="005723C4"/>
    <w:rsid w:val="005724CB"/>
    <w:rsid w:val="0057295A"/>
    <w:rsid w:val="00573F1B"/>
    <w:rsid w:val="005741BF"/>
    <w:rsid w:val="005755AD"/>
    <w:rsid w:val="005766F5"/>
    <w:rsid w:val="00577F46"/>
    <w:rsid w:val="0058086E"/>
    <w:rsid w:val="00583475"/>
    <w:rsid w:val="005842CB"/>
    <w:rsid w:val="005876CD"/>
    <w:rsid w:val="00590284"/>
    <w:rsid w:val="005904A1"/>
    <w:rsid w:val="00590E46"/>
    <w:rsid w:val="00591A98"/>
    <w:rsid w:val="00591DCE"/>
    <w:rsid w:val="0059350B"/>
    <w:rsid w:val="00593968"/>
    <w:rsid w:val="005950D3"/>
    <w:rsid w:val="005955BE"/>
    <w:rsid w:val="005971AB"/>
    <w:rsid w:val="00597396"/>
    <w:rsid w:val="005A00FE"/>
    <w:rsid w:val="005A2228"/>
    <w:rsid w:val="005A275F"/>
    <w:rsid w:val="005A4761"/>
    <w:rsid w:val="005A583B"/>
    <w:rsid w:val="005A591E"/>
    <w:rsid w:val="005A6BFF"/>
    <w:rsid w:val="005A6EFB"/>
    <w:rsid w:val="005A7171"/>
    <w:rsid w:val="005A7606"/>
    <w:rsid w:val="005B1096"/>
    <w:rsid w:val="005B1233"/>
    <w:rsid w:val="005B1861"/>
    <w:rsid w:val="005B1AAB"/>
    <w:rsid w:val="005B1D71"/>
    <w:rsid w:val="005B1E9D"/>
    <w:rsid w:val="005B20EA"/>
    <w:rsid w:val="005B35B3"/>
    <w:rsid w:val="005B3842"/>
    <w:rsid w:val="005B5551"/>
    <w:rsid w:val="005B709E"/>
    <w:rsid w:val="005C0AC1"/>
    <w:rsid w:val="005C0DA1"/>
    <w:rsid w:val="005C1ECB"/>
    <w:rsid w:val="005C236D"/>
    <w:rsid w:val="005C3825"/>
    <w:rsid w:val="005C49B4"/>
    <w:rsid w:val="005C5168"/>
    <w:rsid w:val="005C64DE"/>
    <w:rsid w:val="005C6A6E"/>
    <w:rsid w:val="005C7EF9"/>
    <w:rsid w:val="005D201C"/>
    <w:rsid w:val="005D2044"/>
    <w:rsid w:val="005D295F"/>
    <w:rsid w:val="005D6E9E"/>
    <w:rsid w:val="005E038C"/>
    <w:rsid w:val="005E0986"/>
    <w:rsid w:val="005E0F0A"/>
    <w:rsid w:val="005E1ED2"/>
    <w:rsid w:val="005E2EA3"/>
    <w:rsid w:val="005E42F5"/>
    <w:rsid w:val="005E4998"/>
    <w:rsid w:val="005E6091"/>
    <w:rsid w:val="005E75C8"/>
    <w:rsid w:val="005E7C5E"/>
    <w:rsid w:val="005F1559"/>
    <w:rsid w:val="005F18F7"/>
    <w:rsid w:val="005F1DF2"/>
    <w:rsid w:val="005F3FC9"/>
    <w:rsid w:val="005F4E15"/>
    <w:rsid w:val="005F52FB"/>
    <w:rsid w:val="005F5941"/>
    <w:rsid w:val="005F7B60"/>
    <w:rsid w:val="0060065D"/>
    <w:rsid w:val="006019E7"/>
    <w:rsid w:val="00601D05"/>
    <w:rsid w:val="0060335D"/>
    <w:rsid w:val="0060505E"/>
    <w:rsid w:val="006051FF"/>
    <w:rsid w:val="0060649C"/>
    <w:rsid w:val="00607791"/>
    <w:rsid w:val="006078F6"/>
    <w:rsid w:val="006108A8"/>
    <w:rsid w:val="00610B64"/>
    <w:rsid w:val="00610BE8"/>
    <w:rsid w:val="006111EC"/>
    <w:rsid w:val="006114A7"/>
    <w:rsid w:val="00612462"/>
    <w:rsid w:val="00612D7A"/>
    <w:rsid w:val="006148E3"/>
    <w:rsid w:val="00614A2A"/>
    <w:rsid w:val="00615156"/>
    <w:rsid w:val="00615464"/>
    <w:rsid w:val="006207FB"/>
    <w:rsid w:val="00620B31"/>
    <w:rsid w:val="00620E47"/>
    <w:rsid w:val="006214FB"/>
    <w:rsid w:val="00621A99"/>
    <w:rsid w:val="0062205F"/>
    <w:rsid w:val="00624441"/>
    <w:rsid w:val="006244CF"/>
    <w:rsid w:val="00625263"/>
    <w:rsid w:val="00625E58"/>
    <w:rsid w:val="0062759D"/>
    <w:rsid w:val="00630274"/>
    <w:rsid w:val="00631007"/>
    <w:rsid w:val="0063484A"/>
    <w:rsid w:val="00636B66"/>
    <w:rsid w:val="006378B7"/>
    <w:rsid w:val="00637FC3"/>
    <w:rsid w:val="00642D2E"/>
    <w:rsid w:val="00643933"/>
    <w:rsid w:val="0064469E"/>
    <w:rsid w:val="00644CF5"/>
    <w:rsid w:val="006450A4"/>
    <w:rsid w:val="00647FF5"/>
    <w:rsid w:val="006504A2"/>
    <w:rsid w:val="00650CDF"/>
    <w:rsid w:val="00652083"/>
    <w:rsid w:val="00652208"/>
    <w:rsid w:val="0065242F"/>
    <w:rsid w:val="00653A14"/>
    <w:rsid w:val="00653DC4"/>
    <w:rsid w:val="00654147"/>
    <w:rsid w:val="00654568"/>
    <w:rsid w:val="00654BA6"/>
    <w:rsid w:val="0065579E"/>
    <w:rsid w:val="006579ED"/>
    <w:rsid w:val="00657A3D"/>
    <w:rsid w:val="00660E2A"/>
    <w:rsid w:val="0066255C"/>
    <w:rsid w:val="006629FD"/>
    <w:rsid w:val="00663184"/>
    <w:rsid w:val="00664416"/>
    <w:rsid w:val="00664665"/>
    <w:rsid w:val="00667B18"/>
    <w:rsid w:val="00670396"/>
    <w:rsid w:val="0067088E"/>
    <w:rsid w:val="00671262"/>
    <w:rsid w:val="00672A86"/>
    <w:rsid w:val="0067433F"/>
    <w:rsid w:val="00674616"/>
    <w:rsid w:val="006757E0"/>
    <w:rsid w:val="00675976"/>
    <w:rsid w:val="00675E77"/>
    <w:rsid w:val="0067646B"/>
    <w:rsid w:val="00676FB6"/>
    <w:rsid w:val="006802B3"/>
    <w:rsid w:val="00680845"/>
    <w:rsid w:val="00680E2B"/>
    <w:rsid w:val="006818CB"/>
    <w:rsid w:val="006818F8"/>
    <w:rsid w:val="0068248B"/>
    <w:rsid w:val="00682557"/>
    <w:rsid w:val="006833D8"/>
    <w:rsid w:val="00683E0B"/>
    <w:rsid w:val="00684035"/>
    <w:rsid w:val="00684E84"/>
    <w:rsid w:val="00687363"/>
    <w:rsid w:val="006913C6"/>
    <w:rsid w:val="00691D28"/>
    <w:rsid w:val="006925A3"/>
    <w:rsid w:val="00692FFC"/>
    <w:rsid w:val="00694C37"/>
    <w:rsid w:val="006A0491"/>
    <w:rsid w:val="006A06C8"/>
    <w:rsid w:val="006A09E1"/>
    <w:rsid w:val="006A0F52"/>
    <w:rsid w:val="006A1EB2"/>
    <w:rsid w:val="006A47C3"/>
    <w:rsid w:val="006A54DF"/>
    <w:rsid w:val="006A684B"/>
    <w:rsid w:val="006A6B82"/>
    <w:rsid w:val="006A6FCE"/>
    <w:rsid w:val="006A7463"/>
    <w:rsid w:val="006A7DA1"/>
    <w:rsid w:val="006B0C9B"/>
    <w:rsid w:val="006B26B9"/>
    <w:rsid w:val="006B2824"/>
    <w:rsid w:val="006B3493"/>
    <w:rsid w:val="006B34D7"/>
    <w:rsid w:val="006B625E"/>
    <w:rsid w:val="006B651E"/>
    <w:rsid w:val="006C0BFB"/>
    <w:rsid w:val="006C213D"/>
    <w:rsid w:val="006C216E"/>
    <w:rsid w:val="006C2483"/>
    <w:rsid w:val="006C2580"/>
    <w:rsid w:val="006C3309"/>
    <w:rsid w:val="006C4556"/>
    <w:rsid w:val="006C4D6B"/>
    <w:rsid w:val="006C7940"/>
    <w:rsid w:val="006C7C6C"/>
    <w:rsid w:val="006C7D65"/>
    <w:rsid w:val="006D00DF"/>
    <w:rsid w:val="006D1340"/>
    <w:rsid w:val="006D1695"/>
    <w:rsid w:val="006D1F95"/>
    <w:rsid w:val="006D2139"/>
    <w:rsid w:val="006D21E6"/>
    <w:rsid w:val="006D2401"/>
    <w:rsid w:val="006D28C5"/>
    <w:rsid w:val="006D310C"/>
    <w:rsid w:val="006D3417"/>
    <w:rsid w:val="006D4071"/>
    <w:rsid w:val="006D4B26"/>
    <w:rsid w:val="006D4E9D"/>
    <w:rsid w:val="006D6142"/>
    <w:rsid w:val="006E1656"/>
    <w:rsid w:val="006E26AB"/>
    <w:rsid w:val="006E2C28"/>
    <w:rsid w:val="006E3323"/>
    <w:rsid w:val="006E45F6"/>
    <w:rsid w:val="006E5644"/>
    <w:rsid w:val="006E65C5"/>
    <w:rsid w:val="006E6928"/>
    <w:rsid w:val="006E730E"/>
    <w:rsid w:val="006E7368"/>
    <w:rsid w:val="006F1F21"/>
    <w:rsid w:val="006F1FDF"/>
    <w:rsid w:val="006F3A60"/>
    <w:rsid w:val="006F658B"/>
    <w:rsid w:val="00700909"/>
    <w:rsid w:val="00700ABB"/>
    <w:rsid w:val="00701008"/>
    <w:rsid w:val="007011BF"/>
    <w:rsid w:val="007011C6"/>
    <w:rsid w:val="007019B1"/>
    <w:rsid w:val="00701DF9"/>
    <w:rsid w:val="0070216F"/>
    <w:rsid w:val="00703AFD"/>
    <w:rsid w:val="00706150"/>
    <w:rsid w:val="00706264"/>
    <w:rsid w:val="00707734"/>
    <w:rsid w:val="00707788"/>
    <w:rsid w:val="0071004A"/>
    <w:rsid w:val="007103F7"/>
    <w:rsid w:val="00710C60"/>
    <w:rsid w:val="00711A67"/>
    <w:rsid w:val="00712196"/>
    <w:rsid w:val="007146E4"/>
    <w:rsid w:val="00714F9A"/>
    <w:rsid w:val="0071759A"/>
    <w:rsid w:val="0072038C"/>
    <w:rsid w:val="00721ED5"/>
    <w:rsid w:val="00723D4E"/>
    <w:rsid w:val="007245EE"/>
    <w:rsid w:val="00724D73"/>
    <w:rsid w:val="0072512F"/>
    <w:rsid w:val="007253E8"/>
    <w:rsid w:val="007257E3"/>
    <w:rsid w:val="007273FB"/>
    <w:rsid w:val="00731C2A"/>
    <w:rsid w:val="0073281F"/>
    <w:rsid w:val="00733422"/>
    <w:rsid w:val="00733F25"/>
    <w:rsid w:val="00734BF6"/>
    <w:rsid w:val="00734C29"/>
    <w:rsid w:val="00734F4C"/>
    <w:rsid w:val="007351AD"/>
    <w:rsid w:val="007359EB"/>
    <w:rsid w:val="00736FF2"/>
    <w:rsid w:val="00737032"/>
    <w:rsid w:val="007371D1"/>
    <w:rsid w:val="00741822"/>
    <w:rsid w:val="00741D12"/>
    <w:rsid w:val="00741DA9"/>
    <w:rsid w:val="00741F42"/>
    <w:rsid w:val="00742173"/>
    <w:rsid w:val="007433DB"/>
    <w:rsid w:val="007437CB"/>
    <w:rsid w:val="00744064"/>
    <w:rsid w:val="007441CB"/>
    <w:rsid w:val="00744733"/>
    <w:rsid w:val="007450E5"/>
    <w:rsid w:val="00745741"/>
    <w:rsid w:val="00746FEA"/>
    <w:rsid w:val="007478F4"/>
    <w:rsid w:val="00747C86"/>
    <w:rsid w:val="00752885"/>
    <w:rsid w:val="00752D64"/>
    <w:rsid w:val="007535FD"/>
    <w:rsid w:val="007601F7"/>
    <w:rsid w:val="00760C90"/>
    <w:rsid w:val="00761093"/>
    <w:rsid w:val="00761292"/>
    <w:rsid w:val="007616FF"/>
    <w:rsid w:val="0076195A"/>
    <w:rsid w:val="007619EB"/>
    <w:rsid w:val="00761B8A"/>
    <w:rsid w:val="0076260A"/>
    <w:rsid w:val="00762C39"/>
    <w:rsid w:val="00763061"/>
    <w:rsid w:val="007639D4"/>
    <w:rsid w:val="00764EB9"/>
    <w:rsid w:val="00766B00"/>
    <w:rsid w:val="007675AF"/>
    <w:rsid w:val="00767AA2"/>
    <w:rsid w:val="0077155D"/>
    <w:rsid w:val="00772046"/>
    <w:rsid w:val="00773276"/>
    <w:rsid w:val="0077464E"/>
    <w:rsid w:val="00777C90"/>
    <w:rsid w:val="00780ED0"/>
    <w:rsid w:val="00781340"/>
    <w:rsid w:val="00781E1C"/>
    <w:rsid w:val="00782022"/>
    <w:rsid w:val="00783DC6"/>
    <w:rsid w:val="007842AC"/>
    <w:rsid w:val="007842C7"/>
    <w:rsid w:val="00784D05"/>
    <w:rsid w:val="0078520D"/>
    <w:rsid w:val="00786BFD"/>
    <w:rsid w:val="00787692"/>
    <w:rsid w:val="00790479"/>
    <w:rsid w:val="007911CF"/>
    <w:rsid w:val="007913A8"/>
    <w:rsid w:val="00792420"/>
    <w:rsid w:val="00792747"/>
    <w:rsid w:val="00794065"/>
    <w:rsid w:val="0079483D"/>
    <w:rsid w:val="007A0C27"/>
    <w:rsid w:val="007A0E3C"/>
    <w:rsid w:val="007A2A7A"/>
    <w:rsid w:val="007A3275"/>
    <w:rsid w:val="007A37C2"/>
    <w:rsid w:val="007A5031"/>
    <w:rsid w:val="007A5314"/>
    <w:rsid w:val="007A5947"/>
    <w:rsid w:val="007A7E09"/>
    <w:rsid w:val="007B3BE3"/>
    <w:rsid w:val="007B4483"/>
    <w:rsid w:val="007B5210"/>
    <w:rsid w:val="007B7398"/>
    <w:rsid w:val="007B7FC7"/>
    <w:rsid w:val="007C0710"/>
    <w:rsid w:val="007C1AD3"/>
    <w:rsid w:val="007C1E81"/>
    <w:rsid w:val="007C2348"/>
    <w:rsid w:val="007C301B"/>
    <w:rsid w:val="007C4F03"/>
    <w:rsid w:val="007C503C"/>
    <w:rsid w:val="007C5524"/>
    <w:rsid w:val="007C5997"/>
    <w:rsid w:val="007C6CDB"/>
    <w:rsid w:val="007C6F73"/>
    <w:rsid w:val="007D30B0"/>
    <w:rsid w:val="007D35CC"/>
    <w:rsid w:val="007D421F"/>
    <w:rsid w:val="007D48F0"/>
    <w:rsid w:val="007D4C4D"/>
    <w:rsid w:val="007D5E19"/>
    <w:rsid w:val="007D6928"/>
    <w:rsid w:val="007E1040"/>
    <w:rsid w:val="007E10D7"/>
    <w:rsid w:val="007E1715"/>
    <w:rsid w:val="007E28F2"/>
    <w:rsid w:val="007E3394"/>
    <w:rsid w:val="007E49F7"/>
    <w:rsid w:val="007E4D8A"/>
    <w:rsid w:val="007E764B"/>
    <w:rsid w:val="007E783D"/>
    <w:rsid w:val="007F0768"/>
    <w:rsid w:val="007F14D6"/>
    <w:rsid w:val="007F1872"/>
    <w:rsid w:val="007F1A8C"/>
    <w:rsid w:val="007F26C6"/>
    <w:rsid w:val="007F342F"/>
    <w:rsid w:val="007F40D3"/>
    <w:rsid w:val="007F67EE"/>
    <w:rsid w:val="007F7506"/>
    <w:rsid w:val="00801187"/>
    <w:rsid w:val="0080363F"/>
    <w:rsid w:val="00803754"/>
    <w:rsid w:val="00804CA0"/>
    <w:rsid w:val="00804F09"/>
    <w:rsid w:val="0080551E"/>
    <w:rsid w:val="00805D06"/>
    <w:rsid w:val="00806C65"/>
    <w:rsid w:val="0080740D"/>
    <w:rsid w:val="00807F4B"/>
    <w:rsid w:val="00810222"/>
    <w:rsid w:val="00810E22"/>
    <w:rsid w:val="008110AA"/>
    <w:rsid w:val="008110C7"/>
    <w:rsid w:val="00811198"/>
    <w:rsid w:val="008115A5"/>
    <w:rsid w:val="00812FE0"/>
    <w:rsid w:val="0081338D"/>
    <w:rsid w:val="008137F7"/>
    <w:rsid w:val="00814DAD"/>
    <w:rsid w:val="00816B78"/>
    <w:rsid w:val="00820CA2"/>
    <w:rsid w:val="00820E13"/>
    <w:rsid w:val="00823437"/>
    <w:rsid w:val="00823527"/>
    <w:rsid w:val="00824CE3"/>
    <w:rsid w:val="0082562E"/>
    <w:rsid w:val="00825BAE"/>
    <w:rsid w:val="0082695D"/>
    <w:rsid w:val="00826AE0"/>
    <w:rsid w:val="008279A3"/>
    <w:rsid w:val="00827F99"/>
    <w:rsid w:val="008309A8"/>
    <w:rsid w:val="008312B1"/>
    <w:rsid w:val="0083419C"/>
    <w:rsid w:val="00834F71"/>
    <w:rsid w:val="008351D4"/>
    <w:rsid w:val="008352B1"/>
    <w:rsid w:val="0083597D"/>
    <w:rsid w:val="008359D8"/>
    <w:rsid w:val="008361E8"/>
    <w:rsid w:val="008425BC"/>
    <w:rsid w:val="0084302A"/>
    <w:rsid w:val="00844299"/>
    <w:rsid w:val="00845BE5"/>
    <w:rsid w:val="00845DE2"/>
    <w:rsid w:val="00850524"/>
    <w:rsid w:val="0085074F"/>
    <w:rsid w:val="00850C49"/>
    <w:rsid w:val="00851A4B"/>
    <w:rsid w:val="008528EF"/>
    <w:rsid w:val="008532EC"/>
    <w:rsid w:val="00853A22"/>
    <w:rsid w:val="00855B03"/>
    <w:rsid w:val="00856B2A"/>
    <w:rsid w:val="00856D56"/>
    <w:rsid w:val="008612E0"/>
    <w:rsid w:val="00861E69"/>
    <w:rsid w:val="00864731"/>
    <w:rsid w:val="0086622E"/>
    <w:rsid w:val="00867641"/>
    <w:rsid w:val="00870773"/>
    <w:rsid w:val="00873193"/>
    <w:rsid w:val="00874E74"/>
    <w:rsid w:val="008752F3"/>
    <w:rsid w:val="008773A1"/>
    <w:rsid w:val="00877ACA"/>
    <w:rsid w:val="00880748"/>
    <w:rsid w:val="00880810"/>
    <w:rsid w:val="00882207"/>
    <w:rsid w:val="00885071"/>
    <w:rsid w:val="00885803"/>
    <w:rsid w:val="00886683"/>
    <w:rsid w:val="00890266"/>
    <w:rsid w:val="00890531"/>
    <w:rsid w:val="00890AB8"/>
    <w:rsid w:val="00891E14"/>
    <w:rsid w:val="00895E33"/>
    <w:rsid w:val="00897D44"/>
    <w:rsid w:val="008A1D8A"/>
    <w:rsid w:val="008A2611"/>
    <w:rsid w:val="008A29E1"/>
    <w:rsid w:val="008A2C4B"/>
    <w:rsid w:val="008A3D90"/>
    <w:rsid w:val="008A431E"/>
    <w:rsid w:val="008A5004"/>
    <w:rsid w:val="008A5D2E"/>
    <w:rsid w:val="008A7A50"/>
    <w:rsid w:val="008A7CE4"/>
    <w:rsid w:val="008B049F"/>
    <w:rsid w:val="008B0942"/>
    <w:rsid w:val="008B197B"/>
    <w:rsid w:val="008B2110"/>
    <w:rsid w:val="008B2F51"/>
    <w:rsid w:val="008B345D"/>
    <w:rsid w:val="008B3E9A"/>
    <w:rsid w:val="008B451C"/>
    <w:rsid w:val="008B4F9C"/>
    <w:rsid w:val="008B6F67"/>
    <w:rsid w:val="008B70A0"/>
    <w:rsid w:val="008B7145"/>
    <w:rsid w:val="008B7A12"/>
    <w:rsid w:val="008C22E2"/>
    <w:rsid w:val="008C3432"/>
    <w:rsid w:val="008C5702"/>
    <w:rsid w:val="008C6289"/>
    <w:rsid w:val="008C735C"/>
    <w:rsid w:val="008D0933"/>
    <w:rsid w:val="008D221D"/>
    <w:rsid w:val="008D235C"/>
    <w:rsid w:val="008D3EAE"/>
    <w:rsid w:val="008D50D6"/>
    <w:rsid w:val="008D5158"/>
    <w:rsid w:val="008D52EB"/>
    <w:rsid w:val="008D7515"/>
    <w:rsid w:val="008D7F17"/>
    <w:rsid w:val="008E192E"/>
    <w:rsid w:val="008E2043"/>
    <w:rsid w:val="008E3556"/>
    <w:rsid w:val="008E4783"/>
    <w:rsid w:val="008E514E"/>
    <w:rsid w:val="008E57E8"/>
    <w:rsid w:val="008E5834"/>
    <w:rsid w:val="008E5F3E"/>
    <w:rsid w:val="008E63E7"/>
    <w:rsid w:val="008E71AA"/>
    <w:rsid w:val="008F0765"/>
    <w:rsid w:val="008F172B"/>
    <w:rsid w:val="008F1B82"/>
    <w:rsid w:val="008F416C"/>
    <w:rsid w:val="008F467D"/>
    <w:rsid w:val="008F4F04"/>
    <w:rsid w:val="008F54B0"/>
    <w:rsid w:val="008F6769"/>
    <w:rsid w:val="008F6A09"/>
    <w:rsid w:val="008F7643"/>
    <w:rsid w:val="008F7CDE"/>
    <w:rsid w:val="009001A3"/>
    <w:rsid w:val="00900D76"/>
    <w:rsid w:val="009011DA"/>
    <w:rsid w:val="00901478"/>
    <w:rsid w:val="00901C49"/>
    <w:rsid w:val="0090535C"/>
    <w:rsid w:val="00905C13"/>
    <w:rsid w:val="00905ECB"/>
    <w:rsid w:val="00907B6D"/>
    <w:rsid w:val="0091025E"/>
    <w:rsid w:val="009106D8"/>
    <w:rsid w:val="00912396"/>
    <w:rsid w:val="0091318A"/>
    <w:rsid w:val="00913DD8"/>
    <w:rsid w:val="00914535"/>
    <w:rsid w:val="009148B4"/>
    <w:rsid w:val="00914B55"/>
    <w:rsid w:val="009163BC"/>
    <w:rsid w:val="0091660C"/>
    <w:rsid w:val="00916AC7"/>
    <w:rsid w:val="00916B33"/>
    <w:rsid w:val="00916B8D"/>
    <w:rsid w:val="00917203"/>
    <w:rsid w:val="009205C3"/>
    <w:rsid w:val="00920C5A"/>
    <w:rsid w:val="00921184"/>
    <w:rsid w:val="0092156F"/>
    <w:rsid w:val="009222F5"/>
    <w:rsid w:val="00922896"/>
    <w:rsid w:val="00923329"/>
    <w:rsid w:val="0092443C"/>
    <w:rsid w:val="00926C3A"/>
    <w:rsid w:val="009279A8"/>
    <w:rsid w:val="00930051"/>
    <w:rsid w:val="00930FE2"/>
    <w:rsid w:val="009335AA"/>
    <w:rsid w:val="0093657E"/>
    <w:rsid w:val="00940B0C"/>
    <w:rsid w:val="0094178D"/>
    <w:rsid w:val="00941AFE"/>
    <w:rsid w:val="009427DC"/>
    <w:rsid w:val="00943A5A"/>
    <w:rsid w:val="00944358"/>
    <w:rsid w:val="00944E37"/>
    <w:rsid w:val="0094595D"/>
    <w:rsid w:val="00946670"/>
    <w:rsid w:val="00947087"/>
    <w:rsid w:val="00947916"/>
    <w:rsid w:val="009508C1"/>
    <w:rsid w:val="00950D8A"/>
    <w:rsid w:val="00950E0F"/>
    <w:rsid w:val="009514F9"/>
    <w:rsid w:val="00951764"/>
    <w:rsid w:val="009522F7"/>
    <w:rsid w:val="009524BF"/>
    <w:rsid w:val="0095255D"/>
    <w:rsid w:val="009538C5"/>
    <w:rsid w:val="00954058"/>
    <w:rsid w:val="009548E8"/>
    <w:rsid w:val="0095682A"/>
    <w:rsid w:val="00961FA3"/>
    <w:rsid w:val="00962DE2"/>
    <w:rsid w:val="00962E37"/>
    <w:rsid w:val="00963274"/>
    <w:rsid w:val="00964859"/>
    <w:rsid w:val="0096489B"/>
    <w:rsid w:val="00964F23"/>
    <w:rsid w:val="00966236"/>
    <w:rsid w:val="00966846"/>
    <w:rsid w:val="009673D6"/>
    <w:rsid w:val="0097051F"/>
    <w:rsid w:val="00971310"/>
    <w:rsid w:val="0097175C"/>
    <w:rsid w:val="009740E0"/>
    <w:rsid w:val="009752BC"/>
    <w:rsid w:val="00975EFA"/>
    <w:rsid w:val="00975FC7"/>
    <w:rsid w:val="00976027"/>
    <w:rsid w:val="00976F88"/>
    <w:rsid w:val="00977D8F"/>
    <w:rsid w:val="00980D38"/>
    <w:rsid w:val="009815F7"/>
    <w:rsid w:val="00981B0D"/>
    <w:rsid w:val="0098202F"/>
    <w:rsid w:val="00984D3E"/>
    <w:rsid w:val="00984EF9"/>
    <w:rsid w:val="0099101B"/>
    <w:rsid w:val="0099107E"/>
    <w:rsid w:val="00991492"/>
    <w:rsid w:val="00992299"/>
    <w:rsid w:val="009927F5"/>
    <w:rsid w:val="00992C63"/>
    <w:rsid w:val="0099421A"/>
    <w:rsid w:val="009942F2"/>
    <w:rsid w:val="00995622"/>
    <w:rsid w:val="00995835"/>
    <w:rsid w:val="00995FE9"/>
    <w:rsid w:val="00997537"/>
    <w:rsid w:val="00997E66"/>
    <w:rsid w:val="009A0BD4"/>
    <w:rsid w:val="009A100D"/>
    <w:rsid w:val="009A10FC"/>
    <w:rsid w:val="009A11B9"/>
    <w:rsid w:val="009A352C"/>
    <w:rsid w:val="009A50B2"/>
    <w:rsid w:val="009B0D58"/>
    <w:rsid w:val="009B11F2"/>
    <w:rsid w:val="009B3872"/>
    <w:rsid w:val="009B393E"/>
    <w:rsid w:val="009B41EE"/>
    <w:rsid w:val="009B4FF5"/>
    <w:rsid w:val="009B55FE"/>
    <w:rsid w:val="009B5875"/>
    <w:rsid w:val="009B6574"/>
    <w:rsid w:val="009C114B"/>
    <w:rsid w:val="009C1397"/>
    <w:rsid w:val="009C1AE5"/>
    <w:rsid w:val="009C26B7"/>
    <w:rsid w:val="009C3C1D"/>
    <w:rsid w:val="009C45F4"/>
    <w:rsid w:val="009D0CE4"/>
    <w:rsid w:val="009D3B5D"/>
    <w:rsid w:val="009D4368"/>
    <w:rsid w:val="009D5D77"/>
    <w:rsid w:val="009D7E05"/>
    <w:rsid w:val="009E09A0"/>
    <w:rsid w:val="009E14A4"/>
    <w:rsid w:val="009E3F42"/>
    <w:rsid w:val="009E5226"/>
    <w:rsid w:val="009E63A6"/>
    <w:rsid w:val="009E7424"/>
    <w:rsid w:val="009E7F99"/>
    <w:rsid w:val="009F0150"/>
    <w:rsid w:val="009F0EEA"/>
    <w:rsid w:val="009F1FBC"/>
    <w:rsid w:val="009F22A5"/>
    <w:rsid w:val="009F2523"/>
    <w:rsid w:val="009F31A5"/>
    <w:rsid w:val="009F39B5"/>
    <w:rsid w:val="009F4D68"/>
    <w:rsid w:val="009F5366"/>
    <w:rsid w:val="009F5C29"/>
    <w:rsid w:val="00A0036D"/>
    <w:rsid w:val="00A01AB8"/>
    <w:rsid w:val="00A043E0"/>
    <w:rsid w:val="00A04B43"/>
    <w:rsid w:val="00A05407"/>
    <w:rsid w:val="00A064E4"/>
    <w:rsid w:val="00A0704D"/>
    <w:rsid w:val="00A07B99"/>
    <w:rsid w:val="00A07F74"/>
    <w:rsid w:val="00A1080B"/>
    <w:rsid w:val="00A10C4C"/>
    <w:rsid w:val="00A12AD0"/>
    <w:rsid w:val="00A14683"/>
    <w:rsid w:val="00A15228"/>
    <w:rsid w:val="00A176FC"/>
    <w:rsid w:val="00A17880"/>
    <w:rsid w:val="00A21A21"/>
    <w:rsid w:val="00A21FB1"/>
    <w:rsid w:val="00A24FA3"/>
    <w:rsid w:val="00A2535C"/>
    <w:rsid w:val="00A25724"/>
    <w:rsid w:val="00A27240"/>
    <w:rsid w:val="00A3020E"/>
    <w:rsid w:val="00A308AC"/>
    <w:rsid w:val="00A30D69"/>
    <w:rsid w:val="00A31EC8"/>
    <w:rsid w:val="00A325E1"/>
    <w:rsid w:val="00A352CD"/>
    <w:rsid w:val="00A36613"/>
    <w:rsid w:val="00A37550"/>
    <w:rsid w:val="00A37999"/>
    <w:rsid w:val="00A4002B"/>
    <w:rsid w:val="00A4069C"/>
    <w:rsid w:val="00A41A4D"/>
    <w:rsid w:val="00A42303"/>
    <w:rsid w:val="00A42586"/>
    <w:rsid w:val="00A428A1"/>
    <w:rsid w:val="00A4308A"/>
    <w:rsid w:val="00A432CD"/>
    <w:rsid w:val="00A43833"/>
    <w:rsid w:val="00A439FC"/>
    <w:rsid w:val="00A44555"/>
    <w:rsid w:val="00A451A6"/>
    <w:rsid w:val="00A45D83"/>
    <w:rsid w:val="00A509E8"/>
    <w:rsid w:val="00A50D87"/>
    <w:rsid w:val="00A50E04"/>
    <w:rsid w:val="00A50EAF"/>
    <w:rsid w:val="00A51416"/>
    <w:rsid w:val="00A51E67"/>
    <w:rsid w:val="00A52552"/>
    <w:rsid w:val="00A54FD7"/>
    <w:rsid w:val="00A55187"/>
    <w:rsid w:val="00A560DA"/>
    <w:rsid w:val="00A5631F"/>
    <w:rsid w:val="00A60BE4"/>
    <w:rsid w:val="00A64E0F"/>
    <w:rsid w:val="00A66329"/>
    <w:rsid w:val="00A66A50"/>
    <w:rsid w:val="00A66E6F"/>
    <w:rsid w:val="00A676FA"/>
    <w:rsid w:val="00A67762"/>
    <w:rsid w:val="00A679D0"/>
    <w:rsid w:val="00A717E2"/>
    <w:rsid w:val="00A71A97"/>
    <w:rsid w:val="00A71F83"/>
    <w:rsid w:val="00A7250D"/>
    <w:rsid w:val="00A739BB"/>
    <w:rsid w:val="00A745E9"/>
    <w:rsid w:val="00A74B89"/>
    <w:rsid w:val="00A74CCF"/>
    <w:rsid w:val="00A74EC9"/>
    <w:rsid w:val="00A7643B"/>
    <w:rsid w:val="00A76A49"/>
    <w:rsid w:val="00A7736E"/>
    <w:rsid w:val="00A81A2C"/>
    <w:rsid w:val="00A81B5A"/>
    <w:rsid w:val="00A81D8A"/>
    <w:rsid w:val="00A829D3"/>
    <w:rsid w:val="00A83F7E"/>
    <w:rsid w:val="00A8503C"/>
    <w:rsid w:val="00A854CE"/>
    <w:rsid w:val="00A862B9"/>
    <w:rsid w:val="00A86E31"/>
    <w:rsid w:val="00A90968"/>
    <w:rsid w:val="00A9226D"/>
    <w:rsid w:val="00A931A8"/>
    <w:rsid w:val="00A95235"/>
    <w:rsid w:val="00A9530E"/>
    <w:rsid w:val="00A9639E"/>
    <w:rsid w:val="00A96BE1"/>
    <w:rsid w:val="00A96EDC"/>
    <w:rsid w:val="00A9719E"/>
    <w:rsid w:val="00A97551"/>
    <w:rsid w:val="00AA0144"/>
    <w:rsid w:val="00AA0A75"/>
    <w:rsid w:val="00AA0A85"/>
    <w:rsid w:val="00AA1A86"/>
    <w:rsid w:val="00AA2D1A"/>
    <w:rsid w:val="00AA3D51"/>
    <w:rsid w:val="00AA63CB"/>
    <w:rsid w:val="00AA6561"/>
    <w:rsid w:val="00AA6596"/>
    <w:rsid w:val="00AA6EBF"/>
    <w:rsid w:val="00AA700E"/>
    <w:rsid w:val="00AB063A"/>
    <w:rsid w:val="00AB0A10"/>
    <w:rsid w:val="00AB0A50"/>
    <w:rsid w:val="00AB3856"/>
    <w:rsid w:val="00AB42B1"/>
    <w:rsid w:val="00AB6180"/>
    <w:rsid w:val="00AB7AE8"/>
    <w:rsid w:val="00AC390D"/>
    <w:rsid w:val="00AC3F39"/>
    <w:rsid w:val="00AC6BF5"/>
    <w:rsid w:val="00AC7778"/>
    <w:rsid w:val="00AD06B5"/>
    <w:rsid w:val="00AD10EC"/>
    <w:rsid w:val="00AD2E7E"/>
    <w:rsid w:val="00AD3BDE"/>
    <w:rsid w:val="00AD589E"/>
    <w:rsid w:val="00AD6781"/>
    <w:rsid w:val="00AD6970"/>
    <w:rsid w:val="00AD71E5"/>
    <w:rsid w:val="00AE16C0"/>
    <w:rsid w:val="00AE2BF5"/>
    <w:rsid w:val="00AE423D"/>
    <w:rsid w:val="00AE662B"/>
    <w:rsid w:val="00AE784C"/>
    <w:rsid w:val="00AE78C2"/>
    <w:rsid w:val="00AE7A18"/>
    <w:rsid w:val="00AE7D33"/>
    <w:rsid w:val="00AF0852"/>
    <w:rsid w:val="00AF09A2"/>
    <w:rsid w:val="00AF10DD"/>
    <w:rsid w:val="00AF118B"/>
    <w:rsid w:val="00AF1289"/>
    <w:rsid w:val="00AF2987"/>
    <w:rsid w:val="00AF3CB2"/>
    <w:rsid w:val="00AF3CF3"/>
    <w:rsid w:val="00AF4167"/>
    <w:rsid w:val="00AF49DB"/>
    <w:rsid w:val="00AF4D8A"/>
    <w:rsid w:val="00AF4E3D"/>
    <w:rsid w:val="00AF5429"/>
    <w:rsid w:val="00AF5446"/>
    <w:rsid w:val="00AF74AB"/>
    <w:rsid w:val="00B02A45"/>
    <w:rsid w:val="00B039D5"/>
    <w:rsid w:val="00B06F71"/>
    <w:rsid w:val="00B10E72"/>
    <w:rsid w:val="00B11214"/>
    <w:rsid w:val="00B1126C"/>
    <w:rsid w:val="00B11398"/>
    <w:rsid w:val="00B114AD"/>
    <w:rsid w:val="00B136EA"/>
    <w:rsid w:val="00B13F6F"/>
    <w:rsid w:val="00B14F56"/>
    <w:rsid w:val="00B15057"/>
    <w:rsid w:val="00B15828"/>
    <w:rsid w:val="00B15F0C"/>
    <w:rsid w:val="00B16D70"/>
    <w:rsid w:val="00B17463"/>
    <w:rsid w:val="00B17A3E"/>
    <w:rsid w:val="00B20042"/>
    <w:rsid w:val="00B205ED"/>
    <w:rsid w:val="00B20FA1"/>
    <w:rsid w:val="00B21D75"/>
    <w:rsid w:val="00B229DF"/>
    <w:rsid w:val="00B23515"/>
    <w:rsid w:val="00B24911"/>
    <w:rsid w:val="00B24F60"/>
    <w:rsid w:val="00B25312"/>
    <w:rsid w:val="00B26A03"/>
    <w:rsid w:val="00B30A27"/>
    <w:rsid w:val="00B30A76"/>
    <w:rsid w:val="00B31477"/>
    <w:rsid w:val="00B31EAA"/>
    <w:rsid w:val="00B31FB3"/>
    <w:rsid w:val="00B32A11"/>
    <w:rsid w:val="00B336D9"/>
    <w:rsid w:val="00B3642A"/>
    <w:rsid w:val="00B36DA5"/>
    <w:rsid w:val="00B37C72"/>
    <w:rsid w:val="00B40B1D"/>
    <w:rsid w:val="00B420B1"/>
    <w:rsid w:val="00B43A34"/>
    <w:rsid w:val="00B4462B"/>
    <w:rsid w:val="00B46714"/>
    <w:rsid w:val="00B4774E"/>
    <w:rsid w:val="00B5018A"/>
    <w:rsid w:val="00B51147"/>
    <w:rsid w:val="00B51B9D"/>
    <w:rsid w:val="00B52CE0"/>
    <w:rsid w:val="00B5371E"/>
    <w:rsid w:val="00B53CB7"/>
    <w:rsid w:val="00B5540B"/>
    <w:rsid w:val="00B55E14"/>
    <w:rsid w:val="00B57C20"/>
    <w:rsid w:val="00B613ED"/>
    <w:rsid w:val="00B61F8A"/>
    <w:rsid w:val="00B62775"/>
    <w:rsid w:val="00B62E22"/>
    <w:rsid w:val="00B63BFA"/>
    <w:rsid w:val="00B65065"/>
    <w:rsid w:val="00B661DC"/>
    <w:rsid w:val="00B666CB"/>
    <w:rsid w:val="00B675B9"/>
    <w:rsid w:val="00B71022"/>
    <w:rsid w:val="00B71B83"/>
    <w:rsid w:val="00B740A0"/>
    <w:rsid w:val="00B76882"/>
    <w:rsid w:val="00B76CEA"/>
    <w:rsid w:val="00B779A6"/>
    <w:rsid w:val="00B77EFC"/>
    <w:rsid w:val="00B84380"/>
    <w:rsid w:val="00B84428"/>
    <w:rsid w:val="00B865EB"/>
    <w:rsid w:val="00B8775B"/>
    <w:rsid w:val="00B87B33"/>
    <w:rsid w:val="00B87B51"/>
    <w:rsid w:val="00B9256D"/>
    <w:rsid w:val="00B92766"/>
    <w:rsid w:val="00B947CB"/>
    <w:rsid w:val="00B947F9"/>
    <w:rsid w:val="00B950EB"/>
    <w:rsid w:val="00B955FD"/>
    <w:rsid w:val="00B97A56"/>
    <w:rsid w:val="00B97B10"/>
    <w:rsid w:val="00BA3C79"/>
    <w:rsid w:val="00BA4FA9"/>
    <w:rsid w:val="00BA5BCE"/>
    <w:rsid w:val="00BA5C74"/>
    <w:rsid w:val="00BA7496"/>
    <w:rsid w:val="00BB130E"/>
    <w:rsid w:val="00BB1429"/>
    <w:rsid w:val="00BB2CD5"/>
    <w:rsid w:val="00BB2D87"/>
    <w:rsid w:val="00BB2EC6"/>
    <w:rsid w:val="00BB3097"/>
    <w:rsid w:val="00BB3CA4"/>
    <w:rsid w:val="00BB413D"/>
    <w:rsid w:val="00BB42C8"/>
    <w:rsid w:val="00BB611F"/>
    <w:rsid w:val="00BC027C"/>
    <w:rsid w:val="00BC0FD4"/>
    <w:rsid w:val="00BC1CEB"/>
    <w:rsid w:val="00BC27E2"/>
    <w:rsid w:val="00BC28DD"/>
    <w:rsid w:val="00BC5C70"/>
    <w:rsid w:val="00BC6D28"/>
    <w:rsid w:val="00BC6F62"/>
    <w:rsid w:val="00BC7133"/>
    <w:rsid w:val="00BD018D"/>
    <w:rsid w:val="00BD19E4"/>
    <w:rsid w:val="00BD1A58"/>
    <w:rsid w:val="00BD1FE5"/>
    <w:rsid w:val="00BD288E"/>
    <w:rsid w:val="00BD2D1B"/>
    <w:rsid w:val="00BD3A57"/>
    <w:rsid w:val="00BD50D0"/>
    <w:rsid w:val="00BD6C10"/>
    <w:rsid w:val="00BD7479"/>
    <w:rsid w:val="00BE0173"/>
    <w:rsid w:val="00BE2D4F"/>
    <w:rsid w:val="00BE4B4B"/>
    <w:rsid w:val="00BE5A3E"/>
    <w:rsid w:val="00BE64B1"/>
    <w:rsid w:val="00BE6F9F"/>
    <w:rsid w:val="00BE7B80"/>
    <w:rsid w:val="00BF0805"/>
    <w:rsid w:val="00BF10EA"/>
    <w:rsid w:val="00BF4B6B"/>
    <w:rsid w:val="00BF517F"/>
    <w:rsid w:val="00BF6090"/>
    <w:rsid w:val="00BF63A8"/>
    <w:rsid w:val="00BF6AED"/>
    <w:rsid w:val="00BF6DFA"/>
    <w:rsid w:val="00BF7D97"/>
    <w:rsid w:val="00BF7E69"/>
    <w:rsid w:val="00C015F0"/>
    <w:rsid w:val="00C0248A"/>
    <w:rsid w:val="00C02958"/>
    <w:rsid w:val="00C02A8E"/>
    <w:rsid w:val="00C03737"/>
    <w:rsid w:val="00C03B4D"/>
    <w:rsid w:val="00C04769"/>
    <w:rsid w:val="00C05F4C"/>
    <w:rsid w:val="00C0728A"/>
    <w:rsid w:val="00C121C0"/>
    <w:rsid w:val="00C13676"/>
    <w:rsid w:val="00C141BB"/>
    <w:rsid w:val="00C15191"/>
    <w:rsid w:val="00C15F42"/>
    <w:rsid w:val="00C16382"/>
    <w:rsid w:val="00C16FC4"/>
    <w:rsid w:val="00C17298"/>
    <w:rsid w:val="00C176CC"/>
    <w:rsid w:val="00C2415F"/>
    <w:rsid w:val="00C269A9"/>
    <w:rsid w:val="00C30A22"/>
    <w:rsid w:val="00C3174B"/>
    <w:rsid w:val="00C337D8"/>
    <w:rsid w:val="00C34B3D"/>
    <w:rsid w:val="00C34D1F"/>
    <w:rsid w:val="00C354A9"/>
    <w:rsid w:val="00C35AF4"/>
    <w:rsid w:val="00C35D26"/>
    <w:rsid w:val="00C37599"/>
    <w:rsid w:val="00C40D8D"/>
    <w:rsid w:val="00C4140E"/>
    <w:rsid w:val="00C42D2E"/>
    <w:rsid w:val="00C437A8"/>
    <w:rsid w:val="00C43BF3"/>
    <w:rsid w:val="00C44805"/>
    <w:rsid w:val="00C50CCC"/>
    <w:rsid w:val="00C50F8E"/>
    <w:rsid w:val="00C51682"/>
    <w:rsid w:val="00C53BF9"/>
    <w:rsid w:val="00C5451D"/>
    <w:rsid w:val="00C5509B"/>
    <w:rsid w:val="00C551E1"/>
    <w:rsid w:val="00C5528B"/>
    <w:rsid w:val="00C55375"/>
    <w:rsid w:val="00C62144"/>
    <w:rsid w:val="00C6237E"/>
    <w:rsid w:val="00C635D4"/>
    <w:rsid w:val="00C64FBE"/>
    <w:rsid w:val="00C661FA"/>
    <w:rsid w:val="00C6717B"/>
    <w:rsid w:val="00C67626"/>
    <w:rsid w:val="00C70157"/>
    <w:rsid w:val="00C702C9"/>
    <w:rsid w:val="00C70CF4"/>
    <w:rsid w:val="00C714D8"/>
    <w:rsid w:val="00C71D14"/>
    <w:rsid w:val="00C72505"/>
    <w:rsid w:val="00C725CF"/>
    <w:rsid w:val="00C72B5B"/>
    <w:rsid w:val="00C72E7F"/>
    <w:rsid w:val="00C76B3C"/>
    <w:rsid w:val="00C77042"/>
    <w:rsid w:val="00C8052E"/>
    <w:rsid w:val="00C80957"/>
    <w:rsid w:val="00C80B2C"/>
    <w:rsid w:val="00C81373"/>
    <w:rsid w:val="00C81BCF"/>
    <w:rsid w:val="00C82435"/>
    <w:rsid w:val="00C8281F"/>
    <w:rsid w:val="00C8294E"/>
    <w:rsid w:val="00C8389B"/>
    <w:rsid w:val="00C87127"/>
    <w:rsid w:val="00C87867"/>
    <w:rsid w:val="00C87941"/>
    <w:rsid w:val="00C907FA"/>
    <w:rsid w:val="00C93DC4"/>
    <w:rsid w:val="00C952EB"/>
    <w:rsid w:val="00C95F45"/>
    <w:rsid w:val="00C96429"/>
    <w:rsid w:val="00C9746A"/>
    <w:rsid w:val="00CA0544"/>
    <w:rsid w:val="00CA2631"/>
    <w:rsid w:val="00CA2851"/>
    <w:rsid w:val="00CA2EA7"/>
    <w:rsid w:val="00CA4403"/>
    <w:rsid w:val="00CA4F97"/>
    <w:rsid w:val="00CA5F34"/>
    <w:rsid w:val="00CB0100"/>
    <w:rsid w:val="00CB091B"/>
    <w:rsid w:val="00CB1752"/>
    <w:rsid w:val="00CB267B"/>
    <w:rsid w:val="00CB34A2"/>
    <w:rsid w:val="00CB44A9"/>
    <w:rsid w:val="00CB4B84"/>
    <w:rsid w:val="00CB521A"/>
    <w:rsid w:val="00CB57EE"/>
    <w:rsid w:val="00CB64E3"/>
    <w:rsid w:val="00CB7774"/>
    <w:rsid w:val="00CB7B7B"/>
    <w:rsid w:val="00CC101C"/>
    <w:rsid w:val="00CC1583"/>
    <w:rsid w:val="00CC2377"/>
    <w:rsid w:val="00CC3EF0"/>
    <w:rsid w:val="00CC53B5"/>
    <w:rsid w:val="00CC5BF2"/>
    <w:rsid w:val="00CD0145"/>
    <w:rsid w:val="00CD3358"/>
    <w:rsid w:val="00CD37AC"/>
    <w:rsid w:val="00CD40C5"/>
    <w:rsid w:val="00CD5255"/>
    <w:rsid w:val="00CD7527"/>
    <w:rsid w:val="00CE043E"/>
    <w:rsid w:val="00CE0DBB"/>
    <w:rsid w:val="00CE158E"/>
    <w:rsid w:val="00CE15C9"/>
    <w:rsid w:val="00CE269A"/>
    <w:rsid w:val="00CE3710"/>
    <w:rsid w:val="00CE575E"/>
    <w:rsid w:val="00CE68E9"/>
    <w:rsid w:val="00CE739B"/>
    <w:rsid w:val="00CE77A2"/>
    <w:rsid w:val="00CF005B"/>
    <w:rsid w:val="00CF27F3"/>
    <w:rsid w:val="00CF2A46"/>
    <w:rsid w:val="00CF4B84"/>
    <w:rsid w:val="00CF6323"/>
    <w:rsid w:val="00CF6DBE"/>
    <w:rsid w:val="00CF71E0"/>
    <w:rsid w:val="00CF7F25"/>
    <w:rsid w:val="00D0034B"/>
    <w:rsid w:val="00D008E1"/>
    <w:rsid w:val="00D009D3"/>
    <w:rsid w:val="00D00DF8"/>
    <w:rsid w:val="00D0139E"/>
    <w:rsid w:val="00D0227F"/>
    <w:rsid w:val="00D023EE"/>
    <w:rsid w:val="00D0283A"/>
    <w:rsid w:val="00D02FA8"/>
    <w:rsid w:val="00D0533C"/>
    <w:rsid w:val="00D05B78"/>
    <w:rsid w:val="00D067DA"/>
    <w:rsid w:val="00D100AF"/>
    <w:rsid w:val="00D10754"/>
    <w:rsid w:val="00D10C28"/>
    <w:rsid w:val="00D10E93"/>
    <w:rsid w:val="00D117DB"/>
    <w:rsid w:val="00D15C27"/>
    <w:rsid w:val="00D16585"/>
    <w:rsid w:val="00D20238"/>
    <w:rsid w:val="00D228C4"/>
    <w:rsid w:val="00D22D1E"/>
    <w:rsid w:val="00D2548B"/>
    <w:rsid w:val="00D25B08"/>
    <w:rsid w:val="00D25F6F"/>
    <w:rsid w:val="00D27CDB"/>
    <w:rsid w:val="00D30953"/>
    <w:rsid w:val="00D31060"/>
    <w:rsid w:val="00D333F3"/>
    <w:rsid w:val="00D34891"/>
    <w:rsid w:val="00D34B5B"/>
    <w:rsid w:val="00D35463"/>
    <w:rsid w:val="00D367FF"/>
    <w:rsid w:val="00D36F64"/>
    <w:rsid w:val="00D3705E"/>
    <w:rsid w:val="00D37DF1"/>
    <w:rsid w:val="00D40CBB"/>
    <w:rsid w:val="00D418E2"/>
    <w:rsid w:val="00D41956"/>
    <w:rsid w:val="00D42B6F"/>
    <w:rsid w:val="00D43363"/>
    <w:rsid w:val="00D435CA"/>
    <w:rsid w:val="00D455D2"/>
    <w:rsid w:val="00D460B3"/>
    <w:rsid w:val="00D46775"/>
    <w:rsid w:val="00D46785"/>
    <w:rsid w:val="00D47031"/>
    <w:rsid w:val="00D4791A"/>
    <w:rsid w:val="00D5023A"/>
    <w:rsid w:val="00D513F6"/>
    <w:rsid w:val="00D51C02"/>
    <w:rsid w:val="00D52BEC"/>
    <w:rsid w:val="00D52FF6"/>
    <w:rsid w:val="00D536D3"/>
    <w:rsid w:val="00D54A41"/>
    <w:rsid w:val="00D55565"/>
    <w:rsid w:val="00D5569A"/>
    <w:rsid w:val="00D57323"/>
    <w:rsid w:val="00D6046B"/>
    <w:rsid w:val="00D60638"/>
    <w:rsid w:val="00D61219"/>
    <w:rsid w:val="00D62183"/>
    <w:rsid w:val="00D6321F"/>
    <w:rsid w:val="00D64AC9"/>
    <w:rsid w:val="00D6599B"/>
    <w:rsid w:val="00D65DC0"/>
    <w:rsid w:val="00D675A4"/>
    <w:rsid w:val="00D679EA"/>
    <w:rsid w:val="00D679F0"/>
    <w:rsid w:val="00D72B4E"/>
    <w:rsid w:val="00D73814"/>
    <w:rsid w:val="00D73B54"/>
    <w:rsid w:val="00D743FA"/>
    <w:rsid w:val="00D7466D"/>
    <w:rsid w:val="00D7509E"/>
    <w:rsid w:val="00D75AB8"/>
    <w:rsid w:val="00D80223"/>
    <w:rsid w:val="00D81947"/>
    <w:rsid w:val="00D827C2"/>
    <w:rsid w:val="00D82F84"/>
    <w:rsid w:val="00D84C2F"/>
    <w:rsid w:val="00D860EB"/>
    <w:rsid w:val="00D862E3"/>
    <w:rsid w:val="00D8643E"/>
    <w:rsid w:val="00D868B8"/>
    <w:rsid w:val="00D86FB8"/>
    <w:rsid w:val="00D90D14"/>
    <w:rsid w:val="00D91A75"/>
    <w:rsid w:val="00D91D63"/>
    <w:rsid w:val="00D9440F"/>
    <w:rsid w:val="00D95645"/>
    <w:rsid w:val="00D9576D"/>
    <w:rsid w:val="00D961EF"/>
    <w:rsid w:val="00D9699F"/>
    <w:rsid w:val="00D97923"/>
    <w:rsid w:val="00DA0B1F"/>
    <w:rsid w:val="00DA201F"/>
    <w:rsid w:val="00DA20AC"/>
    <w:rsid w:val="00DA27EA"/>
    <w:rsid w:val="00DA2BD3"/>
    <w:rsid w:val="00DA3764"/>
    <w:rsid w:val="00DB09C7"/>
    <w:rsid w:val="00DB1712"/>
    <w:rsid w:val="00DB24C1"/>
    <w:rsid w:val="00DB2776"/>
    <w:rsid w:val="00DB3A25"/>
    <w:rsid w:val="00DB5BA3"/>
    <w:rsid w:val="00DB6392"/>
    <w:rsid w:val="00DB6C6D"/>
    <w:rsid w:val="00DB74F3"/>
    <w:rsid w:val="00DB776F"/>
    <w:rsid w:val="00DC012A"/>
    <w:rsid w:val="00DC0837"/>
    <w:rsid w:val="00DC0D67"/>
    <w:rsid w:val="00DC14EE"/>
    <w:rsid w:val="00DC1522"/>
    <w:rsid w:val="00DC1DC6"/>
    <w:rsid w:val="00DC33C2"/>
    <w:rsid w:val="00DC35BD"/>
    <w:rsid w:val="00DC3E72"/>
    <w:rsid w:val="00DC4154"/>
    <w:rsid w:val="00DC47F4"/>
    <w:rsid w:val="00DC4940"/>
    <w:rsid w:val="00DC6662"/>
    <w:rsid w:val="00DC6D21"/>
    <w:rsid w:val="00DC78D9"/>
    <w:rsid w:val="00DD14E1"/>
    <w:rsid w:val="00DD35F4"/>
    <w:rsid w:val="00DD3D24"/>
    <w:rsid w:val="00DE007A"/>
    <w:rsid w:val="00DE16BE"/>
    <w:rsid w:val="00DE2C79"/>
    <w:rsid w:val="00DE44C2"/>
    <w:rsid w:val="00DE4DA9"/>
    <w:rsid w:val="00DE5B04"/>
    <w:rsid w:val="00DE6354"/>
    <w:rsid w:val="00DE7702"/>
    <w:rsid w:val="00DF10F4"/>
    <w:rsid w:val="00DF19ED"/>
    <w:rsid w:val="00DF207D"/>
    <w:rsid w:val="00DF2805"/>
    <w:rsid w:val="00DF2E56"/>
    <w:rsid w:val="00DF3A5F"/>
    <w:rsid w:val="00DF4517"/>
    <w:rsid w:val="00DF6C47"/>
    <w:rsid w:val="00DF6D32"/>
    <w:rsid w:val="00E01ECF"/>
    <w:rsid w:val="00E025D3"/>
    <w:rsid w:val="00E0290B"/>
    <w:rsid w:val="00E02952"/>
    <w:rsid w:val="00E049F4"/>
    <w:rsid w:val="00E04E6D"/>
    <w:rsid w:val="00E0719D"/>
    <w:rsid w:val="00E102B2"/>
    <w:rsid w:val="00E10AA4"/>
    <w:rsid w:val="00E10DB0"/>
    <w:rsid w:val="00E1279C"/>
    <w:rsid w:val="00E12A64"/>
    <w:rsid w:val="00E12B51"/>
    <w:rsid w:val="00E147C4"/>
    <w:rsid w:val="00E148E0"/>
    <w:rsid w:val="00E14B7C"/>
    <w:rsid w:val="00E14EFB"/>
    <w:rsid w:val="00E1558D"/>
    <w:rsid w:val="00E155E9"/>
    <w:rsid w:val="00E15D50"/>
    <w:rsid w:val="00E16C61"/>
    <w:rsid w:val="00E16D62"/>
    <w:rsid w:val="00E17CC1"/>
    <w:rsid w:val="00E2053A"/>
    <w:rsid w:val="00E20B3A"/>
    <w:rsid w:val="00E21DE4"/>
    <w:rsid w:val="00E23732"/>
    <w:rsid w:val="00E27B64"/>
    <w:rsid w:val="00E3107B"/>
    <w:rsid w:val="00E32020"/>
    <w:rsid w:val="00E32420"/>
    <w:rsid w:val="00E32B80"/>
    <w:rsid w:val="00E32FA9"/>
    <w:rsid w:val="00E34EB8"/>
    <w:rsid w:val="00E352C2"/>
    <w:rsid w:val="00E353D3"/>
    <w:rsid w:val="00E361DD"/>
    <w:rsid w:val="00E367EC"/>
    <w:rsid w:val="00E37003"/>
    <w:rsid w:val="00E40BEC"/>
    <w:rsid w:val="00E40DE5"/>
    <w:rsid w:val="00E416A7"/>
    <w:rsid w:val="00E42357"/>
    <w:rsid w:val="00E441DF"/>
    <w:rsid w:val="00E4431F"/>
    <w:rsid w:val="00E44C02"/>
    <w:rsid w:val="00E44DE9"/>
    <w:rsid w:val="00E451E3"/>
    <w:rsid w:val="00E46082"/>
    <w:rsid w:val="00E46144"/>
    <w:rsid w:val="00E46D77"/>
    <w:rsid w:val="00E47F51"/>
    <w:rsid w:val="00E5230D"/>
    <w:rsid w:val="00E526DA"/>
    <w:rsid w:val="00E53A35"/>
    <w:rsid w:val="00E53D16"/>
    <w:rsid w:val="00E5421F"/>
    <w:rsid w:val="00E543BC"/>
    <w:rsid w:val="00E543F5"/>
    <w:rsid w:val="00E54A5F"/>
    <w:rsid w:val="00E55546"/>
    <w:rsid w:val="00E55BF1"/>
    <w:rsid w:val="00E56099"/>
    <w:rsid w:val="00E576A3"/>
    <w:rsid w:val="00E57A55"/>
    <w:rsid w:val="00E57E27"/>
    <w:rsid w:val="00E60E62"/>
    <w:rsid w:val="00E620A7"/>
    <w:rsid w:val="00E62F9D"/>
    <w:rsid w:val="00E63AFF"/>
    <w:rsid w:val="00E6695B"/>
    <w:rsid w:val="00E66FDF"/>
    <w:rsid w:val="00E67038"/>
    <w:rsid w:val="00E67123"/>
    <w:rsid w:val="00E711B0"/>
    <w:rsid w:val="00E717FD"/>
    <w:rsid w:val="00E719D6"/>
    <w:rsid w:val="00E724BF"/>
    <w:rsid w:val="00E73E76"/>
    <w:rsid w:val="00E74531"/>
    <w:rsid w:val="00E74BAF"/>
    <w:rsid w:val="00E8010E"/>
    <w:rsid w:val="00E81737"/>
    <w:rsid w:val="00E829A7"/>
    <w:rsid w:val="00E84F04"/>
    <w:rsid w:val="00E8529A"/>
    <w:rsid w:val="00E85953"/>
    <w:rsid w:val="00E87D60"/>
    <w:rsid w:val="00E90B03"/>
    <w:rsid w:val="00E91BAD"/>
    <w:rsid w:val="00E925CF"/>
    <w:rsid w:val="00E92E43"/>
    <w:rsid w:val="00E92F2C"/>
    <w:rsid w:val="00E938AB"/>
    <w:rsid w:val="00E94A70"/>
    <w:rsid w:val="00E966C3"/>
    <w:rsid w:val="00E966E2"/>
    <w:rsid w:val="00E97666"/>
    <w:rsid w:val="00E97C35"/>
    <w:rsid w:val="00EA0C25"/>
    <w:rsid w:val="00EA1C68"/>
    <w:rsid w:val="00EA31A9"/>
    <w:rsid w:val="00EA32D4"/>
    <w:rsid w:val="00EA3DE1"/>
    <w:rsid w:val="00EA51A2"/>
    <w:rsid w:val="00EA60F7"/>
    <w:rsid w:val="00EA6769"/>
    <w:rsid w:val="00EA71E0"/>
    <w:rsid w:val="00EB03F1"/>
    <w:rsid w:val="00EB05B0"/>
    <w:rsid w:val="00EB158A"/>
    <w:rsid w:val="00EB1DCA"/>
    <w:rsid w:val="00EB2898"/>
    <w:rsid w:val="00EB2AFA"/>
    <w:rsid w:val="00EB3DDF"/>
    <w:rsid w:val="00EB4A60"/>
    <w:rsid w:val="00EB5F0B"/>
    <w:rsid w:val="00EB6624"/>
    <w:rsid w:val="00EC3966"/>
    <w:rsid w:val="00EC5250"/>
    <w:rsid w:val="00EC6404"/>
    <w:rsid w:val="00EC706E"/>
    <w:rsid w:val="00ED090F"/>
    <w:rsid w:val="00ED32B9"/>
    <w:rsid w:val="00ED4122"/>
    <w:rsid w:val="00ED465E"/>
    <w:rsid w:val="00ED6899"/>
    <w:rsid w:val="00ED74C7"/>
    <w:rsid w:val="00ED7509"/>
    <w:rsid w:val="00ED7B08"/>
    <w:rsid w:val="00EE0F49"/>
    <w:rsid w:val="00EE1173"/>
    <w:rsid w:val="00EE11E0"/>
    <w:rsid w:val="00EE170F"/>
    <w:rsid w:val="00EE17FC"/>
    <w:rsid w:val="00EE1E26"/>
    <w:rsid w:val="00EE3F06"/>
    <w:rsid w:val="00EE4880"/>
    <w:rsid w:val="00EE4A34"/>
    <w:rsid w:val="00EE4AC6"/>
    <w:rsid w:val="00EE4E5C"/>
    <w:rsid w:val="00EE63EC"/>
    <w:rsid w:val="00EE731E"/>
    <w:rsid w:val="00EF0019"/>
    <w:rsid w:val="00EF07B5"/>
    <w:rsid w:val="00EF0CE6"/>
    <w:rsid w:val="00EF0F3B"/>
    <w:rsid w:val="00EF0F87"/>
    <w:rsid w:val="00EF57D0"/>
    <w:rsid w:val="00EF7671"/>
    <w:rsid w:val="00EF7A20"/>
    <w:rsid w:val="00F01230"/>
    <w:rsid w:val="00F014A0"/>
    <w:rsid w:val="00F02D33"/>
    <w:rsid w:val="00F04232"/>
    <w:rsid w:val="00F049DB"/>
    <w:rsid w:val="00F057AB"/>
    <w:rsid w:val="00F0751F"/>
    <w:rsid w:val="00F10299"/>
    <w:rsid w:val="00F11009"/>
    <w:rsid w:val="00F118F4"/>
    <w:rsid w:val="00F126B0"/>
    <w:rsid w:val="00F12CF8"/>
    <w:rsid w:val="00F13ED1"/>
    <w:rsid w:val="00F16C2F"/>
    <w:rsid w:val="00F171E2"/>
    <w:rsid w:val="00F20676"/>
    <w:rsid w:val="00F21091"/>
    <w:rsid w:val="00F2137D"/>
    <w:rsid w:val="00F234BA"/>
    <w:rsid w:val="00F23FF3"/>
    <w:rsid w:val="00F244E6"/>
    <w:rsid w:val="00F24CF4"/>
    <w:rsid w:val="00F24DAC"/>
    <w:rsid w:val="00F25762"/>
    <w:rsid w:val="00F25F74"/>
    <w:rsid w:val="00F27006"/>
    <w:rsid w:val="00F31380"/>
    <w:rsid w:val="00F32FE7"/>
    <w:rsid w:val="00F33EF2"/>
    <w:rsid w:val="00F34A50"/>
    <w:rsid w:val="00F357FF"/>
    <w:rsid w:val="00F37283"/>
    <w:rsid w:val="00F37545"/>
    <w:rsid w:val="00F4073E"/>
    <w:rsid w:val="00F410BE"/>
    <w:rsid w:val="00F43AAF"/>
    <w:rsid w:val="00F47B61"/>
    <w:rsid w:val="00F50063"/>
    <w:rsid w:val="00F50172"/>
    <w:rsid w:val="00F50495"/>
    <w:rsid w:val="00F5169A"/>
    <w:rsid w:val="00F534C9"/>
    <w:rsid w:val="00F53C81"/>
    <w:rsid w:val="00F54642"/>
    <w:rsid w:val="00F5664E"/>
    <w:rsid w:val="00F57A76"/>
    <w:rsid w:val="00F60349"/>
    <w:rsid w:val="00F605E0"/>
    <w:rsid w:val="00F60B8D"/>
    <w:rsid w:val="00F6106B"/>
    <w:rsid w:val="00F70558"/>
    <w:rsid w:val="00F70633"/>
    <w:rsid w:val="00F70983"/>
    <w:rsid w:val="00F71326"/>
    <w:rsid w:val="00F716B0"/>
    <w:rsid w:val="00F71CAC"/>
    <w:rsid w:val="00F725CA"/>
    <w:rsid w:val="00F73452"/>
    <w:rsid w:val="00F73B2F"/>
    <w:rsid w:val="00F73D4F"/>
    <w:rsid w:val="00F74029"/>
    <w:rsid w:val="00F742B9"/>
    <w:rsid w:val="00F749CB"/>
    <w:rsid w:val="00F74B32"/>
    <w:rsid w:val="00F74FA7"/>
    <w:rsid w:val="00F75619"/>
    <w:rsid w:val="00F7644A"/>
    <w:rsid w:val="00F773C0"/>
    <w:rsid w:val="00F77E7C"/>
    <w:rsid w:val="00F8002A"/>
    <w:rsid w:val="00F803AF"/>
    <w:rsid w:val="00F80675"/>
    <w:rsid w:val="00F8099C"/>
    <w:rsid w:val="00F80DB7"/>
    <w:rsid w:val="00F8166A"/>
    <w:rsid w:val="00F81697"/>
    <w:rsid w:val="00F81F15"/>
    <w:rsid w:val="00F83315"/>
    <w:rsid w:val="00F83FB6"/>
    <w:rsid w:val="00F85AB2"/>
    <w:rsid w:val="00F8680E"/>
    <w:rsid w:val="00F86A91"/>
    <w:rsid w:val="00F87731"/>
    <w:rsid w:val="00F91D85"/>
    <w:rsid w:val="00F927BE"/>
    <w:rsid w:val="00F9354E"/>
    <w:rsid w:val="00F94E9F"/>
    <w:rsid w:val="00F964C0"/>
    <w:rsid w:val="00F96BE0"/>
    <w:rsid w:val="00F9729B"/>
    <w:rsid w:val="00FA154D"/>
    <w:rsid w:val="00FA172B"/>
    <w:rsid w:val="00FA1807"/>
    <w:rsid w:val="00FA274F"/>
    <w:rsid w:val="00FA3474"/>
    <w:rsid w:val="00FA38D6"/>
    <w:rsid w:val="00FA43DC"/>
    <w:rsid w:val="00FA449B"/>
    <w:rsid w:val="00FA4E2D"/>
    <w:rsid w:val="00FA5CC6"/>
    <w:rsid w:val="00FA77C9"/>
    <w:rsid w:val="00FA7905"/>
    <w:rsid w:val="00FB1146"/>
    <w:rsid w:val="00FB23EA"/>
    <w:rsid w:val="00FB24F3"/>
    <w:rsid w:val="00FB336D"/>
    <w:rsid w:val="00FB3518"/>
    <w:rsid w:val="00FB3A1F"/>
    <w:rsid w:val="00FB3E6E"/>
    <w:rsid w:val="00FB3F90"/>
    <w:rsid w:val="00FB47A0"/>
    <w:rsid w:val="00FB4D71"/>
    <w:rsid w:val="00FB61EA"/>
    <w:rsid w:val="00FC079B"/>
    <w:rsid w:val="00FC4184"/>
    <w:rsid w:val="00FC4D14"/>
    <w:rsid w:val="00FC4F79"/>
    <w:rsid w:val="00FC5C41"/>
    <w:rsid w:val="00FC5CF5"/>
    <w:rsid w:val="00FC62A6"/>
    <w:rsid w:val="00FC6D28"/>
    <w:rsid w:val="00FD0126"/>
    <w:rsid w:val="00FD192C"/>
    <w:rsid w:val="00FD2E59"/>
    <w:rsid w:val="00FD39E1"/>
    <w:rsid w:val="00FD5CB5"/>
    <w:rsid w:val="00FD79F0"/>
    <w:rsid w:val="00FE491A"/>
    <w:rsid w:val="00FE590A"/>
    <w:rsid w:val="00FE5AA0"/>
    <w:rsid w:val="00FE6448"/>
    <w:rsid w:val="00FF3946"/>
    <w:rsid w:val="00FF41B4"/>
    <w:rsid w:val="00FF62D3"/>
    <w:rsid w:val="00FF6EF0"/>
    <w:rsid w:val="00FF6F02"/>
    <w:rsid w:val="00FF796A"/>
    <w:rsid w:val="00FF79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D6994"/>
  <w15:chartTrackingRefBased/>
  <w15:docId w15:val="{ADF7BED9-57BC-48D2-96AA-9E5FAC760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5B"/>
    <w:pPr>
      <w:suppressAutoHyphens/>
      <w:autoSpaceDE w:val="0"/>
      <w:autoSpaceDN w:val="0"/>
      <w:adjustRightInd w:val="0"/>
      <w:spacing w:after="240" w:line="260" w:lineRule="atLeast"/>
      <w:textAlignment w:val="center"/>
    </w:pPr>
    <w:rPr>
      <w:rFonts w:ascii="Roboto-Light" w:hAnsi="Roboto-Light" w:cs="Roboto-Light"/>
      <w:color w:val="000000"/>
      <w:sz w:val="18"/>
      <w:szCs w:val="22"/>
      <w:lang w:val="en-GB"/>
    </w:rPr>
  </w:style>
  <w:style w:type="paragraph" w:styleId="Heading1">
    <w:name w:val="heading 1"/>
    <w:basedOn w:val="Normal"/>
    <w:next w:val="Normal"/>
    <w:link w:val="Heading1Char"/>
    <w:uiPriority w:val="9"/>
    <w:qFormat/>
    <w:rsid w:val="0070216F"/>
    <w:pPr>
      <w:keepNext/>
      <w:keepLines/>
      <w:spacing w:before="60"/>
      <w:outlineLvl w:val="0"/>
    </w:pPr>
    <w:rPr>
      <w:rFonts w:ascii="Merriweather-Regular" w:eastAsiaTheme="majorEastAsia" w:hAnsi="Merriweather-Regular" w:cstheme="majorBidi"/>
      <w:color w:val="5C626C"/>
      <w:sz w:val="40"/>
      <w:szCs w:val="32"/>
    </w:rPr>
  </w:style>
  <w:style w:type="paragraph" w:styleId="Heading2">
    <w:name w:val="heading 2"/>
    <w:basedOn w:val="Normal"/>
    <w:next w:val="Normal"/>
    <w:link w:val="Heading2Char"/>
    <w:uiPriority w:val="9"/>
    <w:unhideWhenUsed/>
    <w:qFormat/>
    <w:rsid w:val="00DE007A"/>
    <w:pPr>
      <w:keepNext/>
      <w:keepLines/>
      <w:spacing w:before="60" w:after="60"/>
      <w:outlineLvl w:val="1"/>
    </w:pPr>
    <w:rPr>
      <w:rFonts w:ascii="Roboto-Bold" w:eastAsiaTheme="majorEastAsia" w:hAnsi="Roboto-Bold" w:cstheme="majorBidi"/>
      <w:color w:val="5C626C"/>
      <w:sz w:val="26"/>
      <w:szCs w:val="26"/>
    </w:rPr>
  </w:style>
  <w:style w:type="paragraph" w:styleId="Heading3">
    <w:name w:val="heading 3"/>
    <w:basedOn w:val="Normal"/>
    <w:next w:val="Normal"/>
    <w:link w:val="Heading3Char"/>
    <w:uiPriority w:val="9"/>
    <w:unhideWhenUsed/>
    <w:qFormat/>
    <w:rsid w:val="00144B5B"/>
    <w:pPr>
      <w:keepNext/>
      <w:keepLines/>
      <w:spacing w:before="60" w:after="60"/>
      <w:outlineLvl w:val="2"/>
    </w:pPr>
    <w:rPr>
      <w:rFonts w:ascii="Roboto" w:eastAsiaTheme="majorEastAsia" w:hAnsi="Roboto" w:cstheme="majorBidi"/>
      <w:b/>
      <w:color w:val="F7941D"/>
      <w:szCs w:val="24"/>
    </w:rPr>
  </w:style>
  <w:style w:type="paragraph" w:styleId="Heading4">
    <w:name w:val="heading 4"/>
    <w:basedOn w:val="Normal"/>
    <w:next w:val="Normal"/>
    <w:link w:val="Heading4Char"/>
    <w:uiPriority w:val="9"/>
    <w:unhideWhenUsed/>
    <w:qFormat/>
    <w:rsid w:val="00FD39E1"/>
    <w:pPr>
      <w:spacing w:after="60"/>
      <w:outlineLvl w:val="3"/>
    </w:pPr>
    <w:rPr>
      <w:rFonts w:ascii="Roboto-Bold" w:hAnsi="Roboto-Bold"/>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89C"/>
    <w:pPr>
      <w:tabs>
        <w:tab w:val="center" w:pos="4680"/>
        <w:tab w:val="right" w:pos="9360"/>
      </w:tabs>
    </w:pPr>
  </w:style>
  <w:style w:type="character" w:customStyle="1" w:styleId="HeaderChar">
    <w:name w:val="Header Char"/>
    <w:basedOn w:val="DefaultParagraphFont"/>
    <w:link w:val="Header"/>
    <w:uiPriority w:val="99"/>
    <w:rsid w:val="0051589C"/>
  </w:style>
  <w:style w:type="paragraph" w:styleId="Footer">
    <w:name w:val="footer"/>
    <w:basedOn w:val="Normal"/>
    <w:link w:val="FooterChar"/>
    <w:uiPriority w:val="99"/>
    <w:unhideWhenUsed/>
    <w:rsid w:val="00737032"/>
    <w:pPr>
      <w:tabs>
        <w:tab w:val="center" w:pos="4680"/>
        <w:tab w:val="right" w:pos="9360"/>
      </w:tabs>
    </w:pPr>
    <w:rPr>
      <w:color w:val="5C626C"/>
    </w:rPr>
  </w:style>
  <w:style w:type="character" w:customStyle="1" w:styleId="FooterChar">
    <w:name w:val="Footer Char"/>
    <w:basedOn w:val="DefaultParagraphFont"/>
    <w:link w:val="Footer"/>
    <w:uiPriority w:val="99"/>
    <w:rsid w:val="00737032"/>
    <w:rPr>
      <w:rFonts w:ascii="Roboto-Light" w:hAnsi="Roboto-Light" w:cs="Roboto-Light"/>
      <w:color w:val="5C626C"/>
      <w:sz w:val="22"/>
      <w:szCs w:val="22"/>
      <w:lang w:val="en-GB"/>
    </w:rPr>
  </w:style>
  <w:style w:type="paragraph" w:customStyle="1" w:styleId="NMHCIntroParagraph">
    <w:name w:val="NMHC Intro Paragraph"/>
    <w:basedOn w:val="Normal"/>
    <w:qFormat/>
    <w:rsid w:val="0070216F"/>
    <w:pPr>
      <w:spacing w:before="60" w:after="300"/>
    </w:pPr>
    <w:rPr>
      <w:rFonts w:ascii="Merriweather-Regular" w:hAnsi="Merriweather-Regular"/>
      <w:color w:val="F15A31"/>
      <w:sz w:val="26"/>
    </w:rPr>
  </w:style>
  <w:style w:type="character" w:styleId="PageNumber">
    <w:name w:val="page number"/>
    <w:basedOn w:val="DefaultParagraphFont"/>
    <w:uiPriority w:val="99"/>
    <w:semiHidden/>
    <w:unhideWhenUsed/>
    <w:rsid w:val="00803754"/>
    <w:rPr>
      <w:rFonts w:ascii="Roboto-Bold" w:hAnsi="Roboto-Bold"/>
      <w:color w:val="5C626C"/>
      <w:sz w:val="16"/>
    </w:rPr>
  </w:style>
  <w:style w:type="character" w:styleId="Hyperlink">
    <w:name w:val="Hyperlink"/>
    <w:basedOn w:val="DefaultParagraphFont"/>
    <w:uiPriority w:val="99"/>
    <w:unhideWhenUsed/>
    <w:rsid w:val="009F2523"/>
    <w:rPr>
      <w:color w:val="2E3192"/>
      <w:u w:val="single"/>
    </w:rPr>
  </w:style>
  <w:style w:type="character" w:customStyle="1" w:styleId="UnresolvedMention1">
    <w:name w:val="Unresolved Mention1"/>
    <w:basedOn w:val="DefaultParagraphFont"/>
    <w:uiPriority w:val="99"/>
    <w:semiHidden/>
    <w:unhideWhenUsed/>
    <w:rsid w:val="00BB42C8"/>
    <w:rPr>
      <w:color w:val="605E5C"/>
      <w:shd w:val="clear" w:color="auto" w:fill="E1DFDD"/>
    </w:rPr>
  </w:style>
  <w:style w:type="character" w:styleId="FollowedHyperlink">
    <w:name w:val="FollowedHyperlink"/>
    <w:basedOn w:val="DefaultParagraphFont"/>
    <w:uiPriority w:val="99"/>
    <w:semiHidden/>
    <w:unhideWhenUsed/>
    <w:rsid w:val="00BB42C8"/>
    <w:rPr>
      <w:color w:val="954F72" w:themeColor="followedHyperlink"/>
      <w:u w:val="single"/>
    </w:rPr>
  </w:style>
  <w:style w:type="paragraph" w:customStyle="1" w:styleId="NMHCABN">
    <w:name w:val="NMHC_ABN"/>
    <w:basedOn w:val="Normal"/>
    <w:uiPriority w:val="99"/>
    <w:rsid w:val="006C2580"/>
    <w:pPr>
      <w:tabs>
        <w:tab w:val="left" w:pos="454"/>
      </w:tabs>
      <w:suppressAutoHyphens w:val="0"/>
      <w:spacing w:after="0"/>
      <w:jc w:val="right"/>
    </w:pPr>
    <w:rPr>
      <w:rFonts w:ascii="Roboto-Regular" w:hAnsi="Roboto-Regular" w:cs="Roboto-Regular"/>
      <w:color w:val="5C626C"/>
      <w:spacing w:val="-1"/>
      <w:sz w:val="14"/>
      <w:szCs w:val="14"/>
      <w14:textFill>
        <w14:solidFill>
          <w14:srgbClr w14:val="5C626C">
            <w14:alpha w14:val="25000"/>
          </w14:srgbClr>
        </w14:solidFill>
      </w14:textFill>
    </w:rPr>
  </w:style>
  <w:style w:type="paragraph" w:customStyle="1" w:styleId="NMHCNamestyle">
    <w:name w:val="NMHC Namestyle"/>
    <w:basedOn w:val="Normal"/>
    <w:uiPriority w:val="99"/>
    <w:rsid w:val="00803754"/>
    <w:pPr>
      <w:spacing w:after="0"/>
    </w:pPr>
    <w:rPr>
      <w:rFonts w:ascii="Roboto-Medium" w:hAnsi="Roboto-Medium" w:cs="Roboto-Medium"/>
      <w:color w:val="5C626C"/>
      <w:sz w:val="16"/>
      <w:szCs w:val="16"/>
    </w:rPr>
  </w:style>
  <w:style w:type="character" w:customStyle="1" w:styleId="Heading1Char">
    <w:name w:val="Heading 1 Char"/>
    <w:basedOn w:val="DefaultParagraphFont"/>
    <w:link w:val="Heading1"/>
    <w:uiPriority w:val="9"/>
    <w:rsid w:val="0070216F"/>
    <w:rPr>
      <w:rFonts w:ascii="Merriweather-Regular" w:eastAsiaTheme="majorEastAsia" w:hAnsi="Merriweather-Regular" w:cstheme="majorBidi"/>
      <w:color w:val="5C626C"/>
      <w:sz w:val="40"/>
      <w:szCs w:val="32"/>
      <w:lang w:val="en-GB"/>
    </w:rPr>
  </w:style>
  <w:style w:type="character" w:customStyle="1" w:styleId="Heading2Char">
    <w:name w:val="Heading 2 Char"/>
    <w:basedOn w:val="DefaultParagraphFont"/>
    <w:link w:val="Heading2"/>
    <w:uiPriority w:val="9"/>
    <w:rsid w:val="00DE007A"/>
    <w:rPr>
      <w:rFonts w:ascii="Roboto-Bold" w:eastAsiaTheme="majorEastAsia" w:hAnsi="Roboto-Bold" w:cstheme="majorBidi"/>
      <w:color w:val="5C626C"/>
      <w:sz w:val="26"/>
      <w:szCs w:val="26"/>
      <w:lang w:val="en-GB"/>
    </w:rPr>
  </w:style>
  <w:style w:type="character" w:customStyle="1" w:styleId="Heading3Char">
    <w:name w:val="Heading 3 Char"/>
    <w:basedOn w:val="DefaultParagraphFont"/>
    <w:link w:val="Heading3"/>
    <w:uiPriority w:val="9"/>
    <w:rsid w:val="00144B5B"/>
    <w:rPr>
      <w:rFonts w:ascii="Roboto" w:eastAsiaTheme="majorEastAsia" w:hAnsi="Roboto" w:cstheme="majorBidi"/>
      <w:b/>
      <w:color w:val="F7941D"/>
      <w:sz w:val="18"/>
      <w:lang w:val="en-GB"/>
    </w:rPr>
  </w:style>
  <w:style w:type="paragraph" w:styleId="ListParagraph">
    <w:name w:val="List Paragraph"/>
    <w:basedOn w:val="Normal"/>
    <w:uiPriority w:val="34"/>
    <w:qFormat/>
    <w:rsid w:val="00351AEB"/>
    <w:pPr>
      <w:numPr>
        <w:numId w:val="11"/>
      </w:numPr>
      <w:contextualSpacing/>
    </w:pPr>
  </w:style>
  <w:style w:type="paragraph" w:customStyle="1" w:styleId="NoParagraphStyle">
    <w:name w:val="[No Paragraph Style]"/>
    <w:rsid w:val="00000B8A"/>
    <w:pPr>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NMHCCoverNamestyle">
    <w:name w:val="NMHC_Cover_Namestyle"/>
    <w:basedOn w:val="NoParagraphStyle"/>
    <w:qFormat/>
    <w:rsid w:val="00144B5B"/>
    <w:pPr>
      <w:suppressAutoHyphens/>
      <w:spacing w:line="240" w:lineRule="auto"/>
    </w:pPr>
    <w:rPr>
      <w:rFonts w:ascii="Roboto Medium" w:hAnsi="Roboto Medium" w:cs="Roboto-Bold"/>
      <w:bCs/>
      <w:color w:val="F7941D"/>
      <w:sz w:val="28"/>
      <w:szCs w:val="30"/>
    </w:rPr>
  </w:style>
  <w:style w:type="paragraph" w:customStyle="1" w:styleId="Folio-DocumentNameFOLIO">
    <w:name w:val="Folio - Document Name (FOLIO)"/>
    <w:basedOn w:val="NoParagraphStyle"/>
    <w:uiPriority w:val="99"/>
    <w:rsid w:val="00737032"/>
    <w:pPr>
      <w:suppressAutoHyphens/>
      <w:spacing w:line="180" w:lineRule="atLeast"/>
    </w:pPr>
    <w:rPr>
      <w:rFonts w:ascii="Merriweather-Regular" w:hAnsi="Merriweather-Regular" w:cs="Merriweather"/>
      <w:color w:val="5C626C"/>
      <w:spacing w:val="-4"/>
      <w:sz w:val="18"/>
      <w:szCs w:val="18"/>
      <w:lang w:val="en-GB"/>
    </w:rPr>
  </w:style>
  <w:style w:type="character" w:customStyle="1" w:styleId="RobotoMediumRoboto">
    <w:name w:val="Roboto Medium (Roboto)"/>
    <w:uiPriority w:val="99"/>
    <w:rsid w:val="00737032"/>
    <w:rPr>
      <w:rFonts w:ascii="Roboto-Medium" w:hAnsi="Roboto-Medium" w:cs="Roboto-Medium"/>
    </w:rPr>
  </w:style>
  <w:style w:type="paragraph" w:styleId="BodyText">
    <w:name w:val="Body Text"/>
    <w:basedOn w:val="Normal"/>
    <w:link w:val="BodyTextChar"/>
    <w:uiPriority w:val="99"/>
    <w:semiHidden/>
    <w:unhideWhenUsed/>
    <w:rsid w:val="0086622E"/>
    <w:pPr>
      <w:spacing w:after="120"/>
    </w:pPr>
  </w:style>
  <w:style w:type="character" w:customStyle="1" w:styleId="BodyTextChar">
    <w:name w:val="Body Text Char"/>
    <w:basedOn w:val="DefaultParagraphFont"/>
    <w:link w:val="BodyText"/>
    <w:uiPriority w:val="99"/>
    <w:semiHidden/>
    <w:rsid w:val="0086622E"/>
    <w:rPr>
      <w:rFonts w:ascii="Roboto-Light" w:hAnsi="Roboto-Light" w:cs="Roboto-Light"/>
      <w:color w:val="000000"/>
      <w:sz w:val="22"/>
      <w:szCs w:val="22"/>
      <w:lang w:val="en-GB"/>
    </w:rPr>
  </w:style>
  <w:style w:type="paragraph" w:customStyle="1" w:styleId="NMHCEndsStatement">
    <w:name w:val="NMHC_Ends_Statement"/>
    <w:basedOn w:val="Normal"/>
    <w:qFormat/>
    <w:rsid w:val="0086622E"/>
    <w:pPr>
      <w:jc w:val="center"/>
    </w:pPr>
    <w:rPr>
      <w:b/>
      <w:bCs/>
      <w:color w:val="2E3192"/>
    </w:rPr>
  </w:style>
  <w:style w:type="character" w:customStyle="1" w:styleId="Heading4Char">
    <w:name w:val="Heading 4 Char"/>
    <w:basedOn w:val="DefaultParagraphFont"/>
    <w:link w:val="Heading4"/>
    <w:uiPriority w:val="9"/>
    <w:rsid w:val="00FD39E1"/>
    <w:rPr>
      <w:rFonts w:ascii="Roboto-Bold" w:hAnsi="Roboto-Bold" w:cs="Roboto-Light"/>
      <w:color w:val="000000" w:themeColor="text1"/>
      <w:sz w:val="18"/>
      <w:szCs w:val="22"/>
      <w:lang w:val="en-GB"/>
    </w:rPr>
  </w:style>
  <w:style w:type="paragraph" w:customStyle="1" w:styleId="NMHCCoverDate">
    <w:name w:val="NMHC_Cover_Date"/>
    <w:basedOn w:val="NMHCCoverNamestyle"/>
    <w:qFormat/>
    <w:rsid w:val="0013076E"/>
    <w:rPr>
      <w:color w:val="5C626C"/>
    </w:rPr>
  </w:style>
  <w:style w:type="paragraph" w:customStyle="1" w:styleId="NMHCCoverTitle">
    <w:name w:val="NMHC_Cover_Title"/>
    <w:basedOn w:val="Normal"/>
    <w:qFormat/>
    <w:rsid w:val="00660E2A"/>
    <w:pPr>
      <w:spacing w:after="0"/>
    </w:pPr>
    <w:rPr>
      <w:rFonts w:ascii="Merriweather-Regular" w:hAnsi="Merriweather-Regular"/>
      <w:color w:val="5C626C"/>
      <w:sz w:val="45"/>
      <w:lang w:val="en-AU"/>
    </w:rPr>
  </w:style>
  <w:style w:type="table" w:styleId="TableGrid">
    <w:name w:val="Table Grid"/>
    <w:basedOn w:val="TableNormal"/>
    <w:uiPriority w:val="39"/>
    <w:rsid w:val="0068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MHCTableName">
    <w:name w:val="NMHC_Table_Name"/>
    <w:basedOn w:val="Heading4"/>
    <w:qFormat/>
    <w:rsid w:val="00144B5B"/>
    <w:pPr>
      <w:spacing w:after="240"/>
    </w:pPr>
    <w:rPr>
      <w:rFonts w:ascii="Roboto Medium" w:hAnsi="Roboto Medium"/>
    </w:rPr>
  </w:style>
  <w:style w:type="paragraph" w:customStyle="1" w:styleId="NMHCTableHeaderRow">
    <w:name w:val="NMHC Table Header Row"/>
    <w:basedOn w:val="Normal"/>
    <w:qFormat/>
    <w:rsid w:val="00CF7F25"/>
    <w:pPr>
      <w:spacing w:after="0"/>
    </w:pPr>
    <w:rPr>
      <w:rFonts w:ascii="Roboto-Bold" w:hAnsi="Roboto-Bold"/>
      <w:color w:val="FFFFFF" w:themeColor="background1"/>
    </w:rPr>
  </w:style>
  <w:style w:type="paragraph" w:customStyle="1" w:styleId="NMHCTableSubheaderRow">
    <w:name w:val="NMHC_Table_Subheader_Row"/>
    <w:basedOn w:val="NMHCTableHeaderRow"/>
    <w:qFormat/>
    <w:rsid w:val="006D6142"/>
    <w:rPr>
      <w:color w:val="F7941D"/>
    </w:rPr>
  </w:style>
  <w:style w:type="paragraph" w:customStyle="1" w:styleId="TableBody8ptRJTABLES">
    <w:name w:val="Table Body 8pt RJ (TABLES)"/>
    <w:basedOn w:val="Normal"/>
    <w:uiPriority w:val="99"/>
    <w:rsid w:val="006D6142"/>
    <w:pPr>
      <w:keepNext/>
      <w:tabs>
        <w:tab w:val="left" w:pos="388"/>
        <w:tab w:val="left" w:pos="466"/>
      </w:tabs>
      <w:spacing w:after="57" w:line="160" w:lineRule="atLeast"/>
      <w:jc w:val="right"/>
    </w:pPr>
    <w:rPr>
      <w:sz w:val="16"/>
      <w:szCs w:val="16"/>
    </w:rPr>
  </w:style>
  <w:style w:type="paragraph" w:customStyle="1" w:styleId="NMHCTableNormal">
    <w:name w:val="NMHC_Table_Normal"/>
    <w:basedOn w:val="Normal"/>
    <w:qFormat/>
    <w:rsid w:val="00C81BCF"/>
    <w:pPr>
      <w:spacing w:after="0"/>
    </w:pPr>
    <w:rPr>
      <w:sz w:val="16"/>
    </w:rPr>
  </w:style>
  <w:style w:type="paragraph" w:customStyle="1" w:styleId="NMHCTableFootnote">
    <w:name w:val="NMHC_Table_Footnote"/>
    <w:basedOn w:val="Normal"/>
    <w:qFormat/>
    <w:rsid w:val="00C81BCF"/>
    <w:pPr>
      <w:spacing w:after="0"/>
    </w:pPr>
    <w:rPr>
      <w:color w:val="808080" w:themeColor="background1" w:themeShade="80"/>
      <w:sz w:val="16"/>
    </w:rPr>
  </w:style>
  <w:style w:type="character" w:customStyle="1" w:styleId="UnresolvedMention2">
    <w:name w:val="Unresolved Mention2"/>
    <w:basedOn w:val="DefaultParagraphFont"/>
    <w:uiPriority w:val="99"/>
    <w:semiHidden/>
    <w:unhideWhenUsed/>
    <w:rsid w:val="00731C2A"/>
    <w:rPr>
      <w:color w:val="605E5C"/>
      <w:shd w:val="clear" w:color="auto" w:fill="E1DFDD"/>
    </w:rPr>
  </w:style>
  <w:style w:type="paragraph" w:styleId="NormalWeb">
    <w:name w:val="Normal (Web)"/>
    <w:basedOn w:val="Normal"/>
    <w:uiPriority w:val="99"/>
    <w:unhideWhenUsed/>
    <w:rsid w:val="004626FC"/>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EE4A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4A34"/>
    <w:rPr>
      <w:rFonts w:ascii="Roboto-Light" w:hAnsi="Roboto-Light" w:cs="Roboto-Light"/>
      <w:color w:val="000000"/>
      <w:sz w:val="20"/>
      <w:szCs w:val="20"/>
      <w:lang w:val="en-GB"/>
    </w:rPr>
  </w:style>
  <w:style w:type="character" w:styleId="EndnoteReference">
    <w:name w:val="endnote reference"/>
    <w:basedOn w:val="DefaultParagraphFont"/>
    <w:uiPriority w:val="99"/>
    <w:semiHidden/>
    <w:unhideWhenUsed/>
    <w:rsid w:val="00EE4A34"/>
    <w:rPr>
      <w:vertAlign w:val="superscript"/>
    </w:rPr>
  </w:style>
  <w:style w:type="paragraph" w:styleId="TOCHeading">
    <w:name w:val="TOC Heading"/>
    <w:basedOn w:val="Heading1"/>
    <w:next w:val="Normal"/>
    <w:uiPriority w:val="39"/>
    <w:unhideWhenUsed/>
    <w:qFormat/>
    <w:rsid w:val="00176F48"/>
    <w:pPr>
      <w:suppressAutoHyphens w:val="0"/>
      <w:autoSpaceDE/>
      <w:autoSpaceDN/>
      <w:adjustRightInd/>
      <w:spacing w:before="240" w:after="0" w:line="259" w:lineRule="auto"/>
      <w:textAlignment w:val="auto"/>
      <w:outlineLvl w:val="9"/>
    </w:pPr>
    <w:rPr>
      <w:rFonts w:asciiTheme="majorHAnsi" w:hAnsiTheme="majorHAnsi"/>
      <w:color w:val="2F5496" w:themeColor="accent1" w:themeShade="BF"/>
      <w:sz w:val="32"/>
      <w:lang w:val="en-US"/>
    </w:rPr>
  </w:style>
  <w:style w:type="paragraph" w:styleId="TOC2">
    <w:name w:val="toc 2"/>
    <w:basedOn w:val="Normal"/>
    <w:next w:val="Normal"/>
    <w:autoRedefine/>
    <w:uiPriority w:val="39"/>
    <w:unhideWhenUsed/>
    <w:rsid w:val="00176F48"/>
    <w:pPr>
      <w:spacing w:after="100"/>
      <w:ind w:left="180"/>
    </w:pPr>
  </w:style>
  <w:style w:type="paragraph" w:styleId="TOC3">
    <w:name w:val="toc 3"/>
    <w:basedOn w:val="Normal"/>
    <w:next w:val="Normal"/>
    <w:autoRedefine/>
    <w:uiPriority w:val="39"/>
    <w:unhideWhenUsed/>
    <w:rsid w:val="00176F48"/>
    <w:pPr>
      <w:spacing w:after="100"/>
      <w:ind w:left="360"/>
    </w:pPr>
  </w:style>
  <w:style w:type="paragraph" w:styleId="TOC1">
    <w:name w:val="toc 1"/>
    <w:basedOn w:val="Normal"/>
    <w:next w:val="Normal"/>
    <w:autoRedefine/>
    <w:uiPriority w:val="39"/>
    <w:unhideWhenUsed/>
    <w:rsid w:val="004E4ABE"/>
    <w:pPr>
      <w:spacing w:after="100"/>
    </w:pPr>
  </w:style>
  <w:style w:type="paragraph" w:styleId="BalloonText">
    <w:name w:val="Balloon Text"/>
    <w:basedOn w:val="Normal"/>
    <w:link w:val="BalloonTextChar"/>
    <w:uiPriority w:val="99"/>
    <w:semiHidden/>
    <w:unhideWhenUsed/>
    <w:rsid w:val="002201C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201C1"/>
    <w:rPr>
      <w:rFonts w:ascii="Segoe UI" w:hAnsi="Segoe UI" w:cs="Segoe UI"/>
      <w:color w:val="000000"/>
      <w:sz w:val="18"/>
      <w:szCs w:val="18"/>
      <w:lang w:val="en-GB"/>
    </w:rPr>
  </w:style>
  <w:style w:type="character" w:styleId="CommentReference">
    <w:name w:val="annotation reference"/>
    <w:basedOn w:val="DefaultParagraphFont"/>
    <w:uiPriority w:val="99"/>
    <w:semiHidden/>
    <w:unhideWhenUsed/>
    <w:rsid w:val="00D435CA"/>
    <w:rPr>
      <w:sz w:val="16"/>
      <w:szCs w:val="16"/>
    </w:rPr>
  </w:style>
  <w:style w:type="paragraph" w:styleId="CommentText">
    <w:name w:val="annotation text"/>
    <w:basedOn w:val="Normal"/>
    <w:link w:val="CommentTextChar"/>
    <w:uiPriority w:val="99"/>
    <w:unhideWhenUsed/>
    <w:rsid w:val="00D435CA"/>
    <w:pPr>
      <w:spacing w:line="240" w:lineRule="auto"/>
    </w:pPr>
    <w:rPr>
      <w:sz w:val="20"/>
      <w:szCs w:val="20"/>
    </w:rPr>
  </w:style>
  <w:style w:type="character" w:customStyle="1" w:styleId="CommentTextChar">
    <w:name w:val="Comment Text Char"/>
    <w:basedOn w:val="DefaultParagraphFont"/>
    <w:link w:val="CommentText"/>
    <w:uiPriority w:val="99"/>
    <w:rsid w:val="00D435CA"/>
    <w:rPr>
      <w:rFonts w:ascii="Roboto-Light" w:hAnsi="Roboto-Light" w:cs="Roboto-Ligh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D435CA"/>
    <w:rPr>
      <w:b/>
      <w:bCs/>
    </w:rPr>
  </w:style>
  <w:style w:type="character" w:customStyle="1" w:styleId="CommentSubjectChar">
    <w:name w:val="Comment Subject Char"/>
    <w:basedOn w:val="CommentTextChar"/>
    <w:link w:val="CommentSubject"/>
    <w:uiPriority w:val="99"/>
    <w:semiHidden/>
    <w:rsid w:val="00D435CA"/>
    <w:rPr>
      <w:rFonts w:ascii="Roboto-Light" w:hAnsi="Roboto-Light" w:cs="Roboto-Light"/>
      <w:b/>
      <w:bCs/>
      <w:color w:val="000000"/>
      <w:sz w:val="20"/>
      <w:szCs w:val="20"/>
      <w:lang w:val="en-GB"/>
    </w:rPr>
  </w:style>
  <w:style w:type="character" w:customStyle="1" w:styleId="UnresolvedMention">
    <w:name w:val="Unresolved Mention"/>
    <w:basedOn w:val="DefaultParagraphFont"/>
    <w:uiPriority w:val="99"/>
    <w:semiHidden/>
    <w:unhideWhenUsed/>
    <w:rsid w:val="00285226"/>
    <w:rPr>
      <w:color w:val="605E5C"/>
      <w:shd w:val="clear" w:color="auto" w:fill="E1DFDD"/>
    </w:rPr>
  </w:style>
  <w:style w:type="paragraph" w:styleId="NoSpacing">
    <w:name w:val="No Spacing"/>
    <w:uiPriority w:val="1"/>
    <w:qFormat/>
    <w:rsid w:val="00DF3A5F"/>
    <w:pPr>
      <w:suppressAutoHyphens/>
      <w:autoSpaceDE w:val="0"/>
      <w:autoSpaceDN w:val="0"/>
      <w:adjustRightInd w:val="0"/>
      <w:textAlignment w:val="center"/>
    </w:pPr>
    <w:rPr>
      <w:rFonts w:ascii="Roboto-Light" w:hAnsi="Roboto-Light" w:cs="Roboto-Light"/>
      <w:color w:val="000000"/>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28311">
      <w:bodyDiv w:val="1"/>
      <w:marLeft w:val="0"/>
      <w:marRight w:val="0"/>
      <w:marTop w:val="0"/>
      <w:marBottom w:val="0"/>
      <w:divBdr>
        <w:top w:val="none" w:sz="0" w:space="0" w:color="auto"/>
        <w:left w:val="none" w:sz="0" w:space="0" w:color="auto"/>
        <w:bottom w:val="none" w:sz="0" w:space="0" w:color="auto"/>
        <w:right w:val="none" w:sz="0" w:space="0" w:color="auto"/>
      </w:divBdr>
      <w:divsChild>
        <w:div w:id="1228300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934241">
              <w:marLeft w:val="0"/>
              <w:marRight w:val="0"/>
              <w:marTop w:val="0"/>
              <w:marBottom w:val="0"/>
              <w:divBdr>
                <w:top w:val="none" w:sz="0" w:space="0" w:color="auto"/>
                <w:left w:val="none" w:sz="0" w:space="0" w:color="auto"/>
                <w:bottom w:val="none" w:sz="0" w:space="0" w:color="auto"/>
                <w:right w:val="none" w:sz="0" w:space="0" w:color="auto"/>
              </w:divBdr>
              <w:divsChild>
                <w:div w:id="901914946">
                  <w:marLeft w:val="0"/>
                  <w:marRight w:val="0"/>
                  <w:marTop w:val="0"/>
                  <w:marBottom w:val="0"/>
                  <w:divBdr>
                    <w:top w:val="none" w:sz="0" w:space="0" w:color="auto"/>
                    <w:left w:val="none" w:sz="0" w:space="0" w:color="auto"/>
                    <w:bottom w:val="none" w:sz="0" w:space="0" w:color="auto"/>
                    <w:right w:val="none" w:sz="0" w:space="0" w:color="auto"/>
                  </w:divBdr>
                  <w:divsChild>
                    <w:div w:id="437525767">
                      <w:marLeft w:val="0"/>
                      <w:marRight w:val="0"/>
                      <w:marTop w:val="0"/>
                      <w:marBottom w:val="0"/>
                      <w:divBdr>
                        <w:top w:val="none" w:sz="0" w:space="0" w:color="auto"/>
                        <w:left w:val="none" w:sz="0" w:space="0" w:color="auto"/>
                        <w:bottom w:val="none" w:sz="0" w:space="0" w:color="auto"/>
                        <w:right w:val="none" w:sz="0" w:space="0" w:color="auto"/>
                      </w:divBdr>
                      <w:divsChild>
                        <w:div w:id="155583826">
                          <w:marLeft w:val="0"/>
                          <w:marRight w:val="0"/>
                          <w:marTop w:val="0"/>
                          <w:marBottom w:val="0"/>
                          <w:divBdr>
                            <w:top w:val="none" w:sz="0" w:space="0" w:color="auto"/>
                            <w:left w:val="none" w:sz="0" w:space="0" w:color="auto"/>
                            <w:bottom w:val="none" w:sz="0" w:space="0" w:color="auto"/>
                            <w:right w:val="none" w:sz="0" w:space="0" w:color="auto"/>
                          </w:divBdr>
                          <w:divsChild>
                            <w:div w:id="105153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096931">
      <w:bodyDiv w:val="1"/>
      <w:marLeft w:val="0"/>
      <w:marRight w:val="0"/>
      <w:marTop w:val="0"/>
      <w:marBottom w:val="0"/>
      <w:divBdr>
        <w:top w:val="none" w:sz="0" w:space="0" w:color="auto"/>
        <w:left w:val="none" w:sz="0" w:space="0" w:color="auto"/>
        <w:bottom w:val="none" w:sz="0" w:space="0" w:color="auto"/>
        <w:right w:val="none" w:sz="0" w:space="0" w:color="auto"/>
      </w:divBdr>
    </w:div>
    <w:div w:id="650210757">
      <w:bodyDiv w:val="1"/>
      <w:marLeft w:val="0"/>
      <w:marRight w:val="0"/>
      <w:marTop w:val="0"/>
      <w:marBottom w:val="0"/>
      <w:divBdr>
        <w:top w:val="none" w:sz="0" w:space="0" w:color="auto"/>
        <w:left w:val="none" w:sz="0" w:space="0" w:color="auto"/>
        <w:bottom w:val="none" w:sz="0" w:space="0" w:color="auto"/>
        <w:right w:val="none" w:sz="0" w:space="0" w:color="auto"/>
      </w:divBdr>
    </w:div>
    <w:div w:id="682393195">
      <w:bodyDiv w:val="1"/>
      <w:marLeft w:val="0"/>
      <w:marRight w:val="0"/>
      <w:marTop w:val="0"/>
      <w:marBottom w:val="0"/>
      <w:divBdr>
        <w:top w:val="none" w:sz="0" w:space="0" w:color="auto"/>
        <w:left w:val="none" w:sz="0" w:space="0" w:color="auto"/>
        <w:bottom w:val="none" w:sz="0" w:space="0" w:color="auto"/>
        <w:right w:val="none" w:sz="0" w:space="0" w:color="auto"/>
      </w:divBdr>
    </w:div>
    <w:div w:id="828789967">
      <w:bodyDiv w:val="1"/>
      <w:marLeft w:val="0"/>
      <w:marRight w:val="0"/>
      <w:marTop w:val="0"/>
      <w:marBottom w:val="0"/>
      <w:divBdr>
        <w:top w:val="none" w:sz="0" w:space="0" w:color="auto"/>
        <w:left w:val="none" w:sz="0" w:space="0" w:color="auto"/>
        <w:bottom w:val="none" w:sz="0" w:space="0" w:color="auto"/>
        <w:right w:val="none" w:sz="0" w:space="0" w:color="auto"/>
      </w:divBdr>
    </w:div>
    <w:div w:id="1158762738">
      <w:bodyDiv w:val="1"/>
      <w:marLeft w:val="0"/>
      <w:marRight w:val="0"/>
      <w:marTop w:val="0"/>
      <w:marBottom w:val="0"/>
      <w:divBdr>
        <w:top w:val="none" w:sz="0" w:space="0" w:color="auto"/>
        <w:left w:val="none" w:sz="0" w:space="0" w:color="auto"/>
        <w:bottom w:val="none" w:sz="0" w:space="0" w:color="auto"/>
        <w:right w:val="none" w:sz="0" w:space="0" w:color="auto"/>
      </w:divBdr>
    </w:div>
    <w:div w:id="1166631588">
      <w:bodyDiv w:val="1"/>
      <w:marLeft w:val="0"/>
      <w:marRight w:val="0"/>
      <w:marTop w:val="0"/>
      <w:marBottom w:val="0"/>
      <w:divBdr>
        <w:top w:val="none" w:sz="0" w:space="0" w:color="auto"/>
        <w:left w:val="none" w:sz="0" w:space="0" w:color="auto"/>
        <w:bottom w:val="none" w:sz="0" w:space="0" w:color="auto"/>
        <w:right w:val="none" w:sz="0" w:space="0" w:color="auto"/>
      </w:divBdr>
    </w:div>
    <w:div w:id="1170364776">
      <w:bodyDiv w:val="1"/>
      <w:marLeft w:val="0"/>
      <w:marRight w:val="0"/>
      <w:marTop w:val="0"/>
      <w:marBottom w:val="0"/>
      <w:divBdr>
        <w:top w:val="none" w:sz="0" w:space="0" w:color="auto"/>
        <w:left w:val="none" w:sz="0" w:space="0" w:color="auto"/>
        <w:bottom w:val="none" w:sz="0" w:space="0" w:color="auto"/>
        <w:right w:val="none" w:sz="0" w:space="0" w:color="auto"/>
      </w:divBdr>
      <w:divsChild>
        <w:div w:id="1554923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165431">
              <w:marLeft w:val="0"/>
              <w:marRight w:val="0"/>
              <w:marTop w:val="0"/>
              <w:marBottom w:val="0"/>
              <w:divBdr>
                <w:top w:val="none" w:sz="0" w:space="0" w:color="auto"/>
                <w:left w:val="none" w:sz="0" w:space="0" w:color="auto"/>
                <w:bottom w:val="none" w:sz="0" w:space="0" w:color="auto"/>
                <w:right w:val="none" w:sz="0" w:space="0" w:color="auto"/>
              </w:divBdr>
              <w:divsChild>
                <w:div w:id="891308960">
                  <w:marLeft w:val="0"/>
                  <w:marRight w:val="0"/>
                  <w:marTop w:val="0"/>
                  <w:marBottom w:val="0"/>
                  <w:divBdr>
                    <w:top w:val="none" w:sz="0" w:space="0" w:color="auto"/>
                    <w:left w:val="none" w:sz="0" w:space="0" w:color="auto"/>
                    <w:bottom w:val="none" w:sz="0" w:space="0" w:color="auto"/>
                    <w:right w:val="none" w:sz="0" w:space="0" w:color="auto"/>
                  </w:divBdr>
                  <w:divsChild>
                    <w:div w:id="722565290">
                      <w:marLeft w:val="0"/>
                      <w:marRight w:val="0"/>
                      <w:marTop w:val="0"/>
                      <w:marBottom w:val="0"/>
                      <w:divBdr>
                        <w:top w:val="none" w:sz="0" w:space="0" w:color="auto"/>
                        <w:left w:val="none" w:sz="0" w:space="0" w:color="auto"/>
                        <w:bottom w:val="none" w:sz="0" w:space="0" w:color="auto"/>
                        <w:right w:val="none" w:sz="0" w:space="0" w:color="auto"/>
                      </w:divBdr>
                      <w:divsChild>
                        <w:div w:id="1624386687">
                          <w:marLeft w:val="0"/>
                          <w:marRight w:val="0"/>
                          <w:marTop w:val="0"/>
                          <w:marBottom w:val="0"/>
                          <w:divBdr>
                            <w:top w:val="none" w:sz="0" w:space="0" w:color="auto"/>
                            <w:left w:val="none" w:sz="0" w:space="0" w:color="auto"/>
                            <w:bottom w:val="none" w:sz="0" w:space="0" w:color="auto"/>
                            <w:right w:val="none" w:sz="0" w:space="0" w:color="auto"/>
                          </w:divBdr>
                          <w:divsChild>
                            <w:div w:id="19111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88007">
      <w:bodyDiv w:val="1"/>
      <w:marLeft w:val="0"/>
      <w:marRight w:val="0"/>
      <w:marTop w:val="0"/>
      <w:marBottom w:val="0"/>
      <w:divBdr>
        <w:top w:val="none" w:sz="0" w:space="0" w:color="auto"/>
        <w:left w:val="none" w:sz="0" w:space="0" w:color="auto"/>
        <w:bottom w:val="none" w:sz="0" w:space="0" w:color="auto"/>
        <w:right w:val="none" w:sz="0" w:space="0" w:color="auto"/>
      </w:divBdr>
    </w:div>
    <w:div w:id="1716806365">
      <w:bodyDiv w:val="1"/>
      <w:marLeft w:val="0"/>
      <w:marRight w:val="0"/>
      <w:marTop w:val="0"/>
      <w:marBottom w:val="0"/>
      <w:divBdr>
        <w:top w:val="none" w:sz="0" w:space="0" w:color="auto"/>
        <w:left w:val="none" w:sz="0" w:space="0" w:color="auto"/>
        <w:bottom w:val="none" w:sz="0" w:space="0" w:color="auto"/>
        <w:right w:val="none" w:sz="0" w:space="0" w:color="auto"/>
      </w:divBdr>
    </w:div>
    <w:div w:id="1752582935">
      <w:bodyDiv w:val="1"/>
      <w:marLeft w:val="0"/>
      <w:marRight w:val="0"/>
      <w:marTop w:val="0"/>
      <w:marBottom w:val="0"/>
      <w:divBdr>
        <w:top w:val="none" w:sz="0" w:space="0" w:color="auto"/>
        <w:left w:val="none" w:sz="0" w:space="0" w:color="auto"/>
        <w:bottom w:val="none" w:sz="0" w:space="0" w:color="auto"/>
        <w:right w:val="none" w:sz="0" w:space="0" w:color="auto"/>
      </w:divBdr>
    </w:div>
    <w:div w:id="1819181054">
      <w:bodyDiv w:val="1"/>
      <w:marLeft w:val="0"/>
      <w:marRight w:val="0"/>
      <w:marTop w:val="0"/>
      <w:marBottom w:val="0"/>
      <w:divBdr>
        <w:top w:val="none" w:sz="0" w:space="0" w:color="auto"/>
        <w:left w:val="none" w:sz="0" w:space="0" w:color="auto"/>
        <w:bottom w:val="none" w:sz="0" w:space="0" w:color="auto"/>
        <w:right w:val="none" w:sz="0" w:space="0" w:color="auto"/>
      </w:divBdr>
      <w:divsChild>
        <w:div w:id="299531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788391">
              <w:marLeft w:val="0"/>
              <w:marRight w:val="0"/>
              <w:marTop w:val="0"/>
              <w:marBottom w:val="0"/>
              <w:divBdr>
                <w:top w:val="none" w:sz="0" w:space="0" w:color="auto"/>
                <w:left w:val="none" w:sz="0" w:space="0" w:color="auto"/>
                <w:bottom w:val="none" w:sz="0" w:space="0" w:color="auto"/>
                <w:right w:val="none" w:sz="0" w:space="0" w:color="auto"/>
              </w:divBdr>
              <w:divsChild>
                <w:div w:id="909998945">
                  <w:marLeft w:val="0"/>
                  <w:marRight w:val="0"/>
                  <w:marTop w:val="0"/>
                  <w:marBottom w:val="0"/>
                  <w:divBdr>
                    <w:top w:val="none" w:sz="0" w:space="0" w:color="auto"/>
                    <w:left w:val="none" w:sz="0" w:space="0" w:color="auto"/>
                    <w:bottom w:val="none" w:sz="0" w:space="0" w:color="auto"/>
                    <w:right w:val="none" w:sz="0" w:space="0" w:color="auto"/>
                  </w:divBdr>
                  <w:divsChild>
                    <w:div w:id="858590937">
                      <w:marLeft w:val="0"/>
                      <w:marRight w:val="0"/>
                      <w:marTop w:val="0"/>
                      <w:marBottom w:val="0"/>
                      <w:divBdr>
                        <w:top w:val="none" w:sz="0" w:space="0" w:color="auto"/>
                        <w:left w:val="none" w:sz="0" w:space="0" w:color="auto"/>
                        <w:bottom w:val="none" w:sz="0" w:space="0" w:color="auto"/>
                        <w:right w:val="none" w:sz="0" w:space="0" w:color="auto"/>
                      </w:divBdr>
                      <w:divsChild>
                        <w:div w:id="776170668">
                          <w:marLeft w:val="0"/>
                          <w:marRight w:val="0"/>
                          <w:marTop w:val="0"/>
                          <w:marBottom w:val="0"/>
                          <w:divBdr>
                            <w:top w:val="none" w:sz="0" w:space="0" w:color="auto"/>
                            <w:left w:val="none" w:sz="0" w:space="0" w:color="auto"/>
                            <w:bottom w:val="none" w:sz="0" w:space="0" w:color="auto"/>
                            <w:right w:val="none" w:sz="0" w:space="0" w:color="auto"/>
                          </w:divBdr>
                          <w:divsChild>
                            <w:div w:id="6593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821480">
      <w:bodyDiv w:val="1"/>
      <w:marLeft w:val="0"/>
      <w:marRight w:val="0"/>
      <w:marTop w:val="0"/>
      <w:marBottom w:val="0"/>
      <w:divBdr>
        <w:top w:val="none" w:sz="0" w:space="0" w:color="auto"/>
        <w:left w:val="none" w:sz="0" w:space="0" w:color="auto"/>
        <w:bottom w:val="none" w:sz="0" w:space="0" w:color="auto"/>
        <w:right w:val="none" w:sz="0" w:space="0" w:color="auto"/>
      </w:divBdr>
    </w:div>
    <w:div w:id="20056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x.hains@mentalhealthcommiss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www.tepou.co.nz/uploads/files/resources/scope-it-right-literature-review.pdf" TargetMode="External"/><Relationship Id="rId2" Type="http://schemas.openxmlformats.org/officeDocument/2006/relationships/hyperlink" Target="https://www.health.qld.gov.au/ahwac/html/full-scope" TargetMode="External"/><Relationship Id="rId1" Type="http://schemas.openxmlformats.org/officeDocument/2006/relationships/hyperlink" Target="https://www.health.gov.au/resources/publications/national-mental-health-workforce-strategy-a-literature-review" TargetMode="External"/><Relationship Id="rId5" Type="http://schemas.openxmlformats.org/officeDocument/2006/relationships/hyperlink" Target="https://www.pc.gov.au/__data/assets/pdf_file/0012/240204/sub107-mental-health.pdf" TargetMode="External"/><Relationship Id="rId4" Type="http://schemas.openxmlformats.org/officeDocument/2006/relationships/hyperlink" Target="http://ruralhealth.org.au/sites/default/files/position-papers/position-paper-04-04-0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34c40f-0e9e-4ca5-98f9-cc53f36982b6">
      <UserInfo>
        <DisplayName/>
        <AccountId xsi:nil="true"/>
        <AccountType/>
      </UserInfo>
    </SharedWithUsers>
    <Content xmlns="6334e7fa-d0df-4bfb-8cfd-82a76258fe63">Enter content</Cont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021015682C704292D64C0EF0FF33BF" ma:contentTypeVersion="14" ma:contentTypeDescription="Create a new document." ma:contentTypeScope="" ma:versionID="aeeef0d2e5e2c6aadd7a07154b4c5773">
  <xsd:schema xmlns:xsd="http://www.w3.org/2001/XMLSchema" xmlns:xs="http://www.w3.org/2001/XMLSchema" xmlns:p="http://schemas.microsoft.com/office/2006/metadata/properties" xmlns:ns2="6334e7fa-d0df-4bfb-8cfd-82a76258fe63" xmlns:ns3="2b34c40f-0e9e-4ca5-98f9-cc53f36982b6" targetNamespace="http://schemas.microsoft.com/office/2006/metadata/properties" ma:root="true" ma:fieldsID="fd5cd5c1e54898d8989c8355fc10846b" ns2:_="" ns3:_="">
    <xsd:import namespace="6334e7fa-d0df-4bfb-8cfd-82a76258fe63"/>
    <xsd:import namespace="2b34c40f-0e9e-4ca5-98f9-cc53f36982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4e7fa-d0df-4bfb-8cfd-82a76258f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ntent" ma:index="20" nillable="true" ma:displayName="Content" ma:default="Enter content" ma:format="Dropdown" ma:internalName="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34c40f-0e9e-4ca5-98f9-cc53f36982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C5E38-E3CB-4ABD-97D2-8920024C8D7B}">
  <ds:schemaRefs>
    <ds:schemaRef ds:uri="2b34c40f-0e9e-4ca5-98f9-cc53f36982b6"/>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6334e7fa-d0df-4bfb-8cfd-82a76258fe63"/>
    <ds:schemaRef ds:uri="http://www.w3.org/XML/1998/namespace"/>
  </ds:schemaRefs>
</ds:datastoreItem>
</file>

<file path=customXml/itemProps2.xml><?xml version="1.0" encoding="utf-8"?>
<ds:datastoreItem xmlns:ds="http://schemas.openxmlformats.org/officeDocument/2006/customXml" ds:itemID="{42CC7A5D-9944-4187-B738-4EF009DFB477}">
  <ds:schemaRefs>
    <ds:schemaRef ds:uri="http://schemas.microsoft.com/sharepoint/v3/contenttype/forms"/>
  </ds:schemaRefs>
</ds:datastoreItem>
</file>

<file path=customXml/itemProps3.xml><?xml version="1.0" encoding="utf-8"?>
<ds:datastoreItem xmlns:ds="http://schemas.openxmlformats.org/officeDocument/2006/customXml" ds:itemID="{28C466F6-7AE4-448C-8085-A9BD3A30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4e7fa-d0df-4bfb-8cfd-82a76258fe63"/>
    <ds:schemaRef ds:uri="2b34c40f-0e9e-4ca5-98f9-cc53f3698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33286-DCAB-4E22-9207-A28BF2A2B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6949</Words>
  <Characters>39613</Characters>
  <Application>Microsoft Office Word</Application>
  <DocSecurity>4</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46470</CharactersWithSpaces>
  <SharedDoc>false</SharedDoc>
  <HLinks>
    <vt:vector size="252" baseType="variant">
      <vt:variant>
        <vt:i4>7864397</vt:i4>
      </vt:variant>
      <vt:variant>
        <vt:i4>198</vt:i4>
      </vt:variant>
      <vt:variant>
        <vt:i4>0</vt:i4>
      </vt:variant>
      <vt:variant>
        <vt:i4>5</vt:i4>
      </vt:variant>
      <vt:variant>
        <vt:lpwstr/>
      </vt:variant>
      <vt:variant>
        <vt:lpwstr>_The_rural_and</vt:lpwstr>
      </vt:variant>
      <vt:variant>
        <vt:i4>1441840</vt:i4>
      </vt:variant>
      <vt:variant>
        <vt:i4>195</vt:i4>
      </vt:variant>
      <vt:variant>
        <vt:i4>0</vt:i4>
      </vt:variant>
      <vt:variant>
        <vt:i4>5</vt:i4>
      </vt:variant>
      <vt:variant>
        <vt:lpwstr/>
      </vt:variant>
      <vt:variant>
        <vt:lpwstr>_Section_6:_The</vt:lpwstr>
      </vt:variant>
      <vt:variant>
        <vt:i4>7864397</vt:i4>
      </vt:variant>
      <vt:variant>
        <vt:i4>192</vt:i4>
      </vt:variant>
      <vt:variant>
        <vt:i4>0</vt:i4>
      </vt:variant>
      <vt:variant>
        <vt:i4>5</vt:i4>
      </vt:variant>
      <vt:variant>
        <vt:lpwstr/>
      </vt:variant>
      <vt:variant>
        <vt:lpwstr>_The_rural_and</vt:lpwstr>
      </vt:variant>
      <vt:variant>
        <vt:i4>1441840</vt:i4>
      </vt:variant>
      <vt:variant>
        <vt:i4>189</vt:i4>
      </vt:variant>
      <vt:variant>
        <vt:i4>0</vt:i4>
      </vt:variant>
      <vt:variant>
        <vt:i4>5</vt:i4>
      </vt:variant>
      <vt:variant>
        <vt:lpwstr/>
      </vt:variant>
      <vt:variant>
        <vt:lpwstr>_Section_6:_The</vt:lpwstr>
      </vt:variant>
      <vt:variant>
        <vt:i4>1376304</vt:i4>
      </vt:variant>
      <vt:variant>
        <vt:i4>186</vt:i4>
      </vt:variant>
      <vt:variant>
        <vt:i4>0</vt:i4>
      </vt:variant>
      <vt:variant>
        <vt:i4>5</vt:i4>
      </vt:variant>
      <vt:variant>
        <vt:lpwstr/>
      </vt:variant>
      <vt:variant>
        <vt:lpwstr>_Section_5:_The</vt:lpwstr>
      </vt:variant>
      <vt:variant>
        <vt:i4>5177457</vt:i4>
      </vt:variant>
      <vt:variant>
        <vt:i4>183</vt:i4>
      </vt:variant>
      <vt:variant>
        <vt:i4>0</vt:i4>
      </vt:variant>
      <vt:variant>
        <vt:i4>5</vt:i4>
      </vt:variant>
      <vt:variant>
        <vt:lpwstr/>
      </vt:variant>
      <vt:variant>
        <vt:lpwstr>_Working_to_top</vt:lpwstr>
      </vt:variant>
      <vt:variant>
        <vt:i4>6946880</vt:i4>
      </vt:variant>
      <vt:variant>
        <vt:i4>180</vt:i4>
      </vt:variant>
      <vt:variant>
        <vt:i4>0</vt:i4>
      </vt:variant>
      <vt:variant>
        <vt:i4>5</vt:i4>
      </vt:variant>
      <vt:variant>
        <vt:lpwstr/>
      </vt:variant>
      <vt:variant>
        <vt:lpwstr>_Roles_and_responsibilities</vt:lpwstr>
      </vt:variant>
      <vt:variant>
        <vt:i4>1900583</vt:i4>
      </vt:variant>
      <vt:variant>
        <vt:i4>177</vt:i4>
      </vt:variant>
      <vt:variant>
        <vt:i4>0</vt:i4>
      </vt:variant>
      <vt:variant>
        <vt:i4>5</vt:i4>
      </vt:variant>
      <vt:variant>
        <vt:lpwstr>mailto:alex.hains@mentalhealthcommission.gov.au</vt:lpwstr>
      </vt:variant>
      <vt:variant>
        <vt:lpwstr/>
      </vt:variant>
      <vt:variant>
        <vt:i4>1245245</vt:i4>
      </vt:variant>
      <vt:variant>
        <vt:i4>170</vt:i4>
      </vt:variant>
      <vt:variant>
        <vt:i4>0</vt:i4>
      </vt:variant>
      <vt:variant>
        <vt:i4>5</vt:i4>
      </vt:variant>
      <vt:variant>
        <vt:lpwstr/>
      </vt:variant>
      <vt:variant>
        <vt:lpwstr>_Toc83726144</vt:lpwstr>
      </vt:variant>
      <vt:variant>
        <vt:i4>1310781</vt:i4>
      </vt:variant>
      <vt:variant>
        <vt:i4>164</vt:i4>
      </vt:variant>
      <vt:variant>
        <vt:i4>0</vt:i4>
      </vt:variant>
      <vt:variant>
        <vt:i4>5</vt:i4>
      </vt:variant>
      <vt:variant>
        <vt:lpwstr/>
      </vt:variant>
      <vt:variant>
        <vt:lpwstr>_Toc83726143</vt:lpwstr>
      </vt:variant>
      <vt:variant>
        <vt:i4>1376317</vt:i4>
      </vt:variant>
      <vt:variant>
        <vt:i4>158</vt:i4>
      </vt:variant>
      <vt:variant>
        <vt:i4>0</vt:i4>
      </vt:variant>
      <vt:variant>
        <vt:i4>5</vt:i4>
      </vt:variant>
      <vt:variant>
        <vt:lpwstr/>
      </vt:variant>
      <vt:variant>
        <vt:lpwstr>_Toc83726142</vt:lpwstr>
      </vt:variant>
      <vt:variant>
        <vt:i4>1441853</vt:i4>
      </vt:variant>
      <vt:variant>
        <vt:i4>152</vt:i4>
      </vt:variant>
      <vt:variant>
        <vt:i4>0</vt:i4>
      </vt:variant>
      <vt:variant>
        <vt:i4>5</vt:i4>
      </vt:variant>
      <vt:variant>
        <vt:lpwstr/>
      </vt:variant>
      <vt:variant>
        <vt:lpwstr>_Toc83726141</vt:lpwstr>
      </vt:variant>
      <vt:variant>
        <vt:i4>1507389</vt:i4>
      </vt:variant>
      <vt:variant>
        <vt:i4>146</vt:i4>
      </vt:variant>
      <vt:variant>
        <vt:i4>0</vt:i4>
      </vt:variant>
      <vt:variant>
        <vt:i4>5</vt:i4>
      </vt:variant>
      <vt:variant>
        <vt:lpwstr/>
      </vt:variant>
      <vt:variant>
        <vt:lpwstr>_Toc83726140</vt:lpwstr>
      </vt:variant>
      <vt:variant>
        <vt:i4>1966138</vt:i4>
      </vt:variant>
      <vt:variant>
        <vt:i4>140</vt:i4>
      </vt:variant>
      <vt:variant>
        <vt:i4>0</vt:i4>
      </vt:variant>
      <vt:variant>
        <vt:i4>5</vt:i4>
      </vt:variant>
      <vt:variant>
        <vt:lpwstr/>
      </vt:variant>
      <vt:variant>
        <vt:lpwstr>_Toc83726139</vt:lpwstr>
      </vt:variant>
      <vt:variant>
        <vt:i4>2031674</vt:i4>
      </vt:variant>
      <vt:variant>
        <vt:i4>134</vt:i4>
      </vt:variant>
      <vt:variant>
        <vt:i4>0</vt:i4>
      </vt:variant>
      <vt:variant>
        <vt:i4>5</vt:i4>
      </vt:variant>
      <vt:variant>
        <vt:lpwstr/>
      </vt:variant>
      <vt:variant>
        <vt:lpwstr>_Toc83726138</vt:lpwstr>
      </vt:variant>
      <vt:variant>
        <vt:i4>1048634</vt:i4>
      </vt:variant>
      <vt:variant>
        <vt:i4>128</vt:i4>
      </vt:variant>
      <vt:variant>
        <vt:i4>0</vt:i4>
      </vt:variant>
      <vt:variant>
        <vt:i4>5</vt:i4>
      </vt:variant>
      <vt:variant>
        <vt:lpwstr/>
      </vt:variant>
      <vt:variant>
        <vt:lpwstr>_Toc83726137</vt:lpwstr>
      </vt:variant>
      <vt:variant>
        <vt:i4>1114170</vt:i4>
      </vt:variant>
      <vt:variant>
        <vt:i4>122</vt:i4>
      </vt:variant>
      <vt:variant>
        <vt:i4>0</vt:i4>
      </vt:variant>
      <vt:variant>
        <vt:i4>5</vt:i4>
      </vt:variant>
      <vt:variant>
        <vt:lpwstr/>
      </vt:variant>
      <vt:variant>
        <vt:lpwstr>_Toc83726136</vt:lpwstr>
      </vt:variant>
      <vt:variant>
        <vt:i4>1179706</vt:i4>
      </vt:variant>
      <vt:variant>
        <vt:i4>116</vt:i4>
      </vt:variant>
      <vt:variant>
        <vt:i4>0</vt:i4>
      </vt:variant>
      <vt:variant>
        <vt:i4>5</vt:i4>
      </vt:variant>
      <vt:variant>
        <vt:lpwstr/>
      </vt:variant>
      <vt:variant>
        <vt:lpwstr>_Toc83726135</vt:lpwstr>
      </vt:variant>
      <vt:variant>
        <vt:i4>1245242</vt:i4>
      </vt:variant>
      <vt:variant>
        <vt:i4>110</vt:i4>
      </vt:variant>
      <vt:variant>
        <vt:i4>0</vt:i4>
      </vt:variant>
      <vt:variant>
        <vt:i4>5</vt:i4>
      </vt:variant>
      <vt:variant>
        <vt:lpwstr/>
      </vt:variant>
      <vt:variant>
        <vt:lpwstr>_Toc83726134</vt:lpwstr>
      </vt:variant>
      <vt:variant>
        <vt:i4>1310778</vt:i4>
      </vt:variant>
      <vt:variant>
        <vt:i4>104</vt:i4>
      </vt:variant>
      <vt:variant>
        <vt:i4>0</vt:i4>
      </vt:variant>
      <vt:variant>
        <vt:i4>5</vt:i4>
      </vt:variant>
      <vt:variant>
        <vt:lpwstr/>
      </vt:variant>
      <vt:variant>
        <vt:lpwstr>_Toc83726133</vt:lpwstr>
      </vt:variant>
      <vt:variant>
        <vt:i4>1376314</vt:i4>
      </vt:variant>
      <vt:variant>
        <vt:i4>98</vt:i4>
      </vt:variant>
      <vt:variant>
        <vt:i4>0</vt:i4>
      </vt:variant>
      <vt:variant>
        <vt:i4>5</vt:i4>
      </vt:variant>
      <vt:variant>
        <vt:lpwstr/>
      </vt:variant>
      <vt:variant>
        <vt:lpwstr>_Toc83726132</vt:lpwstr>
      </vt:variant>
      <vt:variant>
        <vt:i4>1441850</vt:i4>
      </vt:variant>
      <vt:variant>
        <vt:i4>92</vt:i4>
      </vt:variant>
      <vt:variant>
        <vt:i4>0</vt:i4>
      </vt:variant>
      <vt:variant>
        <vt:i4>5</vt:i4>
      </vt:variant>
      <vt:variant>
        <vt:lpwstr/>
      </vt:variant>
      <vt:variant>
        <vt:lpwstr>_Toc83726131</vt:lpwstr>
      </vt:variant>
      <vt:variant>
        <vt:i4>1507386</vt:i4>
      </vt:variant>
      <vt:variant>
        <vt:i4>86</vt:i4>
      </vt:variant>
      <vt:variant>
        <vt:i4>0</vt:i4>
      </vt:variant>
      <vt:variant>
        <vt:i4>5</vt:i4>
      </vt:variant>
      <vt:variant>
        <vt:lpwstr/>
      </vt:variant>
      <vt:variant>
        <vt:lpwstr>_Toc83726130</vt:lpwstr>
      </vt:variant>
      <vt:variant>
        <vt:i4>1966139</vt:i4>
      </vt:variant>
      <vt:variant>
        <vt:i4>80</vt:i4>
      </vt:variant>
      <vt:variant>
        <vt:i4>0</vt:i4>
      </vt:variant>
      <vt:variant>
        <vt:i4>5</vt:i4>
      </vt:variant>
      <vt:variant>
        <vt:lpwstr/>
      </vt:variant>
      <vt:variant>
        <vt:lpwstr>_Toc83726129</vt:lpwstr>
      </vt:variant>
      <vt:variant>
        <vt:i4>2031675</vt:i4>
      </vt:variant>
      <vt:variant>
        <vt:i4>74</vt:i4>
      </vt:variant>
      <vt:variant>
        <vt:i4>0</vt:i4>
      </vt:variant>
      <vt:variant>
        <vt:i4>5</vt:i4>
      </vt:variant>
      <vt:variant>
        <vt:lpwstr/>
      </vt:variant>
      <vt:variant>
        <vt:lpwstr>_Toc83726128</vt:lpwstr>
      </vt:variant>
      <vt:variant>
        <vt:i4>1048635</vt:i4>
      </vt:variant>
      <vt:variant>
        <vt:i4>68</vt:i4>
      </vt:variant>
      <vt:variant>
        <vt:i4>0</vt:i4>
      </vt:variant>
      <vt:variant>
        <vt:i4>5</vt:i4>
      </vt:variant>
      <vt:variant>
        <vt:lpwstr/>
      </vt:variant>
      <vt:variant>
        <vt:lpwstr>_Toc83726127</vt:lpwstr>
      </vt:variant>
      <vt:variant>
        <vt:i4>1114171</vt:i4>
      </vt:variant>
      <vt:variant>
        <vt:i4>62</vt:i4>
      </vt:variant>
      <vt:variant>
        <vt:i4>0</vt:i4>
      </vt:variant>
      <vt:variant>
        <vt:i4>5</vt:i4>
      </vt:variant>
      <vt:variant>
        <vt:lpwstr/>
      </vt:variant>
      <vt:variant>
        <vt:lpwstr>_Toc83726126</vt:lpwstr>
      </vt:variant>
      <vt:variant>
        <vt:i4>1179707</vt:i4>
      </vt:variant>
      <vt:variant>
        <vt:i4>56</vt:i4>
      </vt:variant>
      <vt:variant>
        <vt:i4>0</vt:i4>
      </vt:variant>
      <vt:variant>
        <vt:i4>5</vt:i4>
      </vt:variant>
      <vt:variant>
        <vt:lpwstr/>
      </vt:variant>
      <vt:variant>
        <vt:lpwstr>_Toc83726125</vt:lpwstr>
      </vt:variant>
      <vt:variant>
        <vt:i4>1245243</vt:i4>
      </vt:variant>
      <vt:variant>
        <vt:i4>50</vt:i4>
      </vt:variant>
      <vt:variant>
        <vt:i4>0</vt:i4>
      </vt:variant>
      <vt:variant>
        <vt:i4>5</vt:i4>
      </vt:variant>
      <vt:variant>
        <vt:lpwstr/>
      </vt:variant>
      <vt:variant>
        <vt:lpwstr>_Toc83726124</vt:lpwstr>
      </vt:variant>
      <vt:variant>
        <vt:i4>1310779</vt:i4>
      </vt:variant>
      <vt:variant>
        <vt:i4>44</vt:i4>
      </vt:variant>
      <vt:variant>
        <vt:i4>0</vt:i4>
      </vt:variant>
      <vt:variant>
        <vt:i4>5</vt:i4>
      </vt:variant>
      <vt:variant>
        <vt:lpwstr/>
      </vt:variant>
      <vt:variant>
        <vt:lpwstr>_Toc83726123</vt:lpwstr>
      </vt:variant>
      <vt:variant>
        <vt:i4>1376315</vt:i4>
      </vt:variant>
      <vt:variant>
        <vt:i4>38</vt:i4>
      </vt:variant>
      <vt:variant>
        <vt:i4>0</vt:i4>
      </vt:variant>
      <vt:variant>
        <vt:i4>5</vt:i4>
      </vt:variant>
      <vt:variant>
        <vt:lpwstr/>
      </vt:variant>
      <vt:variant>
        <vt:lpwstr>_Toc83726122</vt:lpwstr>
      </vt:variant>
      <vt:variant>
        <vt:i4>1441851</vt:i4>
      </vt:variant>
      <vt:variant>
        <vt:i4>32</vt:i4>
      </vt:variant>
      <vt:variant>
        <vt:i4>0</vt:i4>
      </vt:variant>
      <vt:variant>
        <vt:i4>5</vt:i4>
      </vt:variant>
      <vt:variant>
        <vt:lpwstr/>
      </vt:variant>
      <vt:variant>
        <vt:lpwstr>_Toc83726121</vt:lpwstr>
      </vt:variant>
      <vt:variant>
        <vt:i4>1507387</vt:i4>
      </vt:variant>
      <vt:variant>
        <vt:i4>26</vt:i4>
      </vt:variant>
      <vt:variant>
        <vt:i4>0</vt:i4>
      </vt:variant>
      <vt:variant>
        <vt:i4>5</vt:i4>
      </vt:variant>
      <vt:variant>
        <vt:lpwstr/>
      </vt:variant>
      <vt:variant>
        <vt:lpwstr>_Toc83726120</vt:lpwstr>
      </vt:variant>
      <vt:variant>
        <vt:i4>1966136</vt:i4>
      </vt:variant>
      <vt:variant>
        <vt:i4>20</vt:i4>
      </vt:variant>
      <vt:variant>
        <vt:i4>0</vt:i4>
      </vt:variant>
      <vt:variant>
        <vt:i4>5</vt:i4>
      </vt:variant>
      <vt:variant>
        <vt:lpwstr/>
      </vt:variant>
      <vt:variant>
        <vt:lpwstr>_Toc83726119</vt:lpwstr>
      </vt:variant>
      <vt:variant>
        <vt:i4>2031672</vt:i4>
      </vt:variant>
      <vt:variant>
        <vt:i4>14</vt:i4>
      </vt:variant>
      <vt:variant>
        <vt:i4>0</vt:i4>
      </vt:variant>
      <vt:variant>
        <vt:i4>5</vt:i4>
      </vt:variant>
      <vt:variant>
        <vt:lpwstr/>
      </vt:variant>
      <vt:variant>
        <vt:lpwstr>_Toc83726118</vt:lpwstr>
      </vt:variant>
      <vt:variant>
        <vt:i4>1048632</vt:i4>
      </vt:variant>
      <vt:variant>
        <vt:i4>8</vt:i4>
      </vt:variant>
      <vt:variant>
        <vt:i4>0</vt:i4>
      </vt:variant>
      <vt:variant>
        <vt:i4>5</vt:i4>
      </vt:variant>
      <vt:variant>
        <vt:lpwstr/>
      </vt:variant>
      <vt:variant>
        <vt:lpwstr>_Toc83726117</vt:lpwstr>
      </vt:variant>
      <vt:variant>
        <vt:i4>1114168</vt:i4>
      </vt:variant>
      <vt:variant>
        <vt:i4>2</vt:i4>
      </vt:variant>
      <vt:variant>
        <vt:i4>0</vt:i4>
      </vt:variant>
      <vt:variant>
        <vt:i4>5</vt:i4>
      </vt:variant>
      <vt:variant>
        <vt:lpwstr/>
      </vt:variant>
      <vt:variant>
        <vt:lpwstr>_Toc83726116</vt:lpwstr>
      </vt:variant>
      <vt:variant>
        <vt:i4>983086</vt:i4>
      </vt:variant>
      <vt:variant>
        <vt:i4>15</vt:i4>
      </vt:variant>
      <vt:variant>
        <vt:i4>0</vt:i4>
      </vt:variant>
      <vt:variant>
        <vt:i4>5</vt:i4>
      </vt:variant>
      <vt:variant>
        <vt:lpwstr>https://www.pc.gov.au/__data/assets/pdf_file/0012/240204/sub107-mental-health.pdf</vt:lpwstr>
      </vt:variant>
      <vt:variant>
        <vt:lpwstr/>
      </vt:variant>
      <vt:variant>
        <vt:i4>5963871</vt:i4>
      </vt:variant>
      <vt:variant>
        <vt:i4>12</vt:i4>
      </vt:variant>
      <vt:variant>
        <vt:i4>0</vt:i4>
      </vt:variant>
      <vt:variant>
        <vt:i4>5</vt:i4>
      </vt:variant>
      <vt:variant>
        <vt:lpwstr>http://ruralhealth.org.au/sites/default/files/position-papers/position-paper-04-04-01.pdf</vt:lpwstr>
      </vt:variant>
      <vt:variant>
        <vt:lpwstr/>
      </vt:variant>
      <vt:variant>
        <vt:i4>87</vt:i4>
      </vt:variant>
      <vt:variant>
        <vt:i4>9</vt:i4>
      </vt:variant>
      <vt:variant>
        <vt:i4>0</vt:i4>
      </vt:variant>
      <vt:variant>
        <vt:i4>5</vt:i4>
      </vt:variant>
      <vt:variant>
        <vt:lpwstr>https://www.tepou.co.nz/uploads/files/resources/scope-it-right-literature-review.pdf</vt:lpwstr>
      </vt:variant>
      <vt:variant>
        <vt:lpwstr/>
      </vt:variant>
      <vt:variant>
        <vt:i4>6881343</vt:i4>
      </vt:variant>
      <vt:variant>
        <vt:i4>3</vt:i4>
      </vt:variant>
      <vt:variant>
        <vt:i4>0</vt:i4>
      </vt:variant>
      <vt:variant>
        <vt:i4>5</vt:i4>
      </vt:variant>
      <vt:variant>
        <vt:lpwstr>https://www.health.qld.gov.au/ahwac/html/full-scope</vt:lpwstr>
      </vt:variant>
      <vt:variant>
        <vt:lpwstr/>
      </vt:variant>
      <vt:variant>
        <vt:i4>3473455</vt:i4>
      </vt:variant>
      <vt:variant>
        <vt:i4>0</vt:i4>
      </vt:variant>
      <vt:variant>
        <vt:i4>0</vt:i4>
      </vt:variant>
      <vt:variant>
        <vt:i4>5</vt:i4>
      </vt:variant>
      <vt:variant>
        <vt:lpwstr>https://www.health.gov.au/resources/publications/national-mental-health-workforce-strategy-a-literature-review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Donaldson</dc:creator>
  <cp:keywords/>
  <dc:description/>
  <cp:lastModifiedBy>MURRAY, Kate</cp:lastModifiedBy>
  <cp:revision>2</cp:revision>
  <dcterms:created xsi:type="dcterms:W3CDTF">2021-10-01T04:08:00Z</dcterms:created>
  <dcterms:modified xsi:type="dcterms:W3CDTF">2021-10-01T04:08:00Z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0x01010053021015682C704292D64C0EF0FF33BF</vt:lpwstr>
  </property>
  <property fmtid="{D5CDD505-2E9C-101B-9397-08002B2CF9AE}" pid="3" name="Order">
    <vt:r8>63400</vt:r8>
  </property>
  <property fmtid="{D5CDD505-2E9C-101B-9397-08002B2CF9AE}" pid="4" name="_ExtendedDescription">
    <vt:lpwstr/>
  </property>
  <property fmtid="{D5CDD505-2E9C-101B-9397-08002B2CF9AE}" pid="5" name="ComplianceAssetId">
    <vt:lpwstr/>
  </property>
  <property fmtid="{D5CDD505-2E9C-101B-9397-08002B2CF9AE}" pid="6" name="TriggerFlowInfo">
    <vt:lpwstr/>
  </property>
</Properties>
</file>