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65F96" w14:textId="182ED629" w:rsidR="0013076E" w:rsidRDefault="005537F3">
      <w:pPr>
        <w:suppressAutoHyphens w:val="0"/>
        <w:autoSpaceDE/>
        <w:autoSpaceDN/>
        <w:adjustRightInd/>
        <w:spacing w:after="0"/>
        <w:textAlignment w:val="auto"/>
        <w:rPr>
          <w:rFonts w:ascii="Roboto-Medium" w:eastAsiaTheme="majorEastAsia" w:hAnsi="Roboto-Medium" w:cstheme="majorBidi"/>
          <w:color w:val="00B9F2"/>
          <w:sz w:val="32"/>
          <w:szCs w:val="32"/>
        </w:rPr>
      </w:pPr>
      <w:r>
        <w:rPr>
          <w:noProof/>
        </w:rPr>
        <mc:AlternateContent>
          <mc:Choice Requires="wps">
            <w:drawing>
              <wp:inline distT="0" distB="0" distL="114300" distR="114300" wp14:anchorId="522349E0" wp14:editId="18CF94AE">
                <wp:extent cx="5172075" cy="1024932"/>
                <wp:effectExtent l="0" t="0" r="9525" b="3810"/>
                <wp:docPr id="1551574527" name="Text Box 1551574527"/>
                <wp:cNvGraphicFramePr/>
                <a:graphic xmlns:a="http://schemas.openxmlformats.org/drawingml/2006/main">
                  <a:graphicData uri="http://schemas.microsoft.com/office/word/2010/wordprocessingShape">
                    <wps:wsp>
                      <wps:cNvSpPr txBox="1"/>
                      <wps:spPr>
                        <a:xfrm>
                          <a:off x="0" y="0"/>
                          <a:ext cx="5172075" cy="1024932"/>
                        </a:xfrm>
                        <a:prstGeom prst="rect">
                          <a:avLst/>
                        </a:prstGeom>
                        <a:noFill/>
                        <a:ln w="6350">
                          <a:noFill/>
                        </a:ln>
                      </wps:spPr>
                      <wps:txbx>
                        <w:txbxContent>
                          <w:p w14:paraId="5C8EE403" w14:textId="77777777" w:rsidR="005537F3" w:rsidRPr="00D50DDA" w:rsidRDefault="005537F3" w:rsidP="005537F3">
                            <w:pPr>
                              <w:pStyle w:val="NMHCCoverTitleSmall"/>
                              <w:rPr>
                                <w:color w:val="808080" w:themeColor="background1" w:themeShade="80"/>
                                <w:sz w:val="40"/>
                                <w:szCs w:val="40"/>
                              </w:rPr>
                            </w:pPr>
                            <w:r w:rsidRPr="00D50DDA">
                              <w:rPr>
                                <w:color w:val="808080" w:themeColor="background1" w:themeShade="80"/>
                                <w:sz w:val="40"/>
                                <w:szCs w:val="40"/>
                              </w:rPr>
                              <w:t xml:space="preserve">Monitoring the performance of Australia’s mental health system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522349E0" id="_x0000_t202" coordsize="21600,21600" o:spt="202" path="m,l,21600r21600,l21600,xe">
                <v:stroke joinstyle="miter"/>
                <v:path gradientshapeok="t" o:connecttype="rect"/>
              </v:shapetype>
              <v:shape id="Text Box 1551574527" o:spid="_x0000_s1026" type="#_x0000_t202" style="width:407.25pt;height:8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" filled="f" stroked="f" strokeweight=".5pt">
                <v:textbox inset="0,0,0,0">
                  <w:txbxContent>
                    <w:p w14:paraId="5C8EE403" w14:textId="77777777" w:rsidR="005537F3" w:rsidRPr="00D50DDA" w:rsidRDefault="005537F3" w:rsidP="005537F3">
                      <w:pPr>
                        <w:pStyle w:val="NMHCCoverTitleSmall"/>
                        <w:rPr>
                          <w:color w:val="808080" w:themeColor="background1" w:themeShade="80"/>
                          <w:sz w:val="40"/>
                          <w:szCs w:val="40"/>
                        </w:rPr>
                      </w:pPr>
                      <w:r w:rsidRPr="00D50DDA">
                        <w:rPr>
                          <w:color w:val="808080" w:themeColor="background1" w:themeShade="80"/>
                          <w:sz w:val="40"/>
                          <w:szCs w:val="40"/>
                        </w:rPr>
                        <w:t xml:space="preserve">Monitoring the performance of Australia’s mental health system </w:t>
                      </w:r>
                    </w:p>
                  </w:txbxContent>
                </v:textbox>
                <w10:anchorlock/>
              </v:shape>
            </w:pict>
          </mc:Fallback>
        </mc:AlternateContent>
      </w:r>
      <w:r w:rsidR="00A60BB3">
        <w:rPr>
          <w:rFonts w:ascii="Roboto-Medium" w:eastAsiaTheme="majorEastAsia" w:hAnsi="Roboto-Medium" w:cstheme="majorBidi"/>
          <w:noProof/>
          <w:color w:val="00B9F2"/>
          <w:sz w:val="32"/>
          <w:szCs w:val="32"/>
        </w:rPr>
        <mc:AlternateContent>
          <mc:Choice Requires="wps">
            <w:drawing>
              <wp:anchor distT="0" distB="0" distL="114300" distR="114300" simplePos="0" relativeHeight="251658240" behindDoc="0" locked="0" layoutInCell="1" allowOverlap="1" wp14:anchorId="1A905539" wp14:editId="0ED96052">
                <wp:simplePos x="0" y="0"/>
                <wp:positionH relativeFrom="column">
                  <wp:posOffset>1805</wp:posOffset>
                </wp:positionH>
                <wp:positionV relativeFrom="paragraph">
                  <wp:posOffset>1165304</wp:posOffset>
                </wp:positionV>
                <wp:extent cx="6039060" cy="2291024"/>
                <wp:effectExtent l="0" t="0" r="6350" b="8255"/>
                <wp:wrapNone/>
                <wp:docPr id="4" name="Text Box 4"/>
                <wp:cNvGraphicFramePr/>
                <a:graphic xmlns:a="http://schemas.openxmlformats.org/drawingml/2006/main">
                  <a:graphicData uri="http://schemas.microsoft.com/office/word/2010/wordprocessingShape">
                    <wps:wsp>
                      <wps:cNvSpPr txBox="1"/>
                      <wps:spPr>
                        <a:xfrm>
                          <a:off x="0" y="0"/>
                          <a:ext cx="6039060" cy="2291024"/>
                        </a:xfrm>
                        <a:prstGeom prst="rect">
                          <a:avLst/>
                        </a:prstGeom>
                        <a:noFill/>
                        <a:ln w="6350">
                          <a:noFill/>
                        </a:ln>
                      </wps:spPr>
                      <wps:txbx>
                        <w:txbxContent>
                          <w:p w14:paraId="58AC1277" w14:textId="461344D3" w:rsidR="00144B5B" w:rsidRPr="00D265D8" w:rsidRDefault="008D1E14" w:rsidP="00D265D8">
                            <w:pPr>
                              <w:pStyle w:val="NMHCCoverTitle"/>
                            </w:pPr>
                            <w:r>
                              <w:t xml:space="preserve">National </w:t>
                            </w:r>
                            <w:r w:rsidR="00A60BB3">
                              <w:t>Report Card</w:t>
                            </w:r>
                          </w:p>
                          <w:p w14:paraId="731029A5" w14:textId="027947FF" w:rsidR="00A94618" w:rsidRPr="007146B1" w:rsidRDefault="00A94618" w:rsidP="007146B1">
                            <w:pPr>
                              <w:pStyle w:val="NMHCCoverDate"/>
                            </w:pPr>
                            <w:r w:rsidRPr="007146B1">
                              <w:t>202</w:t>
                            </w:r>
                            <w:r w:rsidR="00BD0E4C">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05539" id="Text Box 4" o:spid="_x0000_s1027" type="#_x0000_t202" style="position:absolute;margin-left:.15pt;margin-top:91.75pt;width:475.5pt;height:180.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" filled="f" stroked="f" strokeweight=".5pt">
                <v:textbox inset="0,0,0,0">
                  <w:txbxContent>
                    <w:p w14:paraId="58AC1277" w14:textId="461344D3" w:rsidR="00144B5B" w:rsidRPr="00D265D8" w:rsidRDefault="008D1E14" w:rsidP="00D265D8">
                      <w:pPr>
                        <w:pStyle w:val="NMHCCoverTitle"/>
                      </w:pPr>
                      <w:r>
                        <w:t xml:space="preserve">National </w:t>
                      </w:r>
                      <w:r w:rsidR="00A60BB3">
                        <w:t>Report Card</w:t>
                      </w:r>
                    </w:p>
                    <w:p w14:paraId="731029A5" w14:textId="027947FF" w:rsidR="00A94618" w:rsidRPr="007146B1" w:rsidRDefault="00A94618" w:rsidP="007146B1">
                      <w:pPr>
                        <w:pStyle w:val="NMHCCoverDate"/>
                      </w:pPr>
                      <w:r w:rsidRPr="007146B1">
                        <w:t>202</w:t>
                      </w:r>
                      <w:r w:rsidR="00BD0E4C">
                        <w:t>3</w:t>
                      </w:r>
                    </w:p>
                  </w:txbxContent>
                </v:textbox>
              </v:shape>
            </w:pict>
          </mc:Fallback>
        </mc:AlternateContent>
      </w:r>
      <w:r w:rsidR="00A60BB3">
        <w:rPr>
          <w:rFonts w:ascii="Roboto-Medium" w:eastAsiaTheme="majorEastAsia" w:hAnsi="Roboto-Medium" w:cstheme="majorBidi"/>
          <w:noProof/>
          <w:color w:val="00B9F2"/>
          <w:sz w:val="32"/>
          <w:szCs w:val="32"/>
        </w:rPr>
        <mc:AlternateContent>
          <mc:Choice Requires="wps">
            <w:drawing>
              <wp:anchor distT="0" distB="0" distL="114300" distR="114300" simplePos="0" relativeHeight="251658241" behindDoc="0" locked="0" layoutInCell="1" allowOverlap="1" wp14:anchorId="4A5E44E4" wp14:editId="495F51BA">
                <wp:simplePos x="0" y="0"/>
                <wp:positionH relativeFrom="column">
                  <wp:posOffset>1805</wp:posOffset>
                </wp:positionH>
                <wp:positionV relativeFrom="paragraph">
                  <wp:posOffset>3639563</wp:posOffset>
                </wp:positionV>
                <wp:extent cx="6039060" cy="1024932"/>
                <wp:effectExtent l="0" t="0" r="6350" b="3810"/>
                <wp:wrapNone/>
                <wp:docPr id="422131911" name="Text Box 422131911"/>
                <wp:cNvGraphicFramePr/>
                <a:graphic xmlns:a="http://schemas.openxmlformats.org/drawingml/2006/main">
                  <a:graphicData uri="http://schemas.microsoft.com/office/word/2010/wordprocessingShape">
                    <wps:wsp>
                      <wps:cNvSpPr txBox="1"/>
                      <wps:spPr>
                        <a:xfrm>
                          <a:off x="0" y="0"/>
                          <a:ext cx="6039060" cy="1024932"/>
                        </a:xfrm>
                        <a:prstGeom prst="rect">
                          <a:avLst/>
                        </a:prstGeom>
                        <a:noFill/>
                        <a:ln w="6350">
                          <a:noFill/>
                        </a:ln>
                      </wps:spPr>
                      <wps:txbx>
                        <w:txbxContent>
                          <w:p w14:paraId="10005AC3" w14:textId="61B62BE7" w:rsidR="002104F7" w:rsidRPr="002104F7" w:rsidRDefault="00EE41ED" w:rsidP="002104F7">
                            <w:pPr>
                              <w:pStyle w:val="NMHCCoverByline"/>
                            </w:pPr>
                            <w:r>
                              <w:t>Technical Report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A5E44E4" id="Text Box 422131911" o:spid="_x0000_s1028" type="#_x0000_t202" style="position:absolute;margin-left:.15pt;margin-top:286.6pt;width:475.5pt;height:80.7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" filled="f" stroked="f" strokeweight=".5pt">
                <v:textbox inset="0,0,0,0">
                  <w:txbxContent>
                    <w:p w14:paraId="10005AC3" w14:textId="61B62BE7" w:rsidR="002104F7" w:rsidRPr="002104F7" w:rsidRDefault="00EE41ED" w:rsidP="002104F7">
                      <w:pPr>
                        <w:pStyle w:val="NMHCCoverByline"/>
                      </w:pPr>
                      <w:r>
                        <w:t>Technical Report</w:t>
                      </w:r>
                    </w:p>
                  </w:txbxContent>
                </v:textbox>
              </v:shape>
            </w:pict>
          </mc:Fallback>
        </mc:AlternateContent>
      </w:r>
      <w:r w:rsidR="00A60BB3">
        <w:rPr>
          <w:rFonts w:ascii="Roboto-Medium" w:eastAsiaTheme="majorEastAsia" w:hAnsi="Roboto-Medium" w:cstheme="majorBidi"/>
          <w:noProof/>
          <w:color w:val="00B9F2"/>
          <w:sz w:val="32"/>
          <w:szCs w:val="32"/>
        </w:rPr>
        <mc:AlternateContent>
          <mc:Choice Requires="wps">
            <w:drawing>
              <wp:anchor distT="0" distB="0" distL="114300" distR="114300" simplePos="0" relativeHeight="251658242" behindDoc="0" locked="0" layoutInCell="1" allowOverlap="1" wp14:anchorId="4E175695" wp14:editId="6654AE2D">
                <wp:simplePos x="0" y="0"/>
                <wp:positionH relativeFrom="column">
                  <wp:posOffset>1805</wp:posOffset>
                </wp:positionH>
                <wp:positionV relativeFrom="paragraph">
                  <wp:posOffset>1014697</wp:posOffset>
                </wp:positionV>
                <wp:extent cx="719455" cy="0"/>
                <wp:effectExtent l="0" t="25400" r="42545" b="38100"/>
                <wp:wrapNone/>
                <wp:docPr id="1841308097" name="Straight Connector 18413080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19455" cy="0"/>
                        </a:xfrm>
                        <a:prstGeom prst="line">
                          <a:avLst/>
                        </a:prstGeom>
                        <a:ln w="63500">
                          <a:solidFill>
                            <a:srgbClr val="C6D63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arto="http://schemas.microsoft.com/office/word/2006/arto">
            <w:pict>
              <v:line w14:anchorId="688FB3FD" id="Straight Connector 10" o:spid="_x0000_s1026" alt="&quot;&quot;" style="position:absolute;z-index:251672575;visibility:visible;mso-wrap-style:square;mso-wrap-distance-left:9pt;mso-wrap-distance-top:0;mso-wrap-distance-right:9pt;mso-wrap-distance-bottom:0;mso-position-horizontal:absolute;mso-position-horizontal-relative:text;mso-position-vertical:absolute;mso-position-vertical-relative:text" from=".15pt,79.9pt" to="56.8pt,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" strokecolor="#c6d633" strokeweight="5pt">
                <v:stroke joinstyle="miter"/>
              </v:line>
            </w:pict>
          </mc:Fallback>
        </mc:AlternateContent>
      </w:r>
      <w:r w:rsidR="0013076E">
        <w:br w:type="page"/>
      </w:r>
    </w:p>
    <w:sdt>
      <w:sdtPr>
        <w:rPr>
          <w:rFonts w:ascii="Roboto-Light" w:eastAsiaTheme="minorEastAsia" w:hAnsi="Roboto-Light" w:cs="Roboto-Light"/>
          <w:bCs w:val="0"/>
          <w:color w:val="000000"/>
          <w:sz w:val="18"/>
          <w:szCs w:val="18"/>
          <w:lang w:val="en-GB"/>
        </w:rPr>
        <w:id w:val="836503379"/>
        <w:docPartObj>
          <w:docPartGallery w:val="Table of Contents"/>
          <w:docPartUnique/>
        </w:docPartObj>
      </w:sdtPr>
      <w:sdtEndPr>
        <w:rPr>
          <w:b/>
        </w:rPr>
      </w:sdtEndPr>
      <w:sdtContent>
        <w:p w14:paraId="1DF67F5F" w14:textId="1B5EA50A" w:rsidR="004B25A9" w:rsidRDefault="004B25A9">
          <w:pPr>
            <w:pStyle w:val="TOCHeading"/>
          </w:pPr>
          <w:r>
            <w:t xml:space="preserve">Table of </w:t>
          </w:r>
          <w:r w:rsidRPr="00AB3EB8">
            <w:t>Contents</w:t>
          </w:r>
        </w:p>
        <w:p w14:paraId="66BCEFF9" w14:textId="2E280607" w:rsidR="00FB40F9" w:rsidRDefault="00250055" w:rsidP="00FB40F9">
          <w:pPr>
            <w:pStyle w:val="TOC1"/>
            <w:rPr>
              <w:rFonts w:asciiTheme="minorHAnsi" w:eastAsiaTheme="minorEastAsia" w:hAnsiTheme="minorHAnsi" w:cstheme="minorBidi"/>
              <w:color w:val="auto"/>
              <w:kern w:val="2"/>
              <w:sz w:val="22"/>
              <w:szCs w:val="22"/>
              <w:lang w:val="en-AU" w:eastAsia="en-AU"/>
              <w14:ligatures w14:val="standardContextual"/>
            </w:rPr>
          </w:pPr>
          <w:r>
            <w:fldChar w:fldCharType="begin"/>
          </w:r>
          <w:r>
            <w:instrText xml:space="preserve"> TOC \o "1-1" \h \z \u </w:instrText>
          </w:r>
          <w:r>
            <w:fldChar w:fldCharType="separate"/>
          </w:r>
          <w:hyperlink w:anchor="_Toc169868009" w:history="1">
            <w:r w:rsidR="00FB40F9" w:rsidRPr="001F655A">
              <w:rPr>
                <w:rStyle w:val="Hyperlink"/>
              </w:rPr>
              <w:t>Acknowledgement</w:t>
            </w:r>
            <w:r w:rsidR="00FB40F9">
              <w:rPr>
                <w:webHidden/>
              </w:rPr>
              <w:tab/>
            </w:r>
            <w:r w:rsidR="00FB40F9">
              <w:rPr>
                <w:webHidden/>
              </w:rPr>
              <w:fldChar w:fldCharType="begin"/>
            </w:r>
            <w:r w:rsidR="00FB40F9">
              <w:rPr>
                <w:webHidden/>
              </w:rPr>
              <w:instrText xml:space="preserve"> PAGEREF _Toc169868009 \h </w:instrText>
            </w:r>
            <w:r w:rsidR="00FB40F9">
              <w:rPr>
                <w:webHidden/>
              </w:rPr>
            </w:r>
            <w:r w:rsidR="00FB40F9">
              <w:rPr>
                <w:webHidden/>
              </w:rPr>
              <w:fldChar w:fldCharType="separate"/>
            </w:r>
            <w:r w:rsidR="00766EFD">
              <w:rPr>
                <w:webHidden/>
              </w:rPr>
              <w:t>3</w:t>
            </w:r>
            <w:r w:rsidR="00FB40F9">
              <w:rPr>
                <w:webHidden/>
              </w:rPr>
              <w:fldChar w:fldCharType="end"/>
            </w:r>
          </w:hyperlink>
        </w:p>
        <w:p w14:paraId="794F1891" w14:textId="7FE2AD79" w:rsidR="00FB40F9" w:rsidRDefault="00000000" w:rsidP="00FB40F9">
          <w:pPr>
            <w:pStyle w:val="TOC1"/>
            <w:rPr>
              <w:rFonts w:asciiTheme="minorHAnsi" w:eastAsiaTheme="minorEastAsia" w:hAnsiTheme="minorHAnsi" w:cstheme="minorBidi"/>
              <w:color w:val="auto"/>
              <w:kern w:val="2"/>
              <w:sz w:val="22"/>
              <w:szCs w:val="22"/>
              <w:lang w:val="en-AU" w:eastAsia="en-AU"/>
              <w14:ligatures w14:val="standardContextual"/>
            </w:rPr>
          </w:pPr>
          <w:hyperlink w:anchor="_Toc169868010" w:history="1">
            <w:r w:rsidR="00FB40F9" w:rsidRPr="001F655A">
              <w:rPr>
                <w:rStyle w:val="Hyperlink"/>
                <w:rFonts w:eastAsia="Yu Gothic Light"/>
              </w:rPr>
              <w:t>Overview</w:t>
            </w:r>
            <w:r w:rsidR="00FB40F9">
              <w:rPr>
                <w:webHidden/>
              </w:rPr>
              <w:tab/>
            </w:r>
            <w:r w:rsidR="00FB40F9">
              <w:rPr>
                <w:webHidden/>
              </w:rPr>
              <w:fldChar w:fldCharType="begin"/>
            </w:r>
            <w:r w:rsidR="00FB40F9">
              <w:rPr>
                <w:webHidden/>
              </w:rPr>
              <w:instrText xml:space="preserve"> PAGEREF _Toc169868010 \h </w:instrText>
            </w:r>
            <w:r w:rsidR="00FB40F9">
              <w:rPr>
                <w:webHidden/>
              </w:rPr>
            </w:r>
            <w:r w:rsidR="00FB40F9">
              <w:rPr>
                <w:webHidden/>
              </w:rPr>
              <w:fldChar w:fldCharType="separate"/>
            </w:r>
            <w:r w:rsidR="00766EFD">
              <w:rPr>
                <w:webHidden/>
              </w:rPr>
              <w:t>4</w:t>
            </w:r>
            <w:r w:rsidR="00FB40F9">
              <w:rPr>
                <w:webHidden/>
              </w:rPr>
              <w:fldChar w:fldCharType="end"/>
            </w:r>
          </w:hyperlink>
        </w:p>
        <w:p w14:paraId="29AD19E6" w14:textId="6B60375C" w:rsidR="00FB40F9" w:rsidRDefault="00000000" w:rsidP="00FB40F9">
          <w:pPr>
            <w:pStyle w:val="TOC1"/>
            <w:rPr>
              <w:rFonts w:asciiTheme="minorHAnsi" w:eastAsiaTheme="minorEastAsia" w:hAnsiTheme="minorHAnsi" w:cstheme="minorBidi"/>
              <w:color w:val="auto"/>
              <w:kern w:val="2"/>
              <w:sz w:val="22"/>
              <w:szCs w:val="22"/>
              <w:lang w:val="en-AU" w:eastAsia="en-AU"/>
              <w14:ligatures w14:val="standardContextual"/>
            </w:rPr>
          </w:pPr>
          <w:hyperlink w:anchor="_Toc169868012" w:history="1">
            <w:r w:rsidR="00FB40F9" w:rsidRPr="001F655A">
              <w:rPr>
                <w:rStyle w:val="Hyperlink"/>
                <w:rFonts w:eastAsia="Yu Gothic Light"/>
              </w:rPr>
              <w:t xml:space="preserve">CI </w:t>
            </w:r>
            <w:r w:rsidR="00FB40F9" w:rsidRPr="001F655A">
              <w:rPr>
                <w:rStyle w:val="Hyperlink"/>
                <w:rFonts w:eastAsia="Yu Gothic Light" w:cs="Times New Roman"/>
              </w:rPr>
              <w:t>1: Prevalence of mental disorders</w:t>
            </w:r>
            <w:r w:rsidR="00FB40F9">
              <w:rPr>
                <w:webHidden/>
              </w:rPr>
              <w:tab/>
            </w:r>
            <w:r w:rsidR="00FB40F9">
              <w:rPr>
                <w:webHidden/>
              </w:rPr>
              <w:fldChar w:fldCharType="begin"/>
            </w:r>
            <w:r w:rsidR="00FB40F9">
              <w:rPr>
                <w:webHidden/>
              </w:rPr>
              <w:instrText xml:space="preserve"> PAGEREF _Toc169868012 \h </w:instrText>
            </w:r>
            <w:r w:rsidR="00FB40F9">
              <w:rPr>
                <w:webHidden/>
              </w:rPr>
            </w:r>
            <w:r w:rsidR="00FB40F9">
              <w:rPr>
                <w:webHidden/>
              </w:rPr>
              <w:fldChar w:fldCharType="separate"/>
            </w:r>
            <w:r w:rsidR="00766EFD">
              <w:rPr>
                <w:webHidden/>
              </w:rPr>
              <w:t>5</w:t>
            </w:r>
            <w:r w:rsidR="00FB40F9">
              <w:rPr>
                <w:webHidden/>
              </w:rPr>
              <w:fldChar w:fldCharType="end"/>
            </w:r>
          </w:hyperlink>
        </w:p>
        <w:p w14:paraId="70C757A1" w14:textId="4A91C5D7" w:rsidR="00FB40F9" w:rsidRDefault="00000000" w:rsidP="00FB40F9">
          <w:pPr>
            <w:pStyle w:val="TOC1"/>
            <w:rPr>
              <w:rFonts w:asciiTheme="minorHAnsi" w:eastAsiaTheme="minorEastAsia" w:hAnsiTheme="minorHAnsi" w:cstheme="minorBidi"/>
              <w:color w:val="auto"/>
              <w:kern w:val="2"/>
              <w:sz w:val="22"/>
              <w:szCs w:val="22"/>
              <w:lang w:val="en-AU" w:eastAsia="en-AU"/>
              <w14:ligatures w14:val="standardContextual"/>
            </w:rPr>
          </w:pPr>
          <w:hyperlink w:anchor="_Toc169868013" w:history="1">
            <w:r w:rsidR="00FB40F9" w:rsidRPr="001F655A">
              <w:rPr>
                <w:rStyle w:val="Hyperlink"/>
                <w:rFonts w:eastAsia="Yu Gothic Light"/>
              </w:rPr>
              <w:t xml:space="preserve">CI </w:t>
            </w:r>
            <w:r w:rsidR="00FB40F9" w:rsidRPr="001F655A">
              <w:rPr>
                <w:rStyle w:val="Hyperlink"/>
                <w:rFonts w:eastAsia="Yu Gothic Light" w:cs="Times New Roman"/>
              </w:rPr>
              <w:t>2: Psychological distress</w:t>
            </w:r>
            <w:r w:rsidR="00FB40F9">
              <w:rPr>
                <w:webHidden/>
              </w:rPr>
              <w:tab/>
            </w:r>
            <w:r w:rsidR="00FB40F9">
              <w:rPr>
                <w:webHidden/>
              </w:rPr>
              <w:fldChar w:fldCharType="begin"/>
            </w:r>
            <w:r w:rsidR="00FB40F9">
              <w:rPr>
                <w:webHidden/>
              </w:rPr>
              <w:instrText xml:space="preserve"> PAGEREF _Toc169868013 \h </w:instrText>
            </w:r>
            <w:r w:rsidR="00FB40F9">
              <w:rPr>
                <w:webHidden/>
              </w:rPr>
            </w:r>
            <w:r w:rsidR="00FB40F9">
              <w:rPr>
                <w:webHidden/>
              </w:rPr>
              <w:fldChar w:fldCharType="separate"/>
            </w:r>
            <w:r w:rsidR="00766EFD">
              <w:rPr>
                <w:webHidden/>
              </w:rPr>
              <w:t>7</w:t>
            </w:r>
            <w:r w:rsidR="00FB40F9">
              <w:rPr>
                <w:webHidden/>
              </w:rPr>
              <w:fldChar w:fldCharType="end"/>
            </w:r>
          </w:hyperlink>
        </w:p>
        <w:p w14:paraId="2A79BBD8" w14:textId="4FFB1B18" w:rsidR="00FB40F9" w:rsidRDefault="00000000" w:rsidP="00FB40F9">
          <w:pPr>
            <w:pStyle w:val="TOC1"/>
            <w:rPr>
              <w:rFonts w:asciiTheme="minorHAnsi" w:eastAsiaTheme="minorEastAsia" w:hAnsiTheme="minorHAnsi" w:cstheme="minorBidi"/>
              <w:color w:val="auto"/>
              <w:kern w:val="2"/>
              <w:sz w:val="22"/>
              <w:szCs w:val="22"/>
              <w:lang w:val="en-AU" w:eastAsia="en-AU"/>
              <w14:ligatures w14:val="standardContextual"/>
            </w:rPr>
          </w:pPr>
          <w:hyperlink w:anchor="_Toc169868014" w:history="1">
            <w:r w:rsidR="00FB40F9" w:rsidRPr="001F655A">
              <w:rPr>
                <w:rStyle w:val="Hyperlink"/>
                <w:rFonts w:eastAsia="Yu Gothic Light"/>
              </w:rPr>
              <w:t>CI 3: Overall life satisfaction</w:t>
            </w:r>
            <w:r w:rsidR="00FB40F9">
              <w:rPr>
                <w:webHidden/>
              </w:rPr>
              <w:tab/>
            </w:r>
            <w:r w:rsidR="00FB40F9">
              <w:rPr>
                <w:webHidden/>
              </w:rPr>
              <w:fldChar w:fldCharType="begin"/>
            </w:r>
            <w:r w:rsidR="00FB40F9">
              <w:rPr>
                <w:webHidden/>
              </w:rPr>
              <w:instrText xml:space="preserve"> PAGEREF _Toc169868014 \h </w:instrText>
            </w:r>
            <w:r w:rsidR="00FB40F9">
              <w:rPr>
                <w:webHidden/>
              </w:rPr>
            </w:r>
            <w:r w:rsidR="00FB40F9">
              <w:rPr>
                <w:webHidden/>
              </w:rPr>
              <w:fldChar w:fldCharType="separate"/>
            </w:r>
            <w:r w:rsidR="00766EFD">
              <w:rPr>
                <w:webHidden/>
              </w:rPr>
              <w:t>10</w:t>
            </w:r>
            <w:r w:rsidR="00FB40F9">
              <w:rPr>
                <w:webHidden/>
              </w:rPr>
              <w:fldChar w:fldCharType="end"/>
            </w:r>
          </w:hyperlink>
        </w:p>
        <w:p w14:paraId="1B2806CB" w14:textId="38469848" w:rsidR="00FB40F9" w:rsidRDefault="00000000" w:rsidP="00FB40F9">
          <w:pPr>
            <w:pStyle w:val="TOC1"/>
            <w:rPr>
              <w:rFonts w:asciiTheme="minorHAnsi" w:eastAsiaTheme="minorEastAsia" w:hAnsiTheme="minorHAnsi" w:cstheme="minorBidi"/>
              <w:color w:val="auto"/>
              <w:kern w:val="2"/>
              <w:sz w:val="22"/>
              <w:szCs w:val="22"/>
              <w:lang w:val="en-AU" w:eastAsia="en-AU"/>
              <w14:ligatures w14:val="standardContextual"/>
            </w:rPr>
          </w:pPr>
          <w:hyperlink w:anchor="_Toc169868015" w:history="1">
            <w:r w:rsidR="00FB40F9" w:rsidRPr="001F655A">
              <w:rPr>
                <w:rStyle w:val="Hyperlink"/>
                <w:rFonts w:eastAsia="Yu Gothic Light"/>
              </w:rPr>
              <w:t xml:space="preserve">CI 4: </w:t>
            </w:r>
            <w:r w:rsidR="00FB40F9" w:rsidRPr="001F655A">
              <w:rPr>
                <w:rStyle w:val="Hyperlink"/>
                <w:rFonts w:eastAsia="Yu Gothic Light" w:cs="Times New Roman"/>
              </w:rPr>
              <w:t>Feeling in control</w:t>
            </w:r>
            <w:r w:rsidR="00FB40F9">
              <w:rPr>
                <w:webHidden/>
              </w:rPr>
              <w:tab/>
            </w:r>
            <w:r w:rsidR="00FB40F9">
              <w:rPr>
                <w:webHidden/>
              </w:rPr>
              <w:fldChar w:fldCharType="begin"/>
            </w:r>
            <w:r w:rsidR="00FB40F9">
              <w:rPr>
                <w:webHidden/>
              </w:rPr>
              <w:instrText xml:space="preserve"> PAGEREF _Toc169868015 \h </w:instrText>
            </w:r>
            <w:r w:rsidR="00FB40F9">
              <w:rPr>
                <w:webHidden/>
              </w:rPr>
            </w:r>
            <w:r w:rsidR="00FB40F9">
              <w:rPr>
                <w:webHidden/>
              </w:rPr>
              <w:fldChar w:fldCharType="separate"/>
            </w:r>
            <w:r w:rsidR="00766EFD">
              <w:rPr>
                <w:webHidden/>
              </w:rPr>
              <w:t>12</w:t>
            </w:r>
            <w:r w:rsidR="00FB40F9">
              <w:rPr>
                <w:webHidden/>
              </w:rPr>
              <w:fldChar w:fldCharType="end"/>
            </w:r>
          </w:hyperlink>
        </w:p>
        <w:p w14:paraId="69994B7F" w14:textId="2981243E" w:rsidR="00FB40F9" w:rsidRDefault="00000000" w:rsidP="00FB40F9">
          <w:pPr>
            <w:pStyle w:val="TOC1"/>
            <w:rPr>
              <w:rFonts w:asciiTheme="minorHAnsi" w:eastAsiaTheme="minorEastAsia" w:hAnsiTheme="minorHAnsi" w:cstheme="minorBidi"/>
              <w:color w:val="auto"/>
              <w:kern w:val="2"/>
              <w:sz w:val="22"/>
              <w:szCs w:val="22"/>
              <w:lang w:val="en-AU" w:eastAsia="en-AU"/>
              <w14:ligatures w14:val="standardContextual"/>
            </w:rPr>
          </w:pPr>
          <w:hyperlink w:anchor="_Toc169868016" w:history="1">
            <w:r w:rsidR="00FB40F9" w:rsidRPr="001F655A">
              <w:rPr>
                <w:rStyle w:val="Hyperlink"/>
                <w:rFonts w:eastAsia="Yu Gothic Light"/>
              </w:rPr>
              <w:t>CI 5</w:t>
            </w:r>
            <w:r w:rsidR="00FB40F9" w:rsidRPr="001F655A">
              <w:rPr>
                <w:rStyle w:val="Hyperlink"/>
                <w:rFonts w:eastAsia="Yu Gothic Light" w:cs="Times New Roman"/>
              </w:rPr>
              <w:t>: Proportion of children developmentally vulnerable</w:t>
            </w:r>
            <w:r w:rsidR="00FB40F9">
              <w:rPr>
                <w:webHidden/>
              </w:rPr>
              <w:tab/>
            </w:r>
            <w:r w:rsidR="00FB40F9">
              <w:rPr>
                <w:webHidden/>
              </w:rPr>
              <w:fldChar w:fldCharType="begin"/>
            </w:r>
            <w:r w:rsidR="00FB40F9">
              <w:rPr>
                <w:webHidden/>
              </w:rPr>
              <w:instrText xml:space="preserve"> PAGEREF _Toc169868016 \h </w:instrText>
            </w:r>
            <w:r w:rsidR="00FB40F9">
              <w:rPr>
                <w:webHidden/>
              </w:rPr>
            </w:r>
            <w:r w:rsidR="00FB40F9">
              <w:rPr>
                <w:webHidden/>
              </w:rPr>
              <w:fldChar w:fldCharType="separate"/>
            </w:r>
            <w:r w:rsidR="00766EFD">
              <w:rPr>
                <w:webHidden/>
              </w:rPr>
              <w:t>15</w:t>
            </w:r>
            <w:r w:rsidR="00FB40F9">
              <w:rPr>
                <w:webHidden/>
              </w:rPr>
              <w:fldChar w:fldCharType="end"/>
            </w:r>
          </w:hyperlink>
        </w:p>
        <w:p w14:paraId="38F2385B" w14:textId="03EA6B4F" w:rsidR="00FB40F9" w:rsidRDefault="00000000" w:rsidP="00FB40F9">
          <w:pPr>
            <w:pStyle w:val="TOC1"/>
            <w:rPr>
              <w:rFonts w:asciiTheme="minorHAnsi" w:eastAsiaTheme="minorEastAsia" w:hAnsiTheme="minorHAnsi" w:cstheme="minorBidi"/>
              <w:color w:val="auto"/>
              <w:kern w:val="2"/>
              <w:sz w:val="22"/>
              <w:szCs w:val="22"/>
              <w:lang w:val="en-AU" w:eastAsia="en-AU"/>
              <w14:ligatures w14:val="standardContextual"/>
            </w:rPr>
          </w:pPr>
          <w:hyperlink w:anchor="_Toc169868017" w:history="1">
            <w:r w:rsidR="00FB40F9" w:rsidRPr="001F655A">
              <w:rPr>
                <w:rStyle w:val="Hyperlink"/>
                <w:rFonts w:eastAsia="Yu Gothic Light" w:cs="Times New Roman"/>
              </w:rPr>
              <w:t>CI 6: Housing security (homelessness)</w:t>
            </w:r>
            <w:r w:rsidR="00FB40F9">
              <w:rPr>
                <w:webHidden/>
              </w:rPr>
              <w:tab/>
            </w:r>
            <w:r w:rsidR="00FB40F9">
              <w:rPr>
                <w:webHidden/>
              </w:rPr>
              <w:fldChar w:fldCharType="begin"/>
            </w:r>
            <w:r w:rsidR="00FB40F9">
              <w:rPr>
                <w:webHidden/>
              </w:rPr>
              <w:instrText xml:space="preserve"> PAGEREF _Toc169868017 \h </w:instrText>
            </w:r>
            <w:r w:rsidR="00FB40F9">
              <w:rPr>
                <w:webHidden/>
              </w:rPr>
            </w:r>
            <w:r w:rsidR="00FB40F9">
              <w:rPr>
                <w:webHidden/>
              </w:rPr>
              <w:fldChar w:fldCharType="separate"/>
            </w:r>
            <w:r w:rsidR="00766EFD">
              <w:rPr>
                <w:webHidden/>
              </w:rPr>
              <w:t>17</w:t>
            </w:r>
            <w:r w:rsidR="00FB40F9">
              <w:rPr>
                <w:webHidden/>
              </w:rPr>
              <w:fldChar w:fldCharType="end"/>
            </w:r>
          </w:hyperlink>
        </w:p>
        <w:p w14:paraId="3F68C025" w14:textId="0F72C170" w:rsidR="00FB40F9" w:rsidRDefault="00000000" w:rsidP="00FB40F9">
          <w:pPr>
            <w:pStyle w:val="TOC1"/>
            <w:rPr>
              <w:rFonts w:asciiTheme="minorHAnsi" w:eastAsiaTheme="minorEastAsia" w:hAnsiTheme="minorHAnsi" w:cstheme="minorBidi"/>
              <w:color w:val="auto"/>
              <w:kern w:val="2"/>
              <w:sz w:val="22"/>
              <w:szCs w:val="22"/>
              <w:lang w:val="en-AU" w:eastAsia="en-AU"/>
              <w14:ligatures w14:val="standardContextual"/>
            </w:rPr>
          </w:pPr>
          <w:hyperlink w:anchor="_Toc169868018" w:history="1">
            <w:r w:rsidR="00FB40F9" w:rsidRPr="001F655A">
              <w:rPr>
                <w:rStyle w:val="Hyperlink"/>
                <w:rFonts w:eastAsia="Yu Gothic Light" w:cs="Times New Roman"/>
              </w:rPr>
              <w:t xml:space="preserve">CI 7: Financial stress </w:t>
            </w:r>
            <w:r w:rsidR="00FB40F9">
              <w:rPr>
                <w:webHidden/>
              </w:rPr>
              <w:tab/>
            </w:r>
            <w:r w:rsidR="00FB40F9">
              <w:rPr>
                <w:webHidden/>
              </w:rPr>
              <w:fldChar w:fldCharType="begin"/>
            </w:r>
            <w:r w:rsidR="00FB40F9">
              <w:rPr>
                <w:webHidden/>
              </w:rPr>
              <w:instrText xml:space="preserve"> PAGEREF _Toc169868018 \h </w:instrText>
            </w:r>
            <w:r w:rsidR="00FB40F9">
              <w:rPr>
                <w:webHidden/>
              </w:rPr>
            </w:r>
            <w:r w:rsidR="00FB40F9">
              <w:rPr>
                <w:webHidden/>
              </w:rPr>
              <w:fldChar w:fldCharType="separate"/>
            </w:r>
            <w:r w:rsidR="00766EFD">
              <w:rPr>
                <w:webHidden/>
              </w:rPr>
              <w:t>20</w:t>
            </w:r>
            <w:r w:rsidR="00FB40F9">
              <w:rPr>
                <w:webHidden/>
              </w:rPr>
              <w:fldChar w:fldCharType="end"/>
            </w:r>
          </w:hyperlink>
        </w:p>
        <w:p w14:paraId="30A0110D" w14:textId="2F825E04" w:rsidR="00FB40F9" w:rsidRDefault="00000000" w:rsidP="00FB40F9">
          <w:pPr>
            <w:pStyle w:val="TOC1"/>
            <w:rPr>
              <w:rFonts w:asciiTheme="minorHAnsi" w:eastAsiaTheme="minorEastAsia" w:hAnsiTheme="minorHAnsi" w:cstheme="minorBidi"/>
              <w:color w:val="auto"/>
              <w:kern w:val="2"/>
              <w:sz w:val="22"/>
              <w:szCs w:val="22"/>
              <w:lang w:val="en-AU" w:eastAsia="en-AU"/>
              <w14:ligatures w14:val="standardContextual"/>
            </w:rPr>
          </w:pPr>
          <w:hyperlink w:anchor="_Toc169868019" w:history="1">
            <w:r w:rsidR="00FB40F9" w:rsidRPr="001F655A">
              <w:rPr>
                <w:rStyle w:val="Hyperlink"/>
                <w:rFonts w:eastAsia="Yu Gothic Light" w:cs="Times New Roman"/>
              </w:rPr>
              <w:t>CI 8: Employment rate</w:t>
            </w:r>
            <w:r w:rsidR="00FB40F9">
              <w:rPr>
                <w:webHidden/>
              </w:rPr>
              <w:tab/>
            </w:r>
            <w:r w:rsidR="00FB40F9">
              <w:rPr>
                <w:webHidden/>
              </w:rPr>
              <w:fldChar w:fldCharType="begin"/>
            </w:r>
            <w:r w:rsidR="00FB40F9">
              <w:rPr>
                <w:webHidden/>
              </w:rPr>
              <w:instrText xml:space="preserve"> PAGEREF _Toc169868019 \h </w:instrText>
            </w:r>
            <w:r w:rsidR="00FB40F9">
              <w:rPr>
                <w:webHidden/>
              </w:rPr>
            </w:r>
            <w:r w:rsidR="00FB40F9">
              <w:rPr>
                <w:webHidden/>
              </w:rPr>
              <w:fldChar w:fldCharType="separate"/>
            </w:r>
            <w:r w:rsidR="00766EFD">
              <w:rPr>
                <w:webHidden/>
              </w:rPr>
              <w:t>22</w:t>
            </w:r>
            <w:r w:rsidR="00FB40F9">
              <w:rPr>
                <w:webHidden/>
              </w:rPr>
              <w:fldChar w:fldCharType="end"/>
            </w:r>
          </w:hyperlink>
        </w:p>
        <w:p w14:paraId="07BAEFC0" w14:textId="199E48A6" w:rsidR="00FB40F9" w:rsidRDefault="00000000" w:rsidP="00FB40F9">
          <w:pPr>
            <w:pStyle w:val="TOC1"/>
            <w:rPr>
              <w:rFonts w:asciiTheme="minorHAnsi" w:eastAsiaTheme="minorEastAsia" w:hAnsiTheme="minorHAnsi" w:cstheme="minorBidi"/>
              <w:color w:val="auto"/>
              <w:kern w:val="2"/>
              <w:sz w:val="22"/>
              <w:szCs w:val="22"/>
              <w:lang w:val="en-AU" w:eastAsia="en-AU"/>
              <w14:ligatures w14:val="standardContextual"/>
            </w:rPr>
          </w:pPr>
          <w:hyperlink w:anchor="_Toc169868020" w:history="1">
            <w:r w:rsidR="00FB40F9" w:rsidRPr="001F655A">
              <w:rPr>
                <w:rStyle w:val="Hyperlink"/>
                <w:rFonts w:eastAsia="Yu Gothic Light"/>
              </w:rPr>
              <w:t>CI 9</w:t>
            </w:r>
            <w:r w:rsidR="00FB40F9" w:rsidRPr="001F655A">
              <w:rPr>
                <w:rStyle w:val="Hyperlink"/>
                <w:rFonts w:eastAsia="Yu Gothic Light" w:cs="Times New Roman"/>
              </w:rPr>
              <w:t>: Engagement in employment or study for young people</w:t>
            </w:r>
            <w:r w:rsidR="00FB40F9">
              <w:rPr>
                <w:webHidden/>
              </w:rPr>
              <w:tab/>
            </w:r>
            <w:r w:rsidR="00FB40F9">
              <w:rPr>
                <w:webHidden/>
              </w:rPr>
              <w:fldChar w:fldCharType="begin"/>
            </w:r>
            <w:r w:rsidR="00FB40F9">
              <w:rPr>
                <w:webHidden/>
              </w:rPr>
              <w:instrText xml:space="preserve"> PAGEREF _Toc169868020 \h </w:instrText>
            </w:r>
            <w:r w:rsidR="00FB40F9">
              <w:rPr>
                <w:webHidden/>
              </w:rPr>
            </w:r>
            <w:r w:rsidR="00FB40F9">
              <w:rPr>
                <w:webHidden/>
              </w:rPr>
              <w:fldChar w:fldCharType="separate"/>
            </w:r>
            <w:r w:rsidR="00766EFD">
              <w:rPr>
                <w:webHidden/>
              </w:rPr>
              <w:t>25</w:t>
            </w:r>
            <w:r w:rsidR="00FB40F9">
              <w:rPr>
                <w:webHidden/>
              </w:rPr>
              <w:fldChar w:fldCharType="end"/>
            </w:r>
          </w:hyperlink>
        </w:p>
        <w:p w14:paraId="298C4BED" w14:textId="3EEBD87B" w:rsidR="00FB40F9" w:rsidRDefault="00000000" w:rsidP="00FB40F9">
          <w:pPr>
            <w:pStyle w:val="TOC1"/>
            <w:rPr>
              <w:rFonts w:asciiTheme="minorHAnsi" w:eastAsiaTheme="minorEastAsia" w:hAnsiTheme="minorHAnsi" w:cstheme="minorBidi"/>
              <w:color w:val="auto"/>
              <w:kern w:val="2"/>
              <w:sz w:val="22"/>
              <w:szCs w:val="22"/>
              <w:lang w:val="en-AU" w:eastAsia="en-AU"/>
              <w14:ligatures w14:val="standardContextual"/>
            </w:rPr>
          </w:pPr>
          <w:hyperlink w:anchor="_Toc169868021" w:history="1">
            <w:r w:rsidR="00FB40F9" w:rsidRPr="001F655A">
              <w:rPr>
                <w:rStyle w:val="Hyperlink"/>
                <w:rFonts w:eastAsia="Yu Gothic Light"/>
              </w:rPr>
              <w:t>CI 1</w:t>
            </w:r>
            <w:r w:rsidR="00FB40F9" w:rsidRPr="001F655A">
              <w:rPr>
                <w:rStyle w:val="Hyperlink"/>
                <w:rFonts w:eastAsia="Yu Gothic Light" w:cs="Times New Roman"/>
              </w:rPr>
              <w:t>0: Prevalence of physical health conditions</w:t>
            </w:r>
            <w:r w:rsidR="00FB40F9">
              <w:rPr>
                <w:webHidden/>
              </w:rPr>
              <w:tab/>
            </w:r>
            <w:r w:rsidR="00FB40F9">
              <w:rPr>
                <w:webHidden/>
              </w:rPr>
              <w:fldChar w:fldCharType="begin"/>
            </w:r>
            <w:r w:rsidR="00FB40F9">
              <w:rPr>
                <w:webHidden/>
              </w:rPr>
              <w:instrText xml:space="preserve"> PAGEREF _Toc169868021 \h </w:instrText>
            </w:r>
            <w:r w:rsidR="00FB40F9">
              <w:rPr>
                <w:webHidden/>
              </w:rPr>
            </w:r>
            <w:r w:rsidR="00FB40F9">
              <w:rPr>
                <w:webHidden/>
              </w:rPr>
              <w:fldChar w:fldCharType="separate"/>
            </w:r>
            <w:r w:rsidR="00766EFD">
              <w:rPr>
                <w:webHidden/>
              </w:rPr>
              <w:t>28</w:t>
            </w:r>
            <w:r w:rsidR="00FB40F9">
              <w:rPr>
                <w:webHidden/>
              </w:rPr>
              <w:fldChar w:fldCharType="end"/>
            </w:r>
          </w:hyperlink>
        </w:p>
        <w:p w14:paraId="06499F43" w14:textId="461DBA02" w:rsidR="00FB40F9" w:rsidRDefault="00000000" w:rsidP="00FB40F9">
          <w:pPr>
            <w:pStyle w:val="TOC1"/>
            <w:rPr>
              <w:rFonts w:asciiTheme="minorHAnsi" w:eastAsiaTheme="minorEastAsia" w:hAnsiTheme="minorHAnsi" w:cstheme="minorBidi"/>
              <w:color w:val="auto"/>
              <w:kern w:val="2"/>
              <w:sz w:val="22"/>
              <w:szCs w:val="22"/>
              <w:lang w:val="en-AU" w:eastAsia="en-AU"/>
              <w14:ligatures w14:val="standardContextual"/>
            </w:rPr>
          </w:pPr>
          <w:hyperlink w:anchor="_Toc169868022" w:history="1">
            <w:r w:rsidR="00FB40F9" w:rsidRPr="001F655A">
              <w:rPr>
                <w:rStyle w:val="Hyperlink"/>
                <w:rFonts w:eastAsia="Yu Gothic Light"/>
              </w:rPr>
              <w:t>CI 11</w:t>
            </w:r>
            <w:r w:rsidR="00FB40F9" w:rsidRPr="001F655A">
              <w:rPr>
                <w:rStyle w:val="Hyperlink"/>
                <w:rFonts w:eastAsia="Yu Gothic Light" w:cs="Times New Roman"/>
              </w:rPr>
              <w:t>: Alcohol consumption</w:t>
            </w:r>
            <w:r w:rsidR="00FB40F9">
              <w:rPr>
                <w:webHidden/>
              </w:rPr>
              <w:tab/>
            </w:r>
            <w:r w:rsidR="00FB40F9">
              <w:rPr>
                <w:webHidden/>
              </w:rPr>
              <w:fldChar w:fldCharType="begin"/>
            </w:r>
            <w:r w:rsidR="00FB40F9">
              <w:rPr>
                <w:webHidden/>
              </w:rPr>
              <w:instrText xml:space="preserve"> PAGEREF _Toc169868022 \h </w:instrText>
            </w:r>
            <w:r w:rsidR="00FB40F9">
              <w:rPr>
                <w:webHidden/>
              </w:rPr>
            </w:r>
            <w:r w:rsidR="00FB40F9">
              <w:rPr>
                <w:webHidden/>
              </w:rPr>
              <w:fldChar w:fldCharType="separate"/>
            </w:r>
            <w:r w:rsidR="00766EFD">
              <w:rPr>
                <w:webHidden/>
              </w:rPr>
              <w:t>31</w:t>
            </w:r>
            <w:r w:rsidR="00FB40F9">
              <w:rPr>
                <w:webHidden/>
              </w:rPr>
              <w:fldChar w:fldCharType="end"/>
            </w:r>
          </w:hyperlink>
        </w:p>
        <w:p w14:paraId="516F90D9" w14:textId="2A0DCF24" w:rsidR="00FB40F9" w:rsidRDefault="00000000" w:rsidP="00FB40F9">
          <w:pPr>
            <w:pStyle w:val="TOC1"/>
            <w:rPr>
              <w:rFonts w:asciiTheme="minorHAnsi" w:eastAsiaTheme="minorEastAsia" w:hAnsiTheme="minorHAnsi" w:cstheme="minorBidi"/>
              <w:color w:val="auto"/>
              <w:kern w:val="2"/>
              <w:sz w:val="22"/>
              <w:szCs w:val="22"/>
              <w:lang w:val="en-AU" w:eastAsia="en-AU"/>
              <w14:ligatures w14:val="standardContextual"/>
            </w:rPr>
          </w:pPr>
          <w:hyperlink w:anchor="_Toc169868023" w:history="1">
            <w:r w:rsidR="00FB40F9" w:rsidRPr="001F655A">
              <w:rPr>
                <w:rStyle w:val="Hyperlink"/>
                <w:rFonts w:eastAsia="Yu Gothic Light"/>
              </w:rPr>
              <w:t xml:space="preserve">CI 12: </w:t>
            </w:r>
            <w:r w:rsidR="00FB40F9" w:rsidRPr="001F655A">
              <w:rPr>
                <w:rStyle w:val="Hyperlink"/>
                <w:rFonts w:eastAsia="Yu Gothic Light" w:cs="Times New Roman"/>
              </w:rPr>
              <w:t>Feeling lonely</w:t>
            </w:r>
            <w:r w:rsidR="00FB40F9">
              <w:rPr>
                <w:webHidden/>
              </w:rPr>
              <w:tab/>
            </w:r>
            <w:r w:rsidR="00FB40F9">
              <w:rPr>
                <w:webHidden/>
              </w:rPr>
              <w:fldChar w:fldCharType="begin"/>
            </w:r>
            <w:r w:rsidR="00FB40F9">
              <w:rPr>
                <w:webHidden/>
              </w:rPr>
              <w:instrText xml:space="preserve"> PAGEREF _Toc169868023 \h </w:instrText>
            </w:r>
            <w:r w:rsidR="00FB40F9">
              <w:rPr>
                <w:webHidden/>
              </w:rPr>
            </w:r>
            <w:r w:rsidR="00FB40F9">
              <w:rPr>
                <w:webHidden/>
              </w:rPr>
              <w:fldChar w:fldCharType="separate"/>
            </w:r>
            <w:r w:rsidR="00766EFD">
              <w:rPr>
                <w:webHidden/>
              </w:rPr>
              <w:t>33</w:t>
            </w:r>
            <w:r w:rsidR="00FB40F9">
              <w:rPr>
                <w:webHidden/>
              </w:rPr>
              <w:fldChar w:fldCharType="end"/>
            </w:r>
          </w:hyperlink>
        </w:p>
        <w:p w14:paraId="4014C7EC" w14:textId="4A173F6D" w:rsidR="00FB40F9" w:rsidRDefault="00000000" w:rsidP="00FB40F9">
          <w:pPr>
            <w:pStyle w:val="TOC1"/>
            <w:rPr>
              <w:rFonts w:asciiTheme="minorHAnsi" w:eastAsiaTheme="minorEastAsia" w:hAnsiTheme="minorHAnsi" w:cstheme="minorBidi"/>
              <w:color w:val="auto"/>
              <w:kern w:val="2"/>
              <w:sz w:val="22"/>
              <w:szCs w:val="22"/>
              <w:lang w:val="en-AU" w:eastAsia="en-AU"/>
              <w14:ligatures w14:val="standardContextual"/>
            </w:rPr>
          </w:pPr>
          <w:hyperlink w:anchor="_Toc169868024" w:history="1">
            <w:r w:rsidR="00FB40F9" w:rsidRPr="001F655A">
              <w:rPr>
                <w:rStyle w:val="Hyperlink"/>
                <w:rFonts w:eastAsia="Yu Gothic Light"/>
              </w:rPr>
              <w:t xml:space="preserve">CI 13: </w:t>
            </w:r>
            <w:r w:rsidR="00FB40F9" w:rsidRPr="001F655A">
              <w:rPr>
                <w:rStyle w:val="Hyperlink"/>
                <w:rFonts w:eastAsia="Yu Gothic Light" w:cs="Times New Roman"/>
              </w:rPr>
              <w:t>Experiences of discrimination</w:t>
            </w:r>
            <w:r w:rsidR="00FB40F9">
              <w:rPr>
                <w:webHidden/>
              </w:rPr>
              <w:tab/>
            </w:r>
            <w:r w:rsidR="00FB40F9">
              <w:rPr>
                <w:webHidden/>
              </w:rPr>
              <w:fldChar w:fldCharType="begin"/>
            </w:r>
            <w:r w:rsidR="00FB40F9">
              <w:rPr>
                <w:webHidden/>
              </w:rPr>
              <w:instrText xml:space="preserve"> PAGEREF _Toc169868024 \h </w:instrText>
            </w:r>
            <w:r w:rsidR="00FB40F9">
              <w:rPr>
                <w:webHidden/>
              </w:rPr>
            </w:r>
            <w:r w:rsidR="00FB40F9">
              <w:rPr>
                <w:webHidden/>
              </w:rPr>
              <w:fldChar w:fldCharType="separate"/>
            </w:r>
            <w:r w:rsidR="00766EFD">
              <w:rPr>
                <w:webHidden/>
              </w:rPr>
              <w:t>36</w:t>
            </w:r>
            <w:r w:rsidR="00FB40F9">
              <w:rPr>
                <w:webHidden/>
              </w:rPr>
              <w:fldChar w:fldCharType="end"/>
            </w:r>
          </w:hyperlink>
        </w:p>
        <w:p w14:paraId="440C1313" w14:textId="22918C0C" w:rsidR="00FB40F9" w:rsidRDefault="00000000" w:rsidP="00FB40F9">
          <w:pPr>
            <w:pStyle w:val="TOC1"/>
            <w:rPr>
              <w:rFonts w:asciiTheme="minorHAnsi" w:eastAsiaTheme="minorEastAsia" w:hAnsiTheme="minorHAnsi" w:cstheme="minorBidi"/>
              <w:color w:val="auto"/>
              <w:kern w:val="2"/>
              <w:sz w:val="22"/>
              <w:szCs w:val="22"/>
              <w:lang w:val="en-AU" w:eastAsia="en-AU"/>
              <w14:ligatures w14:val="standardContextual"/>
            </w:rPr>
          </w:pPr>
          <w:hyperlink w:anchor="_Toc169868025" w:history="1">
            <w:r w:rsidR="00FB40F9" w:rsidRPr="001F655A">
              <w:rPr>
                <w:rStyle w:val="Hyperlink"/>
              </w:rPr>
              <w:t>Acronyms and abbreviations</w:t>
            </w:r>
            <w:r w:rsidR="00FB40F9">
              <w:rPr>
                <w:webHidden/>
              </w:rPr>
              <w:tab/>
            </w:r>
            <w:r w:rsidR="00FB40F9">
              <w:rPr>
                <w:webHidden/>
              </w:rPr>
              <w:fldChar w:fldCharType="begin"/>
            </w:r>
            <w:r w:rsidR="00FB40F9">
              <w:rPr>
                <w:webHidden/>
              </w:rPr>
              <w:instrText xml:space="preserve"> PAGEREF _Toc169868025 \h </w:instrText>
            </w:r>
            <w:r w:rsidR="00FB40F9">
              <w:rPr>
                <w:webHidden/>
              </w:rPr>
            </w:r>
            <w:r w:rsidR="00FB40F9">
              <w:rPr>
                <w:webHidden/>
              </w:rPr>
              <w:fldChar w:fldCharType="separate"/>
            </w:r>
            <w:r w:rsidR="00766EFD">
              <w:rPr>
                <w:webHidden/>
              </w:rPr>
              <w:t>39</w:t>
            </w:r>
            <w:r w:rsidR="00FB40F9">
              <w:rPr>
                <w:webHidden/>
              </w:rPr>
              <w:fldChar w:fldCharType="end"/>
            </w:r>
          </w:hyperlink>
        </w:p>
        <w:p w14:paraId="51DCCFC7" w14:textId="5ECE24B9" w:rsidR="00254862" w:rsidRDefault="00250055" w:rsidP="00947865">
          <w:pPr>
            <w:sectPr w:rsidR="00254862" w:rsidSect="000E7377">
              <w:footerReference w:type="even" r:id="rId11"/>
              <w:footerReference w:type="default" r:id="rId12"/>
              <w:headerReference w:type="first" r:id="rId13"/>
              <w:pgSz w:w="11900" w:h="16840"/>
              <w:pgMar w:top="1701" w:right="1134" w:bottom="1701" w:left="1134" w:header="1134" w:footer="567" w:gutter="0"/>
              <w:cols w:space="708"/>
              <w:titlePg/>
              <w:docGrid w:linePitch="360"/>
            </w:sectPr>
          </w:pPr>
          <w:r>
            <w:fldChar w:fldCharType="end"/>
          </w:r>
        </w:p>
      </w:sdtContent>
    </w:sdt>
    <w:p w14:paraId="6E9D44A3" w14:textId="77777777" w:rsidR="009B119F" w:rsidRDefault="009B119F" w:rsidP="009B119F">
      <w:pPr>
        <w:pStyle w:val="Heading1"/>
        <w:rPr>
          <w:rFonts w:eastAsiaTheme="minorHAnsi"/>
        </w:rPr>
        <w:sectPr w:rsidR="009B119F" w:rsidSect="000E7377">
          <w:headerReference w:type="default" r:id="rId14"/>
          <w:headerReference w:type="first" r:id="rId15"/>
          <w:pgSz w:w="11900" w:h="16840"/>
          <w:pgMar w:top="1701" w:right="1134" w:bottom="1701" w:left="1134" w:header="1134" w:footer="567" w:gutter="0"/>
          <w:cols w:num="2" w:space="709"/>
          <w:docGrid w:linePitch="360"/>
        </w:sectPr>
      </w:pPr>
      <w:bookmarkStart w:id="0" w:name="_Toc169692791"/>
      <w:bookmarkStart w:id="1" w:name="_Toc169868009"/>
      <w:r w:rsidRPr="00301B90">
        <w:rPr>
          <w:rFonts w:eastAsiaTheme="minorHAnsi"/>
        </w:rPr>
        <w:lastRenderedPageBreak/>
        <w:t>Acknowledgement</w:t>
      </w:r>
      <w:r>
        <w:rPr>
          <w:noProof/>
        </w:rPr>
        <mc:AlternateContent>
          <mc:Choice Requires="wps">
            <w:drawing>
              <wp:anchor distT="0" distB="0" distL="114300" distR="114300" simplePos="0" relativeHeight="251658245" behindDoc="1" locked="0" layoutInCell="1" allowOverlap="1" wp14:anchorId="115672EB" wp14:editId="3C835CF1">
                <wp:simplePos x="0" y="0"/>
                <wp:positionH relativeFrom="page">
                  <wp:align>left</wp:align>
                </wp:positionH>
                <wp:positionV relativeFrom="page">
                  <wp:align>top</wp:align>
                </wp:positionV>
                <wp:extent cx="7560000" cy="9900000"/>
                <wp:effectExtent l="0" t="0" r="0" b="6350"/>
                <wp:wrapNone/>
                <wp:docPr id="427541151" name="Rectangle 4275411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9900000"/>
                        </a:xfrm>
                        <a:prstGeom prst="rect">
                          <a:avLst/>
                        </a:prstGeom>
                        <a:solidFill>
                          <a:srgbClr val="F9F9E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3DE6B680" id="Rectangle 427541151" o:spid="_x0000_s1026" alt="&quot;&quot;" style="position:absolute;margin-left:0;margin-top:0;width:595.3pt;height:779.55pt;z-index:-251656185;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" fillcolor="#f9f9e5" stroked="f" strokeweight="1pt">
                <w10:wrap anchorx="page" anchory="page"/>
              </v:rect>
            </w:pict>
          </mc:Fallback>
        </mc:AlternateContent>
      </w:r>
      <w:bookmarkEnd w:id="0"/>
      <w:bookmarkEnd w:id="1"/>
    </w:p>
    <w:p w14:paraId="225F1C19" w14:textId="77777777" w:rsidR="009B119F" w:rsidRPr="00003C58" w:rsidRDefault="009B119F" w:rsidP="009B119F">
      <w:pPr>
        <w:pStyle w:val="Heading2"/>
        <w:rPr>
          <w:color w:val="5B626C" w:themeColor="text1"/>
          <w:szCs w:val="22"/>
        </w:rPr>
      </w:pPr>
      <w:bookmarkStart w:id="2" w:name="_Toc158198736"/>
      <w:bookmarkStart w:id="3" w:name="_Toc169018540"/>
      <w:bookmarkStart w:id="4" w:name="_Toc169188990"/>
      <w:bookmarkStart w:id="5" w:name="_Toc169692792"/>
      <w:r w:rsidRPr="00003C58">
        <w:t>Acknowledgement of Country</w:t>
      </w:r>
      <w:bookmarkEnd w:id="2"/>
      <w:bookmarkEnd w:id="3"/>
      <w:bookmarkEnd w:id="4"/>
      <w:bookmarkEnd w:id="5"/>
    </w:p>
    <w:p w14:paraId="35C5C0BA" w14:textId="57D3401A" w:rsidR="009B119F" w:rsidRDefault="009B119F" w:rsidP="009B119F">
      <w:pPr>
        <w:spacing w:after="200"/>
        <w:rPr>
          <w:color w:val="5B626C" w:themeColor="text1"/>
        </w:rPr>
      </w:pPr>
      <w:r w:rsidRPr="489777D8">
        <w:t xml:space="preserve">The </w:t>
      </w:r>
      <w:r w:rsidR="008B0071" w:rsidRPr="00073195">
        <w:t>National Mental Health Commission</w:t>
      </w:r>
      <w:r w:rsidR="008B0071" w:rsidRPr="489777D8">
        <w:t xml:space="preserve"> </w:t>
      </w:r>
      <w:r w:rsidR="008B0071">
        <w:t xml:space="preserve">(the </w:t>
      </w:r>
      <w:r w:rsidRPr="489777D8">
        <w:t>Commission</w:t>
      </w:r>
      <w:r w:rsidR="008B0071">
        <w:t>)</w:t>
      </w:r>
      <w:r w:rsidRPr="489777D8">
        <w:t xml:space="preserve"> acknowledges the traditional custodians of the lands throughout Australia. </w:t>
      </w:r>
      <w:r>
        <w:br/>
      </w:r>
      <w:r w:rsidRPr="489777D8">
        <w:t>We pay our respects to their clans, and to the elders, past</w:t>
      </w:r>
      <w:r w:rsidR="00170F5A">
        <w:t xml:space="preserve"> and</w:t>
      </w:r>
      <w:r w:rsidRPr="489777D8">
        <w:t xml:space="preserve"> present</w:t>
      </w:r>
      <w:r w:rsidR="00170F5A">
        <w:t>,</w:t>
      </w:r>
      <w:r w:rsidRPr="489777D8">
        <w:t xml:space="preserve"> and acknowledge their continuing connection to land, </w:t>
      </w:r>
      <w:proofErr w:type="gramStart"/>
      <w:r w:rsidRPr="489777D8">
        <w:t>sea</w:t>
      </w:r>
      <w:proofErr w:type="gramEnd"/>
      <w:r w:rsidRPr="489777D8">
        <w:t xml:space="preserve"> and community.</w:t>
      </w:r>
    </w:p>
    <w:p w14:paraId="7E7F6AA5" w14:textId="77777777" w:rsidR="009B119F" w:rsidRDefault="009B119F" w:rsidP="009B119F">
      <w:pPr>
        <w:pStyle w:val="Heading2"/>
        <w:rPr>
          <w:color w:val="5B626C" w:themeColor="text1"/>
          <w:szCs w:val="22"/>
        </w:rPr>
      </w:pPr>
      <w:bookmarkStart w:id="6" w:name="_Toc158198737"/>
      <w:bookmarkStart w:id="7" w:name="_Toc169018541"/>
      <w:bookmarkStart w:id="8" w:name="_Toc169188991"/>
      <w:bookmarkStart w:id="9" w:name="_Toc169692793"/>
      <w:r>
        <w:t>Recognition</w:t>
      </w:r>
      <w:r w:rsidRPr="00003C58">
        <w:t xml:space="preserve"> of Lived Experience</w:t>
      </w:r>
      <w:bookmarkEnd w:id="6"/>
      <w:bookmarkEnd w:id="7"/>
      <w:bookmarkEnd w:id="8"/>
      <w:bookmarkEnd w:id="9"/>
    </w:p>
    <w:p w14:paraId="792B3C4A" w14:textId="7BA775CC" w:rsidR="009B119F" w:rsidRDefault="009B119F" w:rsidP="009B119F">
      <w:pPr>
        <w:spacing w:after="200"/>
      </w:pPr>
      <w:bookmarkStart w:id="10" w:name="_Toc158198738"/>
      <w:bookmarkStart w:id="11" w:name="_Toc169018542"/>
      <w:r w:rsidRPr="489777D8">
        <w:t xml:space="preserve">We </w:t>
      </w:r>
      <w:r>
        <w:t>recognise</w:t>
      </w:r>
      <w:r w:rsidRPr="489777D8">
        <w:t xml:space="preserve"> the individual and collective contributions of those with a lived and living experience of mental ill-health and suicide, and those who love, have loved and care for them. Each person’s journey is unique and a valued contribution to Australia’s commitment to mental health </w:t>
      </w:r>
      <w:r w:rsidR="002F0B15">
        <w:t xml:space="preserve">and </w:t>
      </w:r>
      <w:r w:rsidRPr="489777D8">
        <w:t>suicide prevention systems reform.</w:t>
      </w:r>
    </w:p>
    <w:p w14:paraId="0AB4E8EF" w14:textId="77777777" w:rsidR="009B119F" w:rsidRDefault="009B119F" w:rsidP="009B119F">
      <w:pPr>
        <w:pStyle w:val="Heading2"/>
      </w:pPr>
      <w:r>
        <w:t>Contributors</w:t>
      </w:r>
    </w:p>
    <w:p w14:paraId="5958CAA6" w14:textId="4A706C75" w:rsidR="009B119F" w:rsidRPr="0034638D" w:rsidRDefault="009B119F" w:rsidP="009B119F">
      <w:pPr>
        <w:spacing w:after="200"/>
      </w:pPr>
      <w:r w:rsidRPr="00073195">
        <w:t xml:space="preserve">The Commission acknowledges the assistance </w:t>
      </w:r>
      <w:r w:rsidRPr="00073195">
        <w:br/>
        <w:t xml:space="preserve">and </w:t>
      </w:r>
      <w:r w:rsidRPr="00D25228">
        <w:t xml:space="preserve">cooperation of the </w:t>
      </w:r>
      <w:r w:rsidRPr="00A20A0F">
        <w:t>Australian</w:t>
      </w:r>
      <w:r>
        <w:t xml:space="preserve"> Bureau of Statistics and Australian</w:t>
      </w:r>
      <w:r w:rsidRPr="00A20A0F">
        <w:t xml:space="preserve"> Institute of Health and Welfare</w:t>
      </w:r>
      <w:r>
        <w:t>.</w:t>
      </w:r>
    </w:p>
    <w:p w14:paraId="3E633A7D" w14:textId="77777777" w:rsidR="009B119F" w:rsidRPr="005630EA" w:rsidRDefault="009B119F" w:rsidP="009B119F">
      <w:pPr>
        <w:pStyle w:val="Heading2"/>
        <w:rPr>
          <w:rFonts w:ascii="Times New Roman" w:hAnsi="Times New Roman"/>
          <w:color w:val="auto"/>
        </w:rPr>
      </w:pPr>
      <w:bookmarkStart w:id="12" w:name="_Toc158198740"/>
      <w:bookmarkStart w:id="13" w:name="_Toc169018544"/>
      <w:bookmarkStart w:id="14" w:name="_Toc169188994"/>
      <w:bookmarkStart w:id="15" w:name="_Toc169692796"/>
      <w:bookmarkStart w:id="16" w:name="_Hlk118973327"/>
      <w:bookmarkEnd w:id="10"/>
      <w:bookmarkEnd w:id="11"/>
      <w:r w:rsidRPr="2B6F7CD5">
        <w:t xml:space="preserve">A </w:t>
      </w:r>
      <w:r>
        <w:t>n</w:t>
      </w:r>
      <w:r w:rsidRPr="2B6F7CD5">
        <w:t>ote on language</w:t>
      </w:r>
      <w:bookmarkEnd w:id="12"/>
      <w:bookmarkEnd w:id="13"/>
      <w:bookmarkEnd w:id="14"/>
      <w:bookmarkEnd w:id="15"/>
    </w:p>
    <w:p w14:paraId="7FC7B4BC" w14:textId="77777777" w:rsidR="009B119F" w:rsidRPr="001C227B" w:rsidRDefault="009B119F" w:rsidP="009B119F">
      <w:bookmarkStart w:id="17" w:name="_Toc158198741"/>
      <w:bookmarkEnd w:id="16"/>
      <w:r w:rsidRPr="001C227B">
        <w:t>The Commission acknowledges that language surrounding mental health and suicide can be powerful, emotive and at times contested. People make sense of their experiences in different ways, and there is no consensus on preferred terminology.</w:t>
      </w:r>
      <w:r>
        <w:t xml:space="preserve"> </w:t>
      </w:r>
      <w:r w:rsidRPr="001C227B">
        <w:t>The Commission has been conscious to use terminology throughout this report that is respectful of those whose experiences we are describing and is well understood by the audience reading this report.</w:t>
      </w:r>
      <w:r>
        <w:t xml:space="preserve"> </w:t>
      </w:r>
      <w:r w:rsidRPr="001C227B">
        <w:t xml:space="preserve">This report covers a broad range of topics in relation to mental health and suicide prevention. </w:t>
      </w:r>
    </w:p>
    <w:p w14:paraId="2B6D7CA5" w14:textId="77777777" w:rsidR="009B119F" w:rsidRDefault="009B119F" w:rsidP="009B119F">
      <w:pPr>
        <w:spacing w:after="360"/>
        <w:rPr>
          <w:rFonts w:cs="Segoe UI"/>
          <w:szCs w:val="18"/>
        </w:rPr>
      </w:pPr>
      <w:r w:rsidRPr="00700242">
        <w:rPr>
          <w:rFonts w:cs="Segoe UI"/>
          <w:szCs w:val="18"/>
        </w:rPr>
        <w:t>Data collection activities and reports use terms like 'mental or behavioural conditions' and '12-month mental disorder' to clearly define the scope of the mental health experience(s) under consideration. This publication uses the same terms as used in these original sources</w:t>
      </w:r>
      <w:r>
        <w:rPr>
          <w:rFonts w:cs="Segoe UI"/>
          <w:szCs w:val="18"/>
        </w:rPr>
        <w:t xml:space="preserve"> </w:t>
      </w:r>
      <w:r w:rsidRPr="00700242">
        <w:rPr>
          <w:rFonts w:cs="Segoe UI"/>
          <w:szCs w:val="18"/>
        </w:rPr>
        <w:t xml:space="preserve">to </w:t>
      </w:r>
      <w:r>
        <w:rPr>
          <w:rFonts w:cs="Segoe UI"/>
          <w:szCs w:val="18"/>
        </w:rPr>
        <w:t xml:space="preserve">not </w:t>
      </w:r>
      <w:r w:rsidRPr="00700242">
        <w:rPr>
          <w:rFonts w:cs="Segoe UI"/>
          <w:szCs w:val="18"/>
        </w:rPr>
        <w:t>misrepresent the findings.</w:t>
      </w:r>
      <w:r w:rsidRPr="00C52C73">
        <w:rPr>
          <w:rFonts w:cs="Segoe UI"/>
          <w:szCs w:val="18"/>
        </w:rPr>
        <w:t xml:space="preserve"> The Commission endorses and follows the </w:t>
      </w:r>
      <w:proofErr w:type="spellStart"/>
      <w:r w:rsidRPr="00C52C73">
        <w:rPr>
          <w:rFonts w:cs="Segoe UI"/>
          <w:szCs w:val="18"/>
        </w:rPr>
        <w:t>Mindframe</w:t>
      </w:r>
      <w:proofErr w:type="spellEnd"/>
      <w:r w:rsidRPr="00C52C73">
        <w:rPr>
          <w:rFonts w:cs="Segoe UI"/>
          <w:szCs w:val="18"/>
        </w:rPr>
        <w:t xml:space="preserve"> guidelines Our Words Matter and Images Matter. The Commission also endorses the </w:t>
      </w:r>
      <w:proofErr w:type="spellStart"/>
      <w:r w:rsidRPr="00C52C73">
        <w:rPr>
          <w:rFonts w:cs="Segoe UI"/>
          <w:szCs w:val="18"/>
        </w:rPr>
        <w:t>Mindframe</w:t>
      </w:r>
      <w:proofErr w:type="spellEnd"/>
      <w:r w:rsidRPr="00C52C73">
        <w:rPr>
          <w:rFonts w:cs="Segoe UI"/>
          <w:szCs w:val="18"/>
        </w:rPr>
        <w:t xml:space="preserve"> Guidelines on Media Reporting of Severe Mental Illness in the Context of Violence and Crime and requests that media using this report do so in accordance with the Guidelines.</w:t>
      </w:r>
    </w:p>
    <w:p w14:paraId="22539298" w14:textId="77777777" w:rsidR="009B119F" w:rsidRPr="00C055B9" w:rsidRDefault="009B119F" w:rsidP="009B119F">
      <w:pPr>
        <w:spacing w:before="60" w:after="60"/>
        <w:rPr>
          <w:rFonts w:ascii="Roboto-Bold" w:eastAsiaTheme="majorEastAsia" w:hAnsi="Roboto-Bold" w:cstheme="majorBidi"/>
          <w:color w:val="008143"/>
          <w:sz w:val="26"/>
          <w:szCs w:val="26"/>
        </w:rPr>
      </w:pPr>
      <w:r w:rsidRPr="00C055B9">
        <w:rPr>
          <w:rFonts w:ascii="Roboto-Bold" w:eastAsiaTheme="majorEastAsia" w:hAnsi="Roboto-Bold" w:cstheme="majorBidi"/>
          <w:color w:val="008143"/>
          <w:sz w:val="26"/>
          <w:szCs w:val="26"/>
        </w:rPr>
        <w:t>Support</w:t>
      </w:r>
    </w:p>
    <w:p w14:paraId="7B2BA416" w14:textId="77777777" w:rsidR="009B119F" w:rsidRDefault="009B119F" w:rsidP="009B119F">
      <w:pPr>
        <w:pStyle w:val="Heading2"/>
        <w:spacing w:before="0" w:after="240"/>
        <w:rPr>
          <w:rFonts w:ascii="Roboto-Light" w:eastAsiaTheme="minorEastAsia" w:hAnsi="Roboto-Light"/>
          <w:sz w:val="18"/>
          <w:szCs w:val="18"/>
        </w:rPr>
      </w:pPr>
      <w:r w:rsidRPr="006F621A">
        <w:rPr>
          <w:rFonts w:ascii="Roboto-Light" w:eastAsiaTheme="minorHAnsi" w:hAnsi="Roboto-Light" w:cs="Roboto-Light"/>
          <w:color w:val="000000"/>
          <w:sz w:val="18"/>
          <w:szCs w:val="18"/>
        </w:rPr>
        <w:t xml:space="preserve">Support is available if you or someone you care for </w:t>
      </w:r>
      <w:proofErr w:type="gramStart"/>
      <w:r w:rsidRPr="006F621A">
        <w:rPr>
          <w:rFonts w:ascii="Roboto-Light" w:eastAsiaTheme="minorHAnsi" w:hAnsi="Roboto-Light" w:cs="Roboto-Light"/>
          <w:color w:val="000000"/>
          <w:sz w:val="18"/>
          <w:szCs w:val="18"/>
        </w:rPr>
        <w:t>is in need of</w:t>
      </w:r>
      <w:proofErr w:type="gramEnd"/>
      <w:r w:rsidRPr="006F621A">
        <w:rPr>
          <w:rFonts w:ascii="Roboto-Light" w:eastAsiaTheme="minorHAnsi" w:hAnsi="Roboto-Light" w:cs="Roboto-Light"/>
          <w:color w:val="000000"/>
          <w:sz w:val="18"/>
          <w:szCs w:val="18"/>
        </w:rPr>
        <w:t xml:space="preserve"> assistance. For information on support go to:</w:t>
      </w:r>
      <w:r w:rsidRPr="006F621A">
        <w:rPr>
          <w:rFonts w:ascii="Roboto-Light" w:eastAsiaTheme="minorEastAsia" w:hAnsi="Roboto-Light"/>
          <w:sz w:val="18"/>
          <w:szCs w:val="18"/>
        </w:rPr>
        <w:t xml:space="preserve"> </w:t>
      </w:r>
      <w:hyperlink r:id="rId16" w:history="1">
        <w:r w:rsidRPr="004748A2">
          <w:rPr>
            <w:rStyle w:val="Hyperlink"/>
            <w:rFonts w:ascii="Roboto Medium" w:eastAsiaTheme="minorEastAsia" w:hAnsi="Roboto Medium"/>
            <w:sz w:val="18"/>
            <w:szCs w:val="18"/>
          </w:rPr>
          <w:t>www.mentalhealthcommission.gov.au/find-support</w:t>
        </w:r>
      </w:hyperlink>
    </w:p>
    <w:p w14:paraId="5442DC26" w14:textId="77777777" w:rsidR="009B119F" w:rsidRPr="00951489" w:rsidRDefault="009B119F" w:rsidP="009B119F">
      <w:pPr>
        <w:pStyle w:val="Heading2"/>
        <w:rPr>
          <w:rFonts w:ascii="Times New Roman" w:hAnsi="Times New Roman"/>
          <w:color w:val="auto"/>
        </w:rPr>
      </w:pPr>
      <w:r w:rsidRPr="00951489">
        <w:t>About this report</w:t>
      </w:r>
    </w:p>
    <w:p w14:paraId="240476E5" w14:textId="5463336F" w:rsidR="009B119F" w:rsidRPr="00340874" w:rsidRDefault="009B119F" w:rsidP="009B119F">
      <w:pPr>
        <w:rPr>
          <w:rFonts w:ascii="Roboto Medium" w:hAnsi="Roboto Medium"/>
          <w:color w:val="292D78"/>
          <w:u w:val="single"/>
        </w:rPr>
      </w:pPr>
      <w:r w:rsidRPr="00C24BA0">
        <w:t>This report can be downloaded from our website</w:t>
      </w:r>
      <w:r>
        <w:t>:</w:t>
      </w:r>
      <w:r w:rsidRPr="00C24BA0">
        <w:t xml:space="preserve"> </w:t>
      </w:r>
      <w:hyperlink r:id="rId17" w:history="1">
        <w:r w:rsidRPr="004748A2">
          <w:rPr>
            <w:rStyle w:val="Hyperlink"/>
            <w:rFonts w:ascii="Roboto Medium" w:hAnsi="Roboto Medium"/>
          </w:rPr>
          <w:t>www.mentalhealthcommission.gov.au/</w:t>
        </w:r>
      </w:hyperlink>
    </w:p>
    <w:p w14:paraId="5A5207E8" w14:textId="77777777" w:rsidR="009B119F" w:rsidRPr="00C24BA0" w:rsidRDefault="009B119F" w:rsidP="009B119F">
      <w:r w:rsidRPr="00C24BA0">
        <w:t xml:space="preserve">ISSN: </w:t>
      </w:r>
      <w:r w:rsidRPr="00C055B9">
        <w:t>2209-8321</w:t>
      </w:r>
      <w:r w:rsidRPr="00C24BA0">
        <w:t xml:space="preserve"> (</w:t>
      </w:r>
      <w:r>
        <w:t>o</w:t>
      </w:r>
      <w:r w:rsidRPr="00C24BA0">
        <w:t xml:space="preserve">nline) </w:t>
      </w:r>
      <w:r>
        <w:br/>
      </w:r>
      <w:r w:rsidRPr="00C24BA0">
        <w:t>ISBN:</w:t>
      </w:r>
      <w:r w:rsidRPr="00C24BA0">
        <w:rPr>
          <w:rFonts w:ascii="Arial" w:hAnsi="Arial" w:cs="Arial"/>
          <w:b/>
          <w:bCs/>
          <w:lang w:val="en"/>
        </w:rPr>
        <w:t xml:space="preserve"> </w:t>
      </w:r>
      <w:r w:rsidRPr="495550B6">
        <w:rPr>
          <w:rFonts w:ascii="Segoe UI" w:eastAsia="Segoe UI" w:hAnsi="Segoe UI" w:cs="Segoe UI"/>
          <w:color w:val="333333"/>
          <w:szCs w:val="18"/>
        </w:rPr>
        <w:t xml:space="preserve"> </w:t>
      </w:r>
      <w:r w:rsidRPr="00C055B9">
        <w:rPr>
          <w:rFonts w:eastAsia="Segoe UI" w:cs="Segoe UI"/>
          <w:color w:val="auto"/>
          <w:szCs w:val="18"/>
        </w:rPr>
        <w:t>978-1-7636173-0-8</w:t>
      </w:r>
      <w:r w:rsidRPr="00C055B9">
        <w:rPr>
          <w:color w:val="auto"/>
        </w:rPr>
        <w:t xml:space="preserve"> </w:t>
      </w:r>
      <w:r w:rsidRPr="00951489">
        <w:t>(</w:t>
      </w:r>
      <w:r>
        <w:t>o</w:t>
      </w:r>
      <w:r w:rsidRPr="00951489">
        <w:t>nline)</w:t>
      </w:r>
      <w:r>
        <w:t xml:space="preserve"> </w:t>
      </w:r>
    </w:p>
    <w:p w14:paraId="18062B85" w14:textId="77777777" w:rsidR="009B119F" w:rsidRDefault="009B119F" w:rsidP="009B119F">
      <w:pPr>
        <w:pStyle w:val="Heading2"/>
      </w:pPr>
      <w:r w:rsidRPr="00C24BA0">
        <w:t>Suggested citation</w:t>
      </w:r>
    </w:p>
    <w:p w14:paraId="3FC057CC" w14:textId="77777777" w:rsidR="009B119F" w:rsidRPr="00B376C0" w:rsidRDefault="009B119F" w:rsidP="009B119F">
      <w:pPr>
        <w:spacing w:after="200"/>
      </w:pPr>
      <w:r>
        <w:t>Mental Health Commission. National Report Card 2023 Technical Report. Sydney: NMHC; 2024.</w:t>
      </w:r>
    </w:p>
    <w:p w14:paraId="50F4F5B7" w14:textId="77777777" w:rsidR="009B119F" w:rsidRPr="00C24BA0" w:rsidRDefault="009B119F" w:rsidP="009B119F">
      <w:pPr>
        <w:pStyle w:val="Heading2"/>
      </w:pPr>
      <w:bookmarkStart w:id="18" w:name="_Toc169018545"/>
      <w:bookmarkStart w:id="19" w:name="_Toc169188995"/>
      <w:bookmarkStart w:id="20" w:name="_Toc169692797"/>
      <w:r w:rsidRPr="00C24BA0">
        <w:t xml:space="preserve">Learn more about our </w:t>
      </w:r>
      <w:proofErr w:type="gramStart"/>
      <w:r w:rsidRPr="00C24BA0">
        <w:t>work</w:t>
      </w:r>
      <w:bookmarkEnd w:id="17"/>
      <w:bookmarkEnd w:id="18"/>
      <w:bookmarkEnd w:id="19"/>
      <w:bookmarkEnd w:id="20"/>
      <w:proofErr w:type="gramEnd"/>
    </w:p>
    <w:p w14:paraId="608347B1" w14:textId="6745B5D0" w:rsidR="009B119F" w:rsidRPr="004224BE" w:rsidRDefault="004224BE" w:rsidP="009B119F">
      <w:pPr>
        <w:rPr>
          <w:rStyle w:val="Hyperlink"/>
          <w:rFonts w:ascii="Roboto Medium" w:hAnsi="Roboto Medium"/>
        </w:rPr>
      </w:pPr>
      <w:r>
        <w:rPr>
          <w:rStyle w:val="NMHCHyperlinkCharacter"/>
        </w:rPr>
        <w:fldChar w:fldCharType="begin"/>
      </w:r>
      <w:r>
        <w:rPr>
          <w:rStyle w:val="NMHCHyperlinkCharacter"/>
        </w:rPr>
        <w:instrText>HYPERLINK "http://www.mentalhealthcommission.gov.au/"</w:instrText>
      </w:r>
      <w:r>
        <w:rPr>
          <w:rStyle w:val="NMHCHyperlinkCharacter"/>
        </w:rPr>
      </w:r>
      <w:r>
        <w:rPr>
          <w:rStyle w:val="NMHCHyperlinkCharacter"/>
        </w:rPr>
        <w:fldChar w:fldCharType="separate"/>
      </w:r>
      <w:r w:rsidR="009B119F" w:rsidRPr="004224BE">
        <w:rPr>
          <w:rStyle w:val="Hyperlink"/>
          <w:rFonts w:ascii="Roboto Medium" w:hAnsi="Roboto Medium"/>
        </w:rPr>
        <w:t>www.mentalhealthcommission.gov.au/</w:t>
      </w:r>
    </w:p>
    <w:p w14:paraId="276245D1" w14:textId="30DF6213" w:rsidR="009B119F" w:rsidRDefault="004224BE" w:rsidP="009B119F">
      <w:r>
        <w:rPr>
          <w:rStyle w:val="NMHCHyperlinkCharacter"/>
        </w:rPr>
        <w:fldChar w:fldCharType="end"/>
      </w:r>
      <w:r w:rsidR="009B119F">
        <w:rPr>
          <w:noProof/>
        </w:rPr>
        <w:drawing>
          <wp:inline distT="0" distB="0" distL="0" distR="0" wp14:anchorId="16914C8A" wp14:editId="72C637E7">
            <wp:extent cx="266700" cy="266700"/>
            <wp:effectExtent l="0" t="0" r="0" b="0"/>
            <wp:docPr id="517716236" name="Graphic 517716236" descr="Instagram icon">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716236" name="Graphic 517716236" descr="Instagram icon">
                      <a:hlinkClick r:id="rId18"/>
                    </pic:cNvPr>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66700" cy="266700"/>
                    </a:xfrm>
                    <a:prstGeom prst="rect">
                      <a:avLst/>
                    </a:prstGeom>
                  </pic:spPr>
                </pic:pic>
              </a:graphicData>
            </a:graphic>
          </wp:inline>
        </w:drawing>
      </w:r>
      <w:r w:rsidR="009B119F">
        <w:t xml:space="preserve">  </w:t>
      </w:r>
      <w:r w:rsidR="009B119F">
        <w:rPr>
          <w:noProof/>
        </w:rPr>
        <w:drawing>
          <wp:inline distT="0" distB="0" distL="0" distR="0" wp14:anchorId="1E1441BD" wp14:editId="5832E1D0">
            <wp:extent cx="266700" cy="266700"/>
            <wp:effectExtent l="0" t="0" r="0" b="0"/>
            <wp:docPr id="1860578224" name="Graphic 1860578224" descr="Twitter icon&#10;">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578224" name="Graphic 1860578224" descr="Twitter icon&#10;">
                      <a:hlinkClick r:id="rId21"/>
                    </pic:cNvPr>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66700" cy="266700"/>
                    </a:xfrm>
                    <a:prstGeom prst="rect">
                      <a:avLst/>
                    </a:prstGeom>
                  </pic:spPr>
                </pic:pic>
              </a:graphicData>
            </a:graphic>
          </wp:inline>
        </w:drawing>
      </w:r>
      <w:r w:rsidR="009B119F">
        <w:t xml:space="preserve">  </w:t>
      </w:r>
      <w:r w:rsidR="009B119F">
        <w:rPr>
          <w:noProof/>
        </w:rPr>
        <w:drawing>
          <wp:inline distT="0" distB="0" distL="0" distR="0" wp14:anchorId="24E317CC" wp14:editId="577BE09C">
            <wp:extent cx="266700" cy="266700"/>
            <wp:effectExtent l="0" t="0" r="0" b="0"/>
            <wp:docPr id="152308574" name="Graphic 152308574" descr="YouTube icon">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08574" name="Graphic 152308574" descr="YouTube icon">
                      <a:hlinkClick r:id="rId24"/>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66700" cy="266700"/>
                    </a:xfrm>
                    <a:prstGeom prst="rect">
                      <a:avLst/>
                    </a:prstGeom>
                  </pic:spPr>
                </pic:pic>
              </a:graphicData>
            </a:graphic>
          </wp:inline>
        </w:drawing>
      </w:r>
      <w:r w:rsidR="009B119F">
        <w:t xml:space="preserve">  </w:t>
      </w:r>
      <w:r w:rsidR="009B119F">
        <w:rPr>
          <w:noProof/>
        </w:rPr>
        <w:drawing>
          <wp:inline distT="0" distB="0" distL="0" distR="0" wp14:anchorId="30020DE7" wp14:editId="149576B2">
            <wp:extent cx="266700" cy="266700"/>
            <wp:effectExtent l="0" t="0" r="0" b="0"/>
            <wp:docPr id="1399324237" name="Graphic 1399324237" descr="Facebook icon">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324237" name="Graphic 1399324237" descr="Facebook icon">
                      <a:hlinkClick r:id="rId27"/>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66700" cy="266700"/>
                    </a:xfrm>
                    <a:prstGeom prst="rect">
                      <a:avLst/>
                    </a:prstGeom>
                  </pic:spPr>
                </pic:pic>
              </a:graphicData>
            </a:graphic>
          </wp:inline>
        </w:drawing>
      </w:r>
      <w:r w:rsidR="009B119F">
        <w:t xml:space="preserve">  </w:t>
      </w:r>
      <w:r w:rsidR="009B119F">
        <w:rPr>
          <w:noProof/>
        </w:rPr>
        <w:drawing>
          <wp:inline distT="0" distB="0" distL="0" distR="0" wp14:anchorId="6E6CDDFA" wp14:editId="55F0D97D">
            <wp:extent cx="266700" cy="266700"/>
            <wp:effectExtent l="0" t="0" r="0" b="0"/>
            <wp:docPr id="1275905888" name="Graphic 1275905888" descr="LinkedIn icon">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905888" name="Graphic 1275905888" descr="LinkedIn icon">
                      <a:hlinkClick r:id="rId30"/>
                    </pic:cNvPr>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266700" cy="266700"/>
                    </a:xfrm>
                    <a:prstGeom prst="rect">
                      <a:avLst/>
                    </a:prstGeom>
                  </pic:spPr>
                </pic:pic>
              </a:graphicData>
            </a:graphic>
          </wp:inline>
        </w:drawing>
      </w:r>
    </w:p>
    <w:p w14:paraId="001D27B7" w14:textId="77777777" w:rsidR="009B119F" w:rsidRDefault="009B119F" w:rsidP="009B119F">
      <w:r>
        <w:rPr>
          <w:noProof/>
        </w:rPr>
        <w:drawing>
          <wp:inline distT="0" distB="0" distL="0" distR="0" wp14:anchorId="6ACFF00D" wp14:editId="46391AE8">
            <wp:extent cx="1027471" cy="361950"/>
            <wp:effectExtent l="0" t="0" r="0" b="0"/>
            <wp:docPr id="466021118" name="Picture 466021118" descr="Creative Commons BY 3.0 Lic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021118" name="Picture 466021118" descr="Creative Commons BY 3.0 Licence Logo"/>
                    <pic:cNvPicPr/>
                  </pic:nvPicPr>
                  <pic:blipFill>
                    <a:blip r:embed="rId33">
                      <a:extLst>
                        <a:ext uri="{28A0092B-C50C-407E-A947-70E740481C1C}">
                          <a14:useLocalDpi xmlns:a14="http://schemas.microsoft.com/office/drawing/2010/main" val="0"/>
                        </a:ext>
                      </a:extLst>
                    </a:blip>
                    <a:stretch>
                      <a:fillRect/>
                    </a:stretch>
                  </pic:blipFill>
                  <pic:spPr>
                    <a:xfrm>
                      <a:off x="0" y="0"/>
                      <a:ext cx="1027471" cy="361950"/>
                    </a:xfrm>
                    <a:prstGeom prst="rect">
                      <a:avLst/>
                    </a:prstGeom>
                  </pic:spPr>
                </pic:pic>
              </a:graphicData>
            </a:graphic>
          </wp:inline>
        </w:drawing>
      </w:r>
    </w:p>
    <w:p w14:paraId="79894136" w14:textId="77777777" w:rsidR="009B119F" w:rsidRPr="008F662F" w:rsidRDefault="009B119F" w:rsidP="009B119F">
      <w:r w:rsidRPr="008F662F">
        <w:t>© Nation</w:t>
      </w:r>
      <w:r>
        <w:t>al Mental Health Commission 2024</w:t>
      </w:r>
    </w:p>
    <w:p w14:paraId="2197BB7E" w14:textId="77777777" w:rsidR="009B119F" w:rsidRPr="008F662F" w:rsidRDefault="009B119F" w:rsidP="009B119F">
      <w:r w:rsidRPr="008F662F">
        <w:t>This product, excluding the Nation</w:t>
      </w:r>
      <w:r>
        <w:t>al Mental Health Commission</w:t>
      </w:r>
      <w:r w:rsidRPr="008F662F">
        <w:t xml:space="preserve"> logo, Commonwealth Coat of Arms and material owned by a third party or protected by a trademark, has been released under a Creative Commons BY</w:t>
      </w:r>
      <w:r>
        <w:t> </w:t>
      </w:r>
      <w:r w:rsidRPr="008F662F">
        <w:t>3.0 (CC</w:t>
      </w:r>
      <w:r>
        <w:t> </w:t>
      </w:r>
      <w:r w:rsidRPr="008F662F">
        <w:t>BY</w:t>
      </w:r>
      <w:r>
        <w:t> </w:t>
      </w:r>
      <w:r w:rsidRPr="008F662F">
        <w:t>3.0) licence.</w:t>
      </w:r>
      <w:r>
        <w:t xml:space="preserve"> </w:t>
      </w:r>
      <w:r w:rsidRPr="008F662F">
        <w:t xml:space="preserve">The excluded material owned by a third party includes data, images, accounts of personal experiences and </w:t>
      </w:r>
      <w:r>
        <w:rPr>
          <w:noProof/>
        </w:rPr>
        <mc:AlternateContent>
          <mc:Choice Requires="wps">
            <w:drawing>
              <wp:anchor distT="0" distB="0" distL="114300" distR="114300" simplePos="0" relativeHeight="251658246" behindDoc="1" locked="0" layoutInCell="1" allowOverlap="1" wp14:anchorId="17CA1D9C" wp14:editId="3FDEAFA8">
                <wp:simplePos x="0" y="0"/>
                <wp:positionH relativeFrom="page">
                  <wp:align>right</wp:align>
                </wp:positionH>
                <wp:positionV relativeFrom="page">
                  <wp:align>top</wp:align>
                </wp:positionV>
                <wp:extent cx="7560000" cy="9900000"/>
                <wp:effectExtent l="0" t="0" r="3175" b="6350"/>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9900000"/>
                        </a:xfrm>
                        <a:prstGeom prst="rect">
                          <a:avLst/>
                        </a:prstGeom>
                        <a:solidFill>
                          <a:srgbClr val="F9F9E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434F46A7" id="Rectangle 10" o:spid="_x0000_s1026" alt="&quot;&quot;" style="position:absolute;margin-left:544.1pt;margin-top:0;width:595.3pt;height:779.55pt;z-index:-251655161;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" fillcolor="#f9f9e5" stroked="f" strokeweight="1pt">
                <w10:wrap anchorx="page" anchory="page"/>
              </v:rect>
            </w:pict>
          </mc:Fallback>
        </mc:AlternateContent>
      </w:r>
      <w:r w:rsidRPr="008F662F">
        <w:t>artwork sourced from third parties, including private individuals.</w:t>
      </w:r>
    </w:p>
    <w:p w14:paraId="550090D6" w14:textId="77777777" w:rsidR="009B119F" w:rsidRDefault="009B119F" w:rsidP="009B119F">
      <w:pPr>
        <w:spacing w:after="60"/>
      </w:pPr>
      <w:r w:rsidRPr="008F662F">
        <w:t xml:space="preserve">You may distribute, </w:t>
      </w:r>
      <w:proofErr w:type="gramStart"/>
      <w:r w:rsidRPr="008F662F">
        <w:t>remix</w:t>
      </w:r>
      <w:proofErr w:type="gramEnd"/>
      <w:r w:rsidRPr="008F662F">
        <w:t xml:space="preserve"> and build upon this work. However, you must attribute the </w:t>
      </w:r>
      <w:r w:rsidRPr="003F4876">
        <w:t>National Mental Health Commission</w:t>
      </w:r>
      <w:r w:rsidRPr="008F662F">
        <w:t xml:space="preserve"> as the copyright holder of the work in compliance with our attribution policy. </w:t>
      </w:r>
      <w:r w:rsidRPr="30BA9122">
        <w:rPr>
          <w:rFonts w:eastAsiaTheme="minorEastAsia"/>
        </w:rPr>
        <w:t xml:space="preserve">Address </w:t>
      </w:r>
      <w:r w:rsidRPr="19D7CAA6">
        <w:rPr>
          <w:rFonts w:eastAsiaTheme="minorEastAsia"/>
        </w:rPr>
        <w:t>enquiries and r</w:t>
      </w:r>
      <w:r w:rsidRPr="19D7CAA6">
        <w:t xml:space="preserve">equests </w:t>
      </w:r>
      <w:r w:rsidRPr="722DAED6">
        <w:t>concerning reproduction</w:t>
      </w:r>
      <w:r w:rsidRPr="60BC1E88">
        <w:t xml:space="preserve"> or</w:t>
      </w:r>
      <w:r w:rsidRPr="722DAED6">
        <w:rPr>
          <w:rFonts w:eastAsiaTheme="minorEastAsia"/>
        </w:rPr>
        <w:t xml:space="preserve"> </w:t>
      </w:r>
      <w:r w:rsidRPr="30BA9122">
        <w:rPr>
          <w:rFonts w:eastAsiaTheme="minorEastAsia"/>
        </w:rPr>
        <w:t>copyright to:</w:t>
      </w:r>
    </w:p>
    <w:p w14:paraId="11C14733" w14:textId="77777777" w:rsidR="009B119F" w:rsidRDefault="009B119F" w:rsidP="009B119F">
      <w:pPr>
        <w:spacing w:after="0"/>
      </w:pPr>
      <w:r w:rsidRPr="005630EA">
        <w:t>Director of Engagement &amp; Communication</w:t>
      </w:r>
      <w:r>
        <w:br/>
      </w:r>
      <w:r w:rsidRPr="005630EA">
        <w:t>National Mental Health Commission</w:t>
      </w:r>
    </w:p>
    <w:p w14:paraId="4D0A5020" w14:textId="3ED520C1" w:rsidR="00254862" w:rsidRDefault="009B119F" w:rsidP="009B119F">
      <w:pPr>
        <w:sectPr w:rsidR="00254862" w:rsidSect="000E7377">
          <w:headerReference w:type="default" r:id="rId34"/>
          <w:type w:val="continuous"/>
          <w:pgSz w:w="11900" w:h="16840"/>
          <w:pgMar w:top="1701" w:right="1134" w:bottom="1701" w:left="1134" w:header="1134" w:footer="567" w:gutter="0"/>
          <w:cols w:num="2" w:space="709"/>
          <w:docGrid w:linePitch="360"/>
        </w:sectPr>
      </w:pPr>
      <w:r w:rsidRPr="005630EA">
        <w:t>PO Box R1463</w:t>
      </w:r>
      <w:r>
        <w:br/>
      </w:r>
      <w:r w:rsidRPr="005630EA">
        <w:t>Royal Exchange NSW 1225.</w:t>
      </w:r>
    </w:p>
    <w:bookmarkStart w:id="21" w:name="_Toc169868010"/>
    <w:bookmarkStart w:id="22" w:name="_Toc164671308"/>
    <w:bookmarkStart w:id="23" w:name="_Toc164671578"/>
    <w:bookmarkStart w:id="24" w:name="_Toc169692798"/>
    <w:p w14:paraId="25809E3C" w14:textId="341F23CE" w:rsidR="00396874" w:rsidRDefault="00396874" w:rsidP="00396874">
      <w:pPr>
        <w:pStyle w:val="Heading1"/>
        <w:rPr>
          <w:rFonts w:eastAsia="Yu Gothic Light"/>
        </w:rPr>
      </w:pPr>
      <w:r>
        <w:rPr>
          <w:noProof/>
        </w:rPr>
        <w:lastRenderedPageBreak/>
        <mc:AlternateContent>
          <mc:Choice Requires="wps">
            <w:drawing>
              <wp:anchor distT="0" distB="0" distL="114300" distR="114300" simplePos="0" relativeHeight="251658244" behindDoc="1" locked="0" layoutInCell="1" allowOverlap="1" wp14:anchorId="7A62DE29" wp14:editId="2B73D6EC">
                <wp:simplePos x="0" y="0"/>
                <wp:positionH relativeFrom="page">
                  <wp:align>left</wp:align>
                </wp:positionH>
                <wp:positionV relativeFrom="page">
                  <wp:align>top</wp:align>
                </wp:positionV>
                <wp:extent cx="7560000" cy="9900000"/>
                <wp:effectExtent l="0" t="0" r="3175" b="6350"/>
                <wp:wrapNone/>
                <wp:docPr id="14"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9900000"/>
                        </a:xfrm>
                        <a:prstGeom prst="rect">
                          <a:avLst/>
                        </a:prstGeom>
                        <a:solidFill>
                          <a:srgbClr val="F9F9E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13019ED8" id="Rectangle 14" o:spid="_x0000_s1026" alt="&quot;&quot;" style="position:absolute;margin-left:0;margin-top:0;width:595.3pt;height:779.55pt;z-index:-25165823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" fillcolor="#f9f9e5" stroked="f" strokeweight="1pt">
                <w10:wrap anchorx="page" anchory="page"/>
              </v:rect>
            </w:pict>
          </mc:Fallback>
        </mc:AlternateContent>
      </w:r>
      <w:r w:rsidR="00F146C9">
        <w:rPr>
          <w:rFonts w:eastAsia="Yu Gothic Light"/>
        </w:rPr>
        <w:t>Overview</w:t>
      </w:r>
      <w:bookmarkEnd w:id="21"/>
    </w:p>
    <w:p w14:paraId="3AEA351A" w14:textId="575D3ED5" w:rsidR="00F146C9" w:rsidRPr="008C4100" w:rsidRDefault="00F146C9" w:rsidP="008C4100">
      <w:pPr>
        <w:rPr>
          <w:lang w:eastAsia="en-AU"/>
        </w:rPr>
      </w:pPr>
      <w:bookmarkStart w:id="25" w:name="_Toc169700570"/>
      <w:bookmarkStart w:id="26" w:name="_Toc169868011"/>
      <w:r w:rsidRPr="008C4100">
        <w:rPr>
          <w:lang w:eastAsia="en-AU"/>
        </w:rPr>
        <w:t xml:space="preserve">Each year, the National Mental Health Commission (the Commission) publishes a report on the state of Australia’s mental health system. In 2023, the Commission is refreshing its reporting approach, through the National Report Card 2023. Using an </w:t>
      </w:r>
      <w:proofErr w:type="gramStart"/>
      <w:r w:rsidRPr="008C4100">
        <w:rPr>
          <w:lang w:eastAsia="en-AU"/>
        </w:rPr>
        <w:t>empirically-based</w:t>
      </w:r>
      <w:proofErr w:type="gramEnd"/>
      <w:r w:rsidRPr="008C4100">
        <w:rPr>
          <w:lang w:eastAsia="en-AU"/>
        </w:rPr>
        <w:t xml:space="preserve"> and simplified approach, the Report Card 2023 provides a succinct, consistent and informative report to promote transparency and track whole-of-life outcomes for people living with mental health concerns.</w:t>
      </w:r>
      <w:bookmarkEnd w:id="25"/>
      <w:bookmarkEnd w:id="26"/>
      <w:r w:rsidRPr="008C4100">
        <w:rPr>
          <w:lang w:eastAsia="en-AU"/>
        </w:rPr>
        <w:t xml:space="preserve"> </w:t>
      </w:r>
    </w:p>
    <w:p w14:paraId="0F4B51DE" w14:textId="77777777" w:rsidR="00F146C9" w:rsidRPr="00F146C9" w:rsidRDefault="00F146C9" w:rsidP="00853E73">
      <w:pPr>
        <w:rPr>
          <w:rFonts w:ascii="Arial" w:hAnsi="Arial" w:cs="Arial"/>
          <w:sz w:val="20"/>
          <w:lang w:eastAsia="en-AU"/>
        </w:rPr>
      </w:pPr>
      <w:r w:rsidRPr="00F146C9">
        <w:rPr>
          <w:lang w:eastAsia="en-AU"/>
        </w:rPr>
        <w:t xml:space="preserve">Accompanying the National Report Card 2023 is this document – the </w:t>
      </w:r>
      <w:r w:rsidRPr="00F146C9">
        <w:rPr>
          <w:i/>
          <w:iCs/>
          <w:lang w:eastAsia="en-AU"/>
        </w:rPr>
        <w:t xml:space="preserve">National Report Card 2023 Technical Report </w:t>
      </w:r>
      <w:r w:rsidRPr="00F146C9">
        <w:rPr>
          <w:lang w:eastAsia="en-AU"/>
        </w:rPr>
        <w:t xml:space="preserve">(Technical Report). The Technical Report provides a detailed description of the scope, rationale, </w:t>
      </w:r>
      <w:proofErr w:type="gramStart"/>
      <w:r w:rsidRPr="00F146C9">
        <w:rPr>
          <w:lang w:eastAsia="en-AU"/>
        </w:rPr>
        <w:t>findings</w:t>
      </w:r>
      <w:proofErr w:type="gramEnd"/>
      <w:r w:rsidRPr="00F146C9">
        <w:rPr>
          <w:lang w:eastAsia="en-AU"/>
        </w:rPr>
        <w:t xml:space="preserve"> and data source for each of the 13 core indicators selected for inclusion in the National Report Card 2023. </w:t>
      </w:r>
    </w:p>
    <w:p w14:paraId="57907682" w14:textId="4A31725A" w:rsidR="00F146C9" w:rsidRPr="00F146C9" w:rsidRDefault="00F146C9" w:rsidP="00853E73">
      <w:pPr>
        <w:rPr>
          <w:rFonts w:ascii="Arial" w:hAnsi="Arial" w:cs="Arial"/>
          <w:sz w:val="20"/>
          <w:lang w:eastAsia="en-AU"/>
        </w:rPr>
      </w:pPr>
      <w:r w:rsidRPr="00F146C9">
        <w:rPr>
          <w:lang w:eastAsia="en-AU"/>
        </w:rPr>
        <w:t>For each core indicator (</w:t>
      </w:r>
      <w:r w:rsidRPr="00F146C9">
        <w:rPr>
          <w:b/>
          <w:bCs/>
          <w:color w:val="008142"/>
          <w:lang w:eastAsia="en-AU"/>
        </w:rPr>
        <w:t>CI</w:t>
      </w:r>
      <w:r w:rsidRPr="00F146C9">
        <w:rPr>
          <w:lang w:eastAsia="en-AU"/>
        </w:rPr>
        <w:t>), the Technical Report outlines what we are tracking and why, a summary of what the most recently available data tell</w:t>
      </w:r>
      <w:r w:rsidR="005B0EA5">
        <w:rPr>
          <w:lang w:eastAsia="en-AU"/>
        </w:rPr>
        <w:t>s</w:t>
      </w:r>
      <w:r w:rsidRPr="00F146C9">
        <w:rPr>
          <w:lang w:eastAsia="en-AU"/>
        </w:rPr>
        <w:t xml:space="preserve"> us, technical information about the data source and additional information that is important to consider when interpreting the results. </w:t>
      </w:r>
      <w:r w:rsidR="00F1191D">
        <w:rPr>
          <w:lang w:eastAsia="en-AU"/>
        </w:rPr>
        <w:t>Where possible, the indicators in</w:t>
      </w:r>
      <w:r w:rsidR="00134B4D">
        <w:rPr>
          <w:lang w:eastAsia="en-AU"/>
        </w:rPr>
        <w:t xml:space="preserve">clude data at both a </w:t>
      </w:r>
      <w:r w:rsidR="005133B4">
        <w:rPr>
          <w:lang w:eastAsia="en-AU"/>
        </w:rPr>
        <w:t>whole of population</w:t>
      </w:r>
      <w:r w:rsidR="00134B4D">
        <w:rPr>
          <w:lang w:eastAsia="en-AU"/>
        </w:rPr>
        <w:t xml:space="preserve"> level and for people with lived experience of mental </w:t>
      </w:r>
      <w:r w:rsidR="005133B4">
        <w:rPr>
          <w:lang w:eastAsia="en-AU"/>
        </w:rPr>
        <w:t xml:space="preserve">health concerns. </w:t>
      </w:r>
      <w:r w:rsidR="004E5A41" w:rsidRPr="00451B71">
        <w:t>Due to differences in the collection schedules of the sources for these indicators, the data in this report vary in the number of years of data available and the time periods they cover.</w:t>
      </w:r>
    </w:p>
    <w:p w14:paraId="2D29DCC8" w14:textId="5AEF03A5" w:rsidR="00F146C9" w:rsidRDefault="00F146C9" w:rsidP="00853E73">
      <w:pPr>
        <w:rPr>
          <w:lang w:eastAsia="en-AU"/>
        </w:rPr>
      </w:pPr>
      <w:r w:rsidRPr="00F146C9">
        <w:rPr>
          <w:lang w:eastAsia="en-AU"/>
        </w:rPr>
        <w:t xml:space="preserve">The CIs included in the National Report Card 2023 and this Technical Report were selected as an initial set, based on objective </w:t>
      </w:r>
      <w:proofErr w:type="gramStart"/>
      <w:r w:rsidRPr="00F146C9">
        <w:rPr>
          <w:lang w:eastAsia="en-AU"/>
        </w:rPr>
        <w:t>criteria</w:t>
      </w:r>
      <w:proofErr w:type="gramEnd"/>
      <w:r w:rsidRPr="00F146C9">
        <w:rPr>
          <w:lang w:eastAsia="en-AU"/>
        </w:rPr>
        <w:t xml:space="preserve"> and informed by a review of existing and proposed mental health indicator frameworks. </w:t>
      </w:r>
      <w:r w:rsidR="00D93DEE">
        <w:rPr>
          <w:lang w:eastAsia="en-AU"/>
        </w:rPr>
        <w:t>T</w:t>
      </w:r>
      <w:r w:rsidRPr="00F146C9">
        <w:rPr>
          <w:lang w:eastAsia="en-AU"/>
        </w:rPr>
        <w:t xml:space="preserve">hese initial indicators </w:t>
      </w:r>
      <w:r w:rsidR="00B52DA6">
        <w:rPr>
          <w:lang w:eastAsia="en-AU"/>
        </w:rPr>
        <w:t xml:space="preserve">have been </w:t>
      </w:r>
      <w:r w:rsidRPr="00F146C9">
        <w:rPr>
          <w:lang w:eastAsia="en-AU"/>
        </w:rPr>
        <w:t>disaggregat</w:t>
      </w:r>
      <w:r w:rsidR="00B52DA6">
        <w:rPr>
          <w:lang w:eastAsia="en-AU"/>
        </w:rPr>
        <w:t>ed</w:t>
      </w:r>
      <w:r w:rsidRPr="00F146C9">
        <w:rPr>
          <w:lang w:eastAsia="en-AU"/>
        </w:rPr>
        <w:t xml:space="preserve"> by age and sex, </w:t>
      </w:r>
      <w:r w:rsidR="005C1190">
        <w:rPr>
          <w:lang w:eastAsia="en-AU"/>
        </w:rPr>
        <w:t xml:space="preserve">where </w:t>
      </w:r>
      <w:r w:rsidR="003A3C4F">
        <w:rPr>
          <w:lang w:eastAsia="en-AU"/>
        </w:rPr>
        <w:t>reliable</w:t>
      </w:r>
      <w:r w:rsidR="005C1190">
        <w:rPr>
          <w:lang w:eastAsia="en-AU"/>
        </w:rPr>
        <w:t xml:space="preserve"> data is available to highlight di</w:t>
      </w:r>
      <w:r w:rsidR="003A3C4F">
        <w:rPr>
          <w:lang w:eastAsia="en-AU"/>
        </w:rPr>
        <w:t xml:space="preserve">stributional differences. However, </w:t>
      </w:r>
      <w:r w:rsidRPr="00F146C9">
        <w:rPr>
          <w:lang w:eastAsia="en-AU"/>
        </w:rPr>
        <w:t>it is important to acknowledge that there are many other differences in the experience of mental health concerns across groups in our community.</w:t>
      </w:r>
    </w:p>
    <w:p w14:paraId="12F455F2" w14:textId="77777777" w:rsidR="00F146C9" w:rsidRPr="00F146C9" w:rsidRDefault="00F146C9" w:rsidP="00853E73">
      <w:pPr>
        <w:rPr>
          <w:rFonts w:ascii="Arial" w:hAnsi="Arial" w:cs="Arial"/>
          <w:sz w:val="20"/>
          <w:lang w:eastAsia="en-AU"/>
        </w:rPr>
      </w:pPr>
      <w:r w:rsidRPr="00F146C9">
        <w:rPr>
          <w:lang w:eastAsia="en-AU"/>
        </w:rPr>
        <w:t xml:space="preserve">The indicators presented in this Technical Report are just a starting point. Moving forward, we will be engaging with a wide range of stakeholders—including data custodians, system analysis experts and lived experience representatives—to inform our selection and refinement of core indicators, along with our reporting framework more generally. Future Report Cards will be able to include additional indicators, updated </w:t>
      </w:r>
      <w:proofErr w:type="gramStart"/>
      <w:r w:rsidRPr="00F146C9">
        <w:rPr>
          <w:lang w:eastAsia="en-AU"/>
        </w:rPr>
        <w:t>data</w:t>
      </w:r>
      <w:proofErr w:type="gramEnd"/>
      <w:r w:rsidRPr="00F146C9">
        <w:rPr>
          <w:lang w:eastAsia="en-AU"/>
        </w:rPr>
        <w:t xml:space="preserve"> and new analyses, to better understand and measure progress towards an improved mental health system. </w:t>
      </w:r>
    </w:p>
    <w:p w14:paraId="4291EBA6" w14:textId="7304D08F" w:rsidR="00F146C9" w:rsidRPr="00D50DDA" w:rsidRDefault="00F146C9" w:rsidP="00853E73">
      <w:pPr>
        <w:rPr>
          <w:rFonts w:cs="Arial"/>
          <w:sz w:val="20"/>
          <w:szCs w:val="20"/>
          <w:lang w:eastAsia="en-AU"/>
        </w:rPr>
      </w:pPr>
      <w:r w:rsidRPr="00F146C9">
        <w:rPr>
          <w:lang w:eastAsia="en-AU"/>
        </w:rPr>
        <w:t xml:space="preserve">For more information, including on the Commission’s reporting framework and selection of core indicators, please see the full National Report Card 2023 available at </w:t>
      </w:r>
      <w:hyperlink r:id="rId35" w:history="1">
        <w:r w:rsidR="000913C1" w:rsidRPr="00D50DDA">
          <w:rPr>
            <w:rStyle w:val="Hyperlink"/>
            <w:rFonts w:cs="Segoe UI"/>
            <w:szCs w:val="18"/>
          </w:rPr>
          <w:t>www.mentalhealthcommission.gov.au/monitoring-and-reporting/national-reports</w:t>
        </w:r>
      </w:hyperlink>
      <w:r>
        <w:rPr>
          <w:rFonts w:cs="Segoe UI"/>
          <w:szCs w:val="18"/>
        </w:rPr>
        <w:t>.</w:t>
      </w:r>
    </w:p>
    <w:p w14:paraId="3C53D1CB" w14:textId="7788A40A" w:rsidR="00DC5A36" w:rsidRDefault="00F146C9" w:rsidP="00DC5A36">
      <w:pPr>
        <w:suppressAutoHyphens w:val="0"/>
        <w:autoSpaceDE/>
        <w:autoSpaceDN/>
        <w:adjustRightInd/>
        <w:spacing w:before="100" w:beforeAutospacing="1" w:after="100" w:afterAutospacing="1" w:line="240" w:lineRule="auto"/>
        <w:textAlignment w:val="auto"/>
        <w:rPr>
          <w:rFonts w:ascii="Arial" w:eastAsia="Times New Roman" w:hAnsi="Arial" w:cs="Arial"/>
          <w:color w:val="auto"/>
          <w:sz w:val="20"/>
          <w:szCs w:val="20"/>
          <w:lang w:val="en-AU" w:eastAsia="en-AU"/>
        </w:rPr>
      </w:pPr>
      <w:r w:rsidRPr="00F146C9">
        <w:rPr>
          <w:rFonts w:ascii="Segoe UI" w:eastAsia="Times New Roman" w:hAnsi="Segoe UI" w:cs="Segoe UI"/>
          <w:color w:val="auto"/>
          <w:szCs w:val="18"/>
          <w:lang w:val="en-AU" w:eastAsia="en-AU"/>
        </w:rPr>
        <w:t xml:space="preserve"> </w:t>
      </w:r>
    </w:p>
    <w:p w14:paraId="500A115D" w14:textId="77777777" w:rsidR="00DC5A36" w:rsidRDefault="00DC5A36">
      <w:pPr>
        <w:suppressAutoHyphens w:val="0"/>
        <w:autoSpaceDE/>
        <w:autoSpaceDN/>
        <w:adjustRightInd/>
        <w:spacing w:after="0" w:line="240" w:lineRule="auto"/>
        <w:textAlignment w:val="auto"/>
        <w:rPr>
          <w:rFonts w:ascii="Arial" w:eastAsia="Times New Roman" w:hAnsi="Arial" w:cs="Arial"/>
          <w:color w:val="auto"/>
          <w:sz w:val="20"/>
          <w:szCs w:val="20"/>
          <w:lang w:val="en-AU" w:eastAsia="en-AU"/>
        </w:rPr>
      </w:pPr>
      <w:r>
        <w:rPr>
          <w:rFonts w:ascii="Arial" w:eastAsia="Times New Roman" w:hAnsi="Arial" w:cs="Arial"/>
          <w:color w:val="auto"/>
          <w:sz w:val="20"/>
          <w:szCs w:val="20"/>
          <w:lang w:val="en-AU" w:eastAsia="en-AU"/>
        </w:rPr>
        <w:br w:type="page"/>
      </w:r>
    </w:p>
    <w:p w14:paraId="0A67B738" w14:textId="1AC1F04B" w:rsidR="00EE41ED" w:rsidRPr="00755D97" w:rsidRDefault="00BC053A" w:rsidP="007404A6">
      <w:pPr>
        <w:pStyle w:val="Heading1"/>
        <w:rPr>
          <w:rFonts w:eastAsia="Yu Gothic Light" w:cs="Times New Roman"/>
          <w:szCs w:val="40"/>
        </w:rPr>
      </w:pPr>
      <w:bookmarkStart w:id="27" w:name="_Toc169868012"/>
      <w:r>
        <w:rPr>
          <w:rFonts w:eastAsia="Yu Gothic Light"/>
        </w:rPr>
        <w:lastRenderedPageBreak/>
        <w:t>CI</w:t>
      </w:r>
      <w:r w:rsidR="00EE41ED">
        <w:rPr>
          <w:rFonts w:eastAsia="Yu Gothic Light"/>
        </w:rPr>
        <w:t xml:space="preserve"> </w:t>
      </w:r>
      <w:r w:rsidR="00EE41ED" w:rsidRPr="7084C19E">
        <w:rPr>
          <w:rFonts w:eastAsia="Yu Gothic Light" w:cs="Times New Roman"/>
          <w:szCs w:val="40"/>
        </w:rPr>
        <w:t>1: Prevalence of mental disorders</w:t>
      </w:r>
      <w:bookmarkEnd w:id="22"/>
      <w:bookmarkEnd w:id="23"/>
      <w:bookmarkEnd w:id="24"/>
      <w:bookmarkEnd w:id="27"/>
    </w:p>
    <w:p w14:paraId="47EC9358" w14:textId="77777777" w:rsidR="00EE41ED" w:rsidRPr="00755D97" w:rsidRDefault="00EE41ED" w:rsidP="00EE41ED">
      <w:pPr>
        <w:keepNext/>
        <w:keepLines/>
        <w:spacing w:before="60" w:after="60"/>
        <w:outlineLvl w:val="1"/>
        <w:rPr>
          <w:rFonts w:ascii="Roboto-Bold" w:eastAsia="Yu Gothic Light" w:hAnsi="Roboto-Bold" w:cs="Times New Roman"/>
          <w:color w:val="008143"/>
          <w:sz w:val="26"/>
          <w:szCs w:val="26"/>
        </w:rPr>
      </w:pPr>
      <w:bookmarkStart w:id="28" w:name="_Toc164671309"/>
      <w:bookmarkStart w:id="29" w:name="_Toc164671579"/>
      <w:bookmarkStart w:id="30" w:name="_Toc169018548"/>
      <w:bookmarkStart w:id="31" w:name="_Toc169188997"/>
      <w:bookmarkStart w:id="32" w:name="_Toc169692799"/>
      <w:r w:rsidRPr="00755D97">
        <w:rPr>
          <w:rFonts w:ascii="Roboto-Bold" w:eastAsia="Yu Gothic Light" w:hAnsi="Roboto-Bold" w:cs="Times New Roman"/>
          <w:color w:val="008143"/>
          <w:sz w:val="26"/>
          <w:szCs w:val="26"/>
        </w:rPr>
        <w:t>What we are tracking (and why)</w:t>
      </w:r>
      <w:bookmarkEnd w:id="28"/>
      <w:bookmarkEnd w:id="29"/>
      <w:bookmarkEnd w:id="30"/>
      <w:bookmarkEnd w:id="31"/>
      <w:bookmarkEnd w:id="32"/>
    </w:p>
    <w:p w14:paraId="59DD730E" w14:textId="7AFD7C10" w:rsidR="00EE41ED" w:rsidRPr="00EE41ED" w:rsidRDefault="00EE41ED" w:rsidP="00EE41ED">
      <w:pPr>
        <w:rPr>
          <w:rFonts w:eastAsia="Calibri"/>
          <w:szCs w:val="18"/>
        </w:rPr>
      </w:pPr>
      <w:r w:rsidRPr="00EE41ED">
        <w:rPr>
          <w:rFonts w:eastAsia="Calibri"/>
          <w:szCs w:val="18"/>
        </w:rPr>
        <w:t>This indicator tracks the prevalence of 12-month anxiety, affective and substance use disorders for people in Australia aged 16-85 years. A 12-month mental disorder refers to people who met the diagnostic criteria for having a mental disorder at some time in their life and had sufficient symptoms of that disorder in the 12 months prior to completing the survey.</w:t>
      </w:r>
      <w:r w:rsidR="000B7F87">
        <w:rPr>
          <w:rStyle w:val="FootnoteReference"/>
          <w:rFonts w:eastAsia="Calibri"/>
          <w:szCs w:val="18"/>
        </w:rPr>
        <w:footnoteReference w:id="2"/>
      </w:r>
      <w:r w:rsidRPr="00EE41ED">
        <w:rPr>
          <w:rFonts w:eastAsia="Calibri"/>
          <w:szCs w:val="18"/>
        </w:rPr>
        <w:t xml:space="preserve"> A person may have more than one 12-month mental disorder.</w:t>
      </w:r>
    </w:p>
    <w:p w14:paraId="1F93C2FE" w14:textId="77777777" w:rsidR="00EE41ED" w:rsidRPr="00755D97" w:rsidRDefault="00EE41ED" w:rsidP="00EE41ED">
      <w:pPr>
        <w:rPr>
          <w:rFonts w:eastAsia="Calibri"/>
          <w:szCs w:val="18"/>
        </w:rPr>
      </w:pPr>
      <w:r w:rsidRPr="00EE41ED">
        <w:rPr>
          <w:rFonts w:eastAsia="Calibri"/>
          <w:szCs w:val="18"/>
        </w:rPr>
        <w:t xml:space="preserve">Prevalence rates help us understand how common mental disorders are for people in Australia. While subject to a wide array of factors, low or reducing prevalence rates may indicate improvements in the mental health system, and/or improvements in external factors that impact mental health across society. </w:t>
      </w:r>
    </w:p>
    <w:p w14:paraId="02AC5B20" w14:textId="77777777" w:rsidR="00EE41ED" w:rsidRPr="00755D97" w:rsidRDefault="00EE41ED" w:rsidP="00EE41ED">
      <w:pPr>
        <w:keepNext/>
        <w:keepLines/>
        <w:spacing w:before="60" w:after="60"/>
        <w:outlineLvl w:val="1"/>
        <w:rPr>
          <w:rFonts w:ascii="Roboto-Bold" w:eastAsia="Yu Gothic Light" w:hAnsi="Roboto-Bold" w:cs="Times New Roman"/>
          <w:color w:val="008143"/>
          <w:sz w:val="26"/>
          <w:szCs w:val="26"/>
        </w:rPr>
      </w:pPr>
      <w:bookmarkStart w:id="33" w:name="_Toc164671310"/>
      <w:bookmarkStart w:id="34" w:name="_Toc164671580"/>
      <w:bookmarkStart w:id="35" w:name="_Toc169018549"/>
      <w:bookmarkStart w:id="36" w:name="_Toc169188998"/>
      <w:bookmarkStart w:id="37" w:name="_Toc169692800"/>
      <w:r w:rsidRPr="00755D97">
        <w:rPr>
          <w:rFonts w:ascii="Roboto-Bold" w:eastAsia="Yu Gothic Light" w:hAnsi="Roboto-Bold" w:cs="Times New Roman"/>
          <w:color w:val="008143"/>
          <w:sz w:val="26"/>
          <w:szCs w:val="26"/>
        </w:rPr>
        <w:t>What the data tells us</w:t>
      </w:r>
      <w:bookmarkEnd w:id="33"/>
      <w:bookmarkEnd w:id="34"/>
      <w:bookmarkEnd w:id="35"/>
      <w:bookmarkEnd w:id="36"/>
      <w:bookmarkEnd w:id="37"/>
    </w:p>
    <w:p w14:paraId="29308DBA" w14:textId="77777777" w:rsidR="00EE41ED" w:rsidRPr="00755D97" w:rsidRDefault="00EE41ED" w:rsidP="00EE41ED">
      <w:pPr>
        <w:keepNext/>
        <w:keepLines/>
        <w:spacing w:before="60" w:after="60"/>
        <w:outlineLvl w:val="2"/>
        <w:rPr>
          <w:rFonts w:ascii="Roboto" w:eastAsia="Yu Gothic Light" w:hAnsi="Roboto" w:cs="Times New Roman"/>
          <w:b/>
          <w:color w:val="545A60"/>
          <w:sz w:val="21"/>
        </w:rPr>
      </w:pPr>
      <w:bookmarkStart w:id="38" w:name="_Toc164671311"/>
      <w:bookmarkStart w:id="39" w:name="_Toc164671581"/>
      <w:bookmarkStart w:id="40" w:name="_Toc169018550"/>
      <w:bookmarkStart w:id="41" w:name="_Toc169188999"/>
      <w:bookmarkStart w:id="42" w:name="_Toc169692801"/>
      <w:r w:rsidRPr="00755D97">
        <w:rPr>
          <w:rFonts w:ascii="Roboto" w:eastAsia="Yu Gothic Light" w:hAnsi="Roboto" w:cs="Times New Roman"/>
          <w:b/>
          <w:color w:val="545A60"/>
          <w:sz w:val="21"/>
        </w:rPr>
        <w:t xml:space="preserve">Indicator </w:t>
      </w:r>
      <w:r>
        <w:rPr>
          <w:rFonts w:ascii="Roboto" w:eastAsia="Yu Gothic Light" w:hAnsi="Roboto" w:cs="Times New Roman"/>
          <w:b/>
          <w:color w:val="545A60"/>
          <w:sz w:val="21"/>
        </w:rPr>
        <w:t>f</w:t>
      </w:r>
      <w:r w:rsidRPr="00755D97">
        <w:rPr>
          <w:rFonts w:ascii="Roboto" w:eastAsia="Yu Gothic Light" w:hAnsi="Roboto" w:cs="Times New Roman"/>
          <w:b/>
          <w:color w:val="545A60"/>
          <w:sz w:val="21"/>
        </w:rPr>
        <w:t>indings</w:t>
      </w:r>
      <w:bookmarkEnd w:id="38"/>
      <w:bookmarkEnd w:id="39"/>
      <w:bookmarkEnd w:id="40"/>
      <w:bookmarkEnd w:id="41"/>
      <w:bookmarkEnd w:id="42"/>
    </w:p>
    <w:p w14:paraId="46B9EDC4" w14:textId="029A8A00" w:rsidR="00EE41ED" w:rsidRPr="00755D97" w:rsidRDefault="00EE41ED" w:rsidP="00EE41ED">
      <w:pPr>
        <w:rPr>
          <w:rFonts w:eastAsia="Calibri"/>
          <w:szCs w:val="18"/>
        </w:rPr>
      </w:pPr>
      <w:r w:rsidRPr="7084C19E">
        <w:rPr>
          <w:rFonts w:eastAsia="Calibri"/>
          <w:szCs w:val="18"/>
        </w:rPr>
        <w:t xml:space="preserve">The </w:t>
      </w:r>
      <w:r>
        <w:rPr>
          <w:rFonts w:eastAsia="Calibri"/>
          <w:szCs w:val="18"/>
        </w:rPr>
        <w:t>estimated</w:t>
      </w:r>
      <w:r w:rsidRPr="7084C19E">
        <w:rPr>
          <w:rFonts w:eastAsia="Calibri"/>
          <w:szCs w:val="18"/>
        </w:rPr>
        <w:t xml:space="preserve"> number of people with </w:t>
      </w:r>
      <w:r>
        <w:rPr>
          <w:rFonts w:eastAsia="Calibri"/>
          <w:szCs w:val="18"/>
        </w:rPr>
        <w:t xml:space="preserve">a </w:t>
      </w:r>
      <w:r w:rsidRPr="7084C19E">
        <w:rPr>
          <w:rFonts w:eastAsia="Calibri"/>
          <w:szCs w:val="18"/>
        </w:rPr>
        <w:t>12-month mental disorder in Australia has increased from 3.1 million (19.5%) in 2007 to 4.3 million (21.5%) in 2020</w:t>
      </w:r>
      <w:r w:rsidR="00B6279A">
        <w:rPr>
          <w:rFonts w:eastAsia="Calibri"/>
          <w:szCs w:val="18"/>
        </w:rPr>
        <w:softHyphen/>
      </w:r>
      <w:r w:rsidR="00B6279A">
        <w:rPr>
          <w:rFonts w:eastAsia="Calibri"/>
          <w:szCs w:val="18"/>
        </w:rPr>
        <w:softHyphen/>
      </w:r>
      <w:r w:rsidR="00B6279A">
        <w:rPr>
          <w:rFonts w:eastAsia="Calibri"/>
          <w:szCs w:val="18"/>
        </w:rPr>
        <w:softHyphen/>
      </w:r>
      <w:r w:rsidR="00B6279A">
        <w:rPr>
          <w:rFonts w:eastAsia="Calibri"/>
          <w:szCs w:val="18"/>
        </w:rPr>
        <w:softHyphen/>
      </w:r>
      <w:r w:rsidR="00B6279A">
        <w:rPr>
          <w:rFonts w:eastAsia="Calibri"/>
          <w:szCs w:val="18"/>
        </w:rPr>
        <w:softHyphen/>
      </w:r>
      <w:r w:rsidR="00B6279A">
        <w:rPr>
          <w:rFonts w:eastAsia="Calibri"/>
          <w:szCs w:val="18"/>
        </w:rPr>
        <w:softHyphen/>
      </w:r>
      <w:r w:rsidR="00B6279A">
        <w:rPr>
          <w:rFonts w:eastAsia="Calibri"/>
          <w:szCs w:val="18"/>
        </w:rPr>
        <w:softHyphen/>
      </w:r>
      <w:r w:rsidR="00B6279A">
        <w:rPr>
          <w:rFonts w:eastAsia="Calibri"/>
          <w:szCs w:val="18"/>
        </w:rPr>
        <w:softHyphen/>
        <w:t>-</w:t>
      </w:r>
      <w:r w:rsidRPr="7084C19E">
        <w:rPr>
          <w:rFonts w:eastAsia="Calibri"/>
          <w:szCs w:val="18"/>
        </w:rPr>
        <w:t xml:space="preserve">2022. As shown in Figure </w:t>
      </w:r>
      <w:r>
        <w:rPr>
          <w:rFonts w:eastAsia="Calibri"/>
          <w:szCs w:val="18"/>
        </w:rPr>
        <w:t>A1</w:t>
      </w:r>
      <w:r w:rsidRPr="7084C19E">
        <w:rPr>
          <w:rFonts w:eastAsia="Calibri"/>
          <w:szCs w:val="18"/>
        </w:rPr>
        <w:t xml:space="preserve"> while the proportion of people in Australia with </w:t>
      </w:r>
      <w:r>
        <w:rPr>
          <w:rFonts w:eastAsia="Calibri"/>
          <w:szCs w:val="18"/>
        </w:rPr>
        <w:t xml:space="preserve">a </w:t>
      </w:r>
      <w:r w:rsidRPr="7084C19E">
        <w:rPr>
          <w:rFonts w:eastAsia="Calibri"/>
          <w:szCs w:val="18"/>
        </w:rPr>
        <w:t>substance use disorder decreased between</w:t>
      </w:r>
      <w:r w:rsidRPr="7084C19E" w:rsidDel="009051AE">
        <w:rPr>
          <w:rFonts w:eastAsia="Calibri"/>
          <w:szCs w:val="18"/>
        </w:rPr>
        <w:t xml:space="preserve"> </w:t>
      </w:r>
      <w:r w:rsidRPr="7084C19E">
        <w:rPr>
          <w:rFonts w:eastAsia="Calibri"/>
          <w:szCs w:val="18"/>
        </w:rPr>
        <w:t xml:space="preserve">2007 and </w:t>
      </w:r>
      <w:r w:rsidR="005E1FFE">
        <w:rPr>
          <w:rFonts w:eastAsia="Calibri"/>
          <w:szCs w:val="18"/>
        </w:rPr>
        <w:t>2020-2022</w:t>
      </w:r>
      <w:r w:rsidRPr="7084C19E">
        <w:rPr>
          <w:rFonts w:eastAsia="Calibri"/>
          <w:szCs w:val="18"/>
        </w:rPr>
        <w:t xml:space="preserve">, the proportion of people with </w:t>
      </w:r>
      <w:r>
        <w:rPr>
          <w:rFonts w:eastAsia="Calibri"/>
          <w:szCs w:val="18"/>
        </w:rPr>
        <w:t xml:space="preserve">an </w:t>
      </w:r>
      <w:r w:rsidRPr="7084C19E">
        <w:rPr>
          <w:rFonts w:eastAsia="Calibri"/>
          <w:szCs w:val="18"/>
        </w:rPr>
        <w:t xml:space="preserve">anxiety and affective disorder increased. </w:t>
      </w:r>
    </w:p>
    <w:p w14:paraId="22054637" w14:textId="79F7A3CB" w:rsidR="003504E0" w:rsidRPr="00A60776" w:rsidRDefault="00EE41ED" w:rsidP="00A60776">
      <w:pPr>
        <w:spacing w:after="120"/>
        <w:outlineLvl w:val="3"/>
        <w:rPr>
          <w:rFonts w:ascii="Roboto" w:eastAsia="Calibri" w:hAnsi="Roboto"/>
          <w:color w:val="5B626C"/>
          <w:szCs w:val="18"/>
        </w:rPr>
      </w:pPr>
      <w:r w:rsidRPr="7084C19E">
        <w:rPr>
          <w:rFonts w:ascii="Roboto" w:eastAsia="Calibri" w:hAnsi="Roboto"/>
          <w:color w:val="008143"/>
          <w:szCs w:val="18"/>
        </w:rPr>
        <w:t xml:space="preserve">Figure </w:t>
      </w:r>
      <w:r>
        <w:rPr>
          <w:rFonts w:ascii="Roboto" w:eastAsia="Calibri" w:hAnsi="Roboto"/>
          <w:color w:val="008143"/>
          <w:szCs w:val="18"/>
        </w:rPr>
        <w:t>A</w:t>
      </w:r>
      <w:r w:rsidRPr="7084C19E">
        <w:rPr>
          <w:rFonts w:ascii="Roboto" w:eastAsia="Calibri" w:hAnsi="Roboto"/>
          <w:color w:val="008143"/>
          <w:szCs w:val="18"/>
        </w:rPr>
        <w:t xml:space="preserve">1. </w:t>
      </w:r>
      <w:r w:rsidRPr="7084C19E">
        <w:rPr>
          <w:rFonts w:ascii="Roboto" w:eastAsia="Calibri" w:hAnsi="Roboto"/>
          <w:color w:val="5B626C"/>
          <w:szCs w:val="18"/>
        </w:rPr>
        <w:t xml:space="preserve">Proportion of people aged 16-85 years in Australia with </w:t>
      </w:r>
      <w:r>
        <w:rPr>
          <w:rFonts w:ascii="Roboto" w:eastAsia="Calibri" w:hAnsi="Roboto"/>
          <w:color w:val="5B626C"/>
          <w:szCs w:val="18"/>
        </w:rPr>
        <w:t xml:space="preserve">a </w:t>
      </w:r>
      <w:r w:rsidRPr="7084C19E">
        <w:rPr>
          <w:rFonts w:ascii="Roboto" w:eastAsia="Calibri" w:hAnsi="Roboto"/>
          <w:color w:val="5B626C"/>
          <w:szCs w:val="18"/>
        </w:rPr>
        <w:t>12-month mental disorder, by disorder type, 2007</w:t>
      </w:r>
      <w:r>
        <w:rPr>
          <w:rFonts w:ascii="Roboto" w:eastAsia="Calibri" w:hAnsi="Roboto"/>
          <w:color w:val="5B626C"/>
          <w:szCs w:val="18"/>
        </w:rPr>
        <w:t xml:space="preserve"> to 2020</w:t>
      </w:r>
      <w:r w:rsidRPr="7084C19E">
        <w:rPr>
          <w:rFonts w:ascii="Roboto" w:eastAsia="Calibri" w:hAnsi="Roboto"/>
          <w:color w:val="5B626C"/>
          <w:szCs w:val="18"/>
        </w:rPr>
        <w:t>-2022</w:t>
      </w:r>
    </w:p>
    <w:p w14:paraId="75F3416A" w14:textId="380380DE" w:rsidR="00AB2C4B" w:rsidRPr="00755D97" w:rsidRDefault="000E27CB" w:rsidP="00EE41ED">
      <w:pPr>
        <w:outlineLvl w:val="3"/>
        <w:rPr>
          <w:rFonts w:ascii="Roboto" w:eastAsia="Calibri" w:hAnsi="Roboto"/>
          <w:color w:val="5B626C"/>
        </w:rPr>
      </w:pPr>
      <w:r>
        <w:rPr>
          <w:noProof/>
        </w:rPr>
        <w:drawing>
          <wp:inline distT="0" distB="0" distL="0" distR="0" wp14:anchorId="797398CA" wp14:editId="62FDB692">
            <wp:extent cx="6115050" cy="3019425"/>
            <wp:effectExtent l="0" t="0" r="0" b="9525"/>
            <wp:docPr id="31" name="Graphic 31" descr="The content of this figure is described in the text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The content of this figure is described in the text above. "/>
                    <pic:cNvPicPr/>
                  </pic:nvPicPr>
                  <pic:blipFill>
                    <a:blip r:embed="rId36">
                      <a:extLst>
                        <a:ext uri="{96DAC541-7B7A-43D3-8B79-37D633B846F1}">
                          <asvg:svgBlip xmlns:asvg="http://schemas.microsoft.com/office/drawing/2016/SVG/main" r:embed="rId37"/>
                        </a:ext>
                      </a:extLst>
                    </a:blip>
                    <a:stretch>
                      <a:fillRect/>
                    </a:stretch>
                  </pic:blipFill>
                  <pic:spPr>
                    <a:xfrm>
                      <a:off x="0" y="0"/>
                      <a:ext cx="6115050" cy="3019425"/>
                    </a:xfrm>
                    <a:prstGeom prst="rect">
                      <a:avLst/>
                    </a:prstGeom>
                  </pic:spPr>
                </pic:pic>
              </a:graphicData>
            </a:graphic>
          </wp:inline>
        </w:drawing>
      </w:r>
    </w:p>
    <w:p w14:paraId="27B18F84" w14:textId="77777777" w:rsidR="00EE41ED" w:rsidRPr="00755D97" w:rsidRDefault="00EE41ED" w:rsidP="00EE41ED">
      <w:pPr>
        <w:keepNext/>
        <w:keepLines/>
        <w:spacing w:before="60" w:after="60"/>
        <w:outlineLvl w:val="2"/>
        <w:rPr>
          <w:rFonts w:ascii="Roboto" w:eastAsia="Yu Gothic Light" w:hAnsi="Roboto" w:cs="Times New Roman"/>
          <w:b/>
          <w:color w:val="545A60"/>
          <w:sz w:val="21"/>
        </w:rPr>
      </w:pPr>
      <w:bookmarkStart w:id="43" w:name="_Toc164671312"/>
      <w:bookmarkStart w:id="44" w:name="_Toc164671582"/>
      <w:bookmarkStart w:id="45" w:name="_Toc169018551"/>
      <w:bookmarkStart w:id="46" w:name="_Toc169189000"/>
      <w:bookmarkStart w:id="47" w:name="_Toc169692802"/>
      <w:r w:rsidRPr="00755D97">
        <w:rPr>
          <w:rFonts w:ascii="Roboto" w:eastAsia="Yu Gothic Light" w:hAnsi="Roboto" w:cs="Times New Roman"/>
          <w:b/>
          <w:color w:val="545A60"/>
          <w:sz w:val="21"/>
        </w:rPr>
        <w:t>How do these findings differ between groups?</w:t>
      </w:r>
      <w:bookmarkEnd w:id="43"/>
      <w:bookmarkEnd w:id="44"/>
      <w:bookmarkEnd w:id="45"/>
      <w:bookmarkEnd w:id="46"/>
      <w:bookmarkEnd w:id="47"/>
    </w:p>
    <w:p w14:paraId="61DB7ACA" w14:textId="1BEDBF21" w:rsidR="00EE41ED" w:rsidRPr="00755D97" w:rsidRDefault="00EE41ED" w:rsidP="00EE41ED">
      <w:pPr>
        <w:rPr>
          <w:rFonts w:eastAsia="Calibri"/>
        </w:rPr>
      </w:pPr>
      <w:r w:rsidRPr="00755D97">
        <w:rPr>
          <w:rFonts w:eastAsia="Calibri"/>
        </w:rPr>
        <w:t xml:space="preserve">The prevalence of 12-month mental disorders </w:t>
      </w:r>
      <w:r>
        <w:rPr>
          <w:rFonts w:eastAsia="Calibri"/>
        </w:rPr>
        <w:t>v</w:t>
      </w:r>
      <w:r w:rsidRPr="00755D97">
        <w:rPr>
          <w:rFonts w:eastAsia="Calibri"/>
        </w:rPr>
        <w:t>arie</w:t>
      </w:r>
      <w:r>
        <w:rPr>
          <w:rFonts w:eastAsia="Calibri"/>
        </w:rPr>
        <w:t>d</w:t>
      </w:r>
      <w:r w:rsidRPr="00755D97">
        <w:rPr>
          <w:rFonts w:eastAsia="Calibri"/>
        </w:rPr>
        <w:t xml:space="preserve"> according to both age an</w:t>
      </w:r>
      <w:r>
        <w:rPr>
          <w:rFonts w:eastAsia="Calibri"/>
        </w:rPr>
        <w:t>d</w:t>
      </w:r>
      <w:r w:rsidRPr="00755D97">
        <w:rPr>
          <w:rFonts w:eastAsia="Calibri"/>
        </w:rPr>
        <w:t xml:space="preserve"> sex</w:t>
      </w:r>
      <w:r>
        <w:rPr>
          <w:rFonts w:eastAsia="Calibri"/>
        </w:rPr>
        <w:t xml:space="preserve"> in 2007 and 2020-2022</w:t>
      </w:r>
      <w:r w:rsidRPr="00755D97">
        <w:rPr>
          <w:rFonts w:eastAsia="Calibri"/>
        </w:rPr>
        <w:t>. Across the board,</w:t>
      </w:r>
      <w:r>
        <w:rPr>
          <w:rFonts w:eastAsia="Calibri"/>
        </w:rPr>
        <w:t xml:space="preserve"> females were more likely than males to have had a 12-month mental disorder in 2007 (Females: 21.6%, Males:</w:t>
      </w:r>
      <w:r w:rsidR="008C4100">
        <w:rPr>
          <w:rFonts w:eastAsia="Calibri"/>
        </w:rPr>
        <w:t> </w:t>
      </w:r>
      <w:r>
        <w:rPr>
          <w:rFonts w:eastAsia="Calibri"/>
        </w:rPr>
        <w:t xml:space="preserve">17.4%) and 2020-2022 (Females: 24.6%, Males: 18.3%). </w:t>
      </w:r>
      <w:r w:rsidRPr="00755D97">
        <w:rPr>
          <w:rFonts w:eastAsia="Calibri"/>
        </w:rPr>
        <w:t>In</w:t>
      </w:r>
      <w:r w:rsidRPr="00755D97" w:rsidDel="004B1576">
        <w:rPr>
          <w:rFonts w:eastAsia="Calibri"/>
        </w:rPr>
        <w:t xml:space="preserve"> 2020-2022</w:t>
      </w:r>
      <w:r w:rsidRPr="00755D97">
        <w:rPr>
          <w:rFonts w:eastAsia="Calibri"/>
        </w:rPr>
        <w:t>,</w:t>
      </w:r>
      <w:r w:rsidRPr="00755D97" w:rsidDel="004B1576">
        <w:rPr>
          <w:rFonts w:eastAsia="Calibri"/>
        </w:rPr>
        <w:t xml:space="preserve"> </w:t>
      </w:r>
      <w:r>
        <w:rPr>
          <w:rFonts w:eastAsia="Calibri"/>
        </w:rPr>
        <w:t>a greater proportion of</w:t>
      </w:r>
      <w:r w:rsidRPr="00755D97" w:rsidDel="004B1576">
        <w:rPr>
          <w:rFonts w:eastAsia="Calibri"/>
        </w:rPr>
        <w:t xml:space="preserve"> females </w:t>
      </w:r>
      <w:r>
        <w:rPr>
          <w:rFonts w:eastAsia="Calibri"/>
        </w:rPr>
        <w:lastRenderedPageBreak/>
        <w:t xml:space="preserve">experienced </w:t>
      </w:r>
      <w:r w:rsidRPr="00755D97">
        <w:rPr>
          <w:rFonts w:eastAsia="Calibri"/>
        </w:rPr>
        <w:t>anxiety (21.1%) and affective disorders (8.6%) when compared to males (13.3% and 6.5% respectively), while the opposite was true for substance use disorders (</w:t>
      </w:r>
      <w:r w:rsidR="0029469C" w:rsidRPr="00755D97">
        <w:rPr>
          <w:rFonts w:eastAsia="Calibri"/>
        </w:rPr>
        <w:t>Females</w:t>
      </w:r>
      <w:r w:rsidR="0029469C">
        <w:rPr>
          <w:rFonts w:eastAsia="Calibri"/>
        </w:rPr>
        <w:t>:</w:t>
      </w:r>
      <w:r w:rsidR="0029469C" w:rsidRPr="00755D97" w:rsidDel="000918D8">
        <w:rPr>
          <w:rFonts w:eastAsia="Calibri"/>
        </w:rPr>
        <w:t xml:space="preserve"> </w:t>
      </w:r>
      <w:r w:rsidR="0029469C" w:rsidRPr="00755D97">
        <w:rPr>
          <w:rFonts w:eastAsia="Calibri"/>
        </w:rPr>
        <w:t>2.1%</w:t>
      </w:r>
      <w:r w:rsidR="0029469C">
        <w:rPr>
          <w:rFonts w:eastAsia="Calibri"/>
        </w:rPr>
        <w:t xml:space="preserve">, </w:t>
      </w:r>
      <w:r w:rsidRPr="00755D97">
        <w:rPr>
          <w:rFonts w:eastAsia="Calibri"/>
        </w:rPr>
        <w:t>Males</w:t>
      </w:r>
      <w:r>
        <w:rPr>
          <w:rFonts w:eastAsia="Calibri"/>
        </w:rPr>
        <w:t xml:space="preserve">: </w:t>
      </w:r>
      <w:r w:rsidRPr="00755D97">
        <w:rPr>
          <w:rFonts w:eastAsia="Calibri"/>
        </w:rPr>
        <w:t xml:space="preserve">4.4%). </w:t>
      </w:r>
    </w:p>
    <w:p w14:paraId="3C028E4B" w14:textId="1DE729CE" w:rsidR="00EE41ED" w:rsidRDefault="00EE41ED" w:rsidP="00EE41ED">
      <w:pPr>
        <w:rPr>
          <w:rFonts w:eastAsia="Calibri"/>
          <w:szCs w:val="18"/>
        </w:rPr>
      </w:pPr>
      <w:r w:rsidRPr="7084C19E">
        <w:rPr>
          <w:rFonts w:eastAsia="Calibri"/>
          <w:szCs w:val="18"/>
        </w:rPr>
        <w:t>In terms of age group differences, 12-month mental disorders were more common among people aged 16</w:t>
      </w:r>
      <w:r>
        <w:rPr>
          <w:rFonts w:eastAsia="Calibri"/>
          <w:szCs w:val="18"/>
        </w:rPr>
        <w:noBreakHyphen/>
      </w:r>
      <w:r w:rsidRPr="7084C19E">
        <w:rPr>
          <w:rFonts w:eastAsia="Calibri"/>
          <w:szCs w:val="18"/>
        </w:rPr>
        <w:t>24</w:t>
      </w:r>
      <w:r>
        <w:rPr>
          <w:rFonts w:eastAsia="Calibri"/>
          <w:szCs w:val="18"/>
        </w:rPr>
        <w:t> </w:t>
      </w:r>
      <w:r w:rsidRPr="7084C19E">
        <w:rPr>
          <w:rFonts w:eastAsia="Calibri"/>
          <w:szCs w:val="18"/>
        </w:rPr>
        <w:t>years relative to older adults and this difference</w:t>
      </w:r>
      <w:r w:rsidRPr="7084C19E" w:rsidDel="00EF499D">
        <w:rPr>
          <w:rFonts w:eastAsia="Calibri"/>
          <w:szCs w:val="18"/>
        </w:rPr>
        <w:t xml:space="preserve"> </w:t>
      </w:r>
      <w:r w:rsidRPr="7084C19E">
        <w:rPr>
          <w:rFonts w:eastAsia="Calibri"/>
          <w:szCs w:val="18"/>
        </w:rPr>
        <w:t>was larger in 2020-2022 compared to 2007. The proportion of people aged 16</w:t>
      </w:r>
      <w:r w:rsidR="00580974">
        <w:rPr>
          <w:rFonts w:eastAsia="Calibri"/>
          <w:szCs w:val="18"/>
        </w:rPr>
        <w:noBreakHyphen/>
      </w:r>
      <w:r w:rsidRPr="7084C19E">
        <w:rPr>
          <w:rFonts w:eastAsia="Calibri"/>
          <w:szCs w:val="18"/>
        </w:rPr>
        <w:t xml:space="preserve">24 years with a 12-month mental disorder increased </w:t>
      </w:r>
      <w:r>
        <w:rPr>
          <w:rFonts w:eastAsia="Calibri"/>
          <w:szCs w:val="18"/>
        </w:rPr>
        <w:t xml:space="preserve">by 13.0 percentage points, </w:t>
      </w:r>
      <w:r w:rsidRPr="7084C19E">
        <w:rPr>
          <w:rFonts w:eastAsia="Calibri"/>
          <w:szCs w:val="18"/>
        </w:rPr>
        <w:t xml:space="preserve">from 25.8% in 2007 to 38.8% in 2020-2022. For the remainder of the population, the proportion of people with a 12-month mental disorder increased </w:t>
      </w:r>
      <w:r>
        <w:rPr>
          <w:rFonts w:eastAsia="Calibri"/>
          <w:szCs w:val="18"/>
        </w:rPr>
        <w:t>by 5.6 percentage points, from 18.3</w:t>
      </w:r>
      <w:r w:rsidRPr="7084C19E">
        <w:rPr>
          <w:rFonts w:eastAsia="Calibri"/>
          <w:szCs w:val="18"/>
        </w:rPr>
        <w:t xml:space="preserve">% to </w:t>
      </w:r>
      <w:r>
        <w:rPr>
          <w:rFonts w:eastAsia="Calibri"/>
          <w:szCs w:val="18"/>
        </w:rPr>
        <w:t>23.8</w:t>
      </w:r>
      <w:r w:rsidRPr="7084C19E">
        <w:rPr>
          <w:rFonts w:eastAsia="Calibri"/>
          <w:szCs w:val="18"/>
        </w:rPr>
        <w:t xml:space="preserve">%. </w:t>
      </w:r>
    </w:p>
    <w:p w14:paraId="4919B733" w14:textId="4E43012A" w:rsidR="00EE41ED" w:rsidRPr="001F3702" w:rsidRDefault="00EE41ED" w:rsidP="00EE41ED">
      <w:pPr>
        <w:rPr>
          <w:rFonts w:eastAsia="Calibri"/>
          <w:szCs w:val="18"/>
        </w:rPr>
      </w:pPr>
      <w:r>
        <w:rPr>
          <w:rFonts w:eastAsia="Calibri"/>
          <w:szCs w:val="18"/>
        </w:rPr>
        <w:t xml:space="preserve">Over time, the prevalence of 12-month mental disorders increased more for young females compared to young males. </w:t>
      </w:r>
      <w:r w:rsidRPr="7084C19E">
        <w:rPr>
          <w:rFonts w:eastAsia="Calibri"/>
          <w:szCs w:val="18"/>
        </w:rPr>
        <w:t xml:space="preserve">For males aged 16-24 years, around one in three (32.4%) had a 12-month mental disorder in </w:t>
      </w:r>
      <w:r w:rsidR="005E1FFE">
        <w:rPr>
          <w:rFonts w:eastAsia="Calibri"/>
          <w:szCs w:val="18"/>
        </w:rPr>
        <w:t>2020-2022</w:t>
      </w:r>
      <w:r w:rsidRPr="7084C19E">
        <w:rPr>
          <w:rFonts w:eastAsia="Calibri"/>
          <w:szCs w:val="18"/>
        </w:rPr>
        <w:t xml:space="preserve">, relative to 23.2% in 2007. For females aged 16-24 years, almost </w:t>
      </w:r>
      <w:r w:rsidRPr="001F3702">
        <w:rPr>
          <w:rFonts w:eastAsia="Calibri"/>
          <w:szCs w:val="18"/>
        </w:rPr>
        <w:t>half (</w:t>
      </w:r>
      <w:r w:rsidRPr="004748A2">
        <w:rPr>
          <w:rFonts w:eastAsia="Calibri"/>
          <w:szCs w:val="18"/>
        </w:rPr>
        <w:t>45.</w:t>
      </w:r>
      <w:r w:rsidR="00922A75" w:rsidRPr="004748A2">
        <w:rPr>
          <w:rFonts w:eastAsia="Calibri"/>
          <w:szCs w:val="18"/>
        </w:rPr>
        <w:t>5</w:t>
      </w:r>
      <w:r w:rsidRPr="004748A2">
        <w:rPr>
          <w:rFonts w:eastAsia="Calibri"/>
          <w:szCs w:val="18"/>
        </w:rPr>
        <w:t>%</w:t>
      </w:r>
      <w:r w:rsidRPr="001F3702">
        <w:rPr>
          <w:rFonts w:eastAsia="Calibri"/>
          <w:szCs w:val="18"/>
        </w:rPr>
        <w:t xml:space="preserve">) had a 12-month mental disorder in </w:t>
      </w:r>
      <w:r w:rsidR="005E1FFE" w:rsidRPr="001F3702">
        <w:rPr>
          <w:rFonts w:eastAsia="Calibri"/>
          <w:szCs w:val="18"/>
        </w:rPr>
        <w:t>2020-2022</w:t>
      </w:r>
      <w:r w:rsidRPr="001F3702">
        <w:rPr>
          <w:rFonts w:eastAsia="Calibri"/>
          <w:szCs w:val="18"/>
        </w:rPr>
        <w:t>, relative to 28.5% in 2007. An increase over time, although less pronounced, was also observed for females aged 25</w:t>
      </w:r>
      <w:r w:rsidR="008C4100" w:rsidRPr="001F3702">
        <w:rPr>
          <w:rFonts w:eastAsia="Calibri"/>
          <w:szCs w:val="18"/>
        </w:rPr>
        <w:noBreakHyphen/>
      </w:r>
      <w:r w:rsidRPr="001F3702">
        <w:rPr>
          <w:rFonts w:eastAsia="Calibri"/>
          <w:szCs w:val="18"/>
        </w:rPr>
        <w:t>34</w:t>
      </w:r>
      <w:r w:rsidR="008C4100" w:rsidRPr="001F3702">
        <w:rPr>
          <w:rFonts w:eastAsia="Calibri"/>
          <w:szCs w:val="18"/>
        </w:rPr>
        <w:t> </w:t>
      </w:r>
      <w:r w:rsidRPr="001F3702">
        <w:rPr>
          <w:rFonts w:eastAsia="Calibri"/>
          <w:szCs w:val="18"/>
        </w:rPr>
        <w:t xml:space="preserve">years, and for both sexes aged 55-64 years and 65-74 years. </w:t>
      </w:r>
    </w:p>
    <w:p w14:paraId="7A960534" w14:textId="0F76F7A1" w:rsidR="00EE41ED" w:rsidRPr="00755D97" w:rsidRDefault="00EE41ED" w:rsidP="00EE41ED">
      <w:pPr>
        <w:rPr>
          <w:rFonts w:eastAsia="Calibri"/>
          <w:szCs w:val="18"/>
        </w:rPr>
      </w:pPr>
      <w:r w:rsidRPr="001F3702">
        <w:rPr>
          <w:rFonts w:eastAsia="Calibri"/>
          <w:szCs w:val="18"/>
        </w:rPr>
        <w:t>The only age group that showed a reduction in the prevalence of 12-month mental disorders over time was the 35</w:t>
      </w:r>
      <w:r w:rsidR="006F714D" w:rsidRPr="001F3702">
        <w:rPr>
          <w:rFonts w:eastAsia="Calibri"/>
          <w:szCs w:val="18"/>
        </w:rPr>
        <w:noBreakHyphen/>
      </w:r>
      <w:proofErr w:type="gramStart"/>
      <w:r w:rsidRPr="001F3702">
        <w:rPr>
          <w:rFonts w:eastAsia="Calibri"/>
          <w:szCs w:val="18"/>
        </w:rPr>
        <w:t>44</w:t>
      </w:r>
      <w:r w:rsidR="006F714D" w:rsidRPr="001F3702">
        <w:rPr>
          <w:rFonts w:eastAsia="Calibri"/>
          <w:szCs w:val="18"/>
        </w:rPr>
        <w:t> </w:t>
      </w:r>
      <w:r w:rsidRPr="001F3702">
        <w:rPr>
          <w:rFonts w:eastAsia="Calibri"/>
          <w:szCs w:val="18"/>
        </w:rPr>
        <w:t>year</w:t>
      </w:r>
      <w:proofErr w:type="gramEnd"/>
      <w:r w:rsidRPr="001F3702">
        <w:rPr>
          <w:rFonts w:eastAsia="Calibri"/>
          <w:szCs w:val="18"/>
        </w:rPr>
        <w:t xml:space="preserve"> age group. For this group, </w:t>
      </w:r>
      <w:r w:rsidR="00F700EA" w:rsidRPr="004748A2">
        <w:rPr>
          <w:rFonts w:eastAsia="Calibri"/>
          <w:szCs w:val="18"/>
        </w:rPr>
        <w:t>20.5</w:t>
      </w:r>
      <w:r w:rsidRPr="004748A2">
        <w:rPr>
          <w:rFonts w:eastAsia="Calibri"/>
          <w:szCs w:val="18"/>
        </w:rPr>
        <w:t>%</w:t>
      </w:r>
      <w:r w:rsidRPr="001F3702">
        <w:rPr>
          <w:rFonts w:eastAsia="Calibri"/>
          <w:szCs w:val="18"/>
        </w:rPr>
        <w:t xml:space="preserve"> of males had a 12-month mental disorder in 2007 compared to </w:t>
      </w:r>
      <w:r w:rsidRPr="004748A2">
        <w:rPr>
          <w:rFonts w:eastAsia="Calibri"/>
          <w:szCs w:val="18"/>
        </w:rPr>
        <w:t>16.</w:t>
      </w:r>
      <w:r w:rsidR="00F700EA" w:rsidRPr="004748A2">
        <w:rPr>
          <w:rFonts w:eastAsia="Calibri"/>
          <w:szCs w:val="18"/>
        </w:rPr>
        <w:t>7</w:t>
      </w:r>
      <w:r w:rsidRPr="004748A2">
        <w:rPr>
          <w:rFonts w:eastAsia="Calibri"/>
          <w:szCs w:val="18"/>
        </w:rPr>
        <w:t>%</w:t>
      </w:r>
      <w:r w:rsidRPr="7084C19E">
        <w:rPr>
          <w:rFonts w:eastAsia="Calibri"/>
          <w:szCs w:val="18"/>
        </w:rPr>
        <w:t xml:space="preserve"> in </w:t>
      </w:r>
      <w:r w:rsidR="005E1FFE">
        <w:rPr>
          <w:rFonts w:eastAsia="Calibri"/>
          <w:szCs w:val="18"/>
        </w:rPr>
        <w:t>2020-2022</w:t>
      </w:r>
      <w:r w:rsidRPr="7084C19E">
        <w:rPr>
          <w:rFonts w:eastAsia="Calibri"/>
          <w:szCs w:val="18"/>
        </w:rPr>
        <w:t>, and 24.9% of females ha</w:t>
      </w:r>
      <w:r>
        <w:rPr>
          <w:rFonts w:eastAsia="Calibri"/>
          <w:szCs w:val="18"/>
        </w:rPr>
        <w:t>d</w:t>
      </w:r>
      <w:r w:rsidRPr="7084C19E">
        <w:rPr>
          <w:rFonts w:eastAsia="Calibri"/>
          <w:szCs w:val="18"/>
        </w:rPr>
        <w:t xml:space="preserve"> a 12-month mental disorder in 2007 compared to 23.8% in </w:t>
      </w:r>
      <w:r w:rsidR="005E1FFE">
        <w:rPr>
          <w:rFonts w:eastAsia="Calibri"/>
          <w:szCs w:val="18"/>
        </w:rPr>
        <w:t>2020-2022</w:t>
      </w:r>
      <w:r w:rsidRPr="7084C19E">
        <w:rPr>
          <w:rFonts w:eastAsia="Calibri"/>
          <w:szCs w:val="18"/>
        </w:rPr>
        <w:t xml:space="preserve">. </w:t>
      </w:r>
    </w:p>
    <w:p w14:paraId="68528862" w14:textId="77777777" w:rsidR="00EE41ED" w:rsidRPr="00755D97" w:rsidRDefault="00EE41ED" w:rsidP="00BD77E3">
      <w:pPr>
        <w:keepNext/>
        <w:keepLines/>
        <w:spacing w:before="480" w:after="60"/>
        <w:outlineLvl w:val="1"/>
        <w:rPr>
          <w:rFonts w:ascii="Roboto-Bold" w:eastAsia="Yu Gothic Light" w:hAnsi="Roboto-Bold" w:cs="Times New Roman"/>
          <w:color w:val="008143"/>
          <w:sz w:val="26"/>
          <w:szCs w:val="26"/>
        </w:rPr>
      </w:pPr>
      <w:bookmarkStart w:id="48" w:name="_Toc164671313"/>
      <w:bookmarkStart w:id="49" w:name="_Toc164671583"/>
      <w:bookmarkStart w:id="50" w:name="_Toc169018552"/>
      <w:bookmarkStart w:id="51" w:name="_Toc169189001"/>
      <w:bookmarkStart w:id="52" w:name="_Toc169692803"/>
      <w:r w:rsidRPr="00755D97">
        <w:rPr>
          <w:rFonts w:ascii="Roboto-Bold" w:eastAsia="Yu Gothic Light" w:hAnsi="Roboto-Bold" w:cs="Times New Roman"/>
          <w:color w:val="008143"/>
          <w:sz w:val="26"/>
          <w:szCs w:val="26"/>
        </w:rPr>
        <w:t>Technical information</w:t>
      </w:r>
      <w:bookmarkEnd w:id="48"/>
      <w:bookmarkEnd w:id="49"/>
      <w:bookmarkEnd w:id="50"/>
      <w:bookmarkEnd w:id="51"/>
      <w:bookmarkEnd w:id="52"/>
    </w:p>
    <w:p w14:paraId="41471867" w14:textId="77777777" w:rsidR="00EE41ED" w:rsidRPr="00755D97" w:rsidRDefault="00EE41ED" w:rsidP="00EE41ED">
      <w:pPr>
        <w:keepNext/>
        <w:keepLines/>
        <w:spacing w:before="120" w:after="60"/>
        <w:outlineLvl w:val="2"/>
        <w:rPr>
          <w:rFonts w:ascii="Roboto" w:eastAsia="Yu Gothic Light" w:hAnsi="Roboto" w:cs="Times New Roman"/>
          <w:b/>
          <w:bCs/>
          <w:color w:val="545A60"/>
          <w:sz w:val="21"/>
          <w:szCs w:val="21"/>
        </w:rPr>
      </w:pPr>
      <w:bookmarkStart w:id="53" w:name="_Toc169018553"/>
      <w:bookmarkStart w:id="54" w:name="_Toc169189002"/>
      <w:bookmarkStart w:id="55" w:name="_Toc169692804"/>
      <w:bookmarkStart w:id="56" w:name="_Toc164671314"/>
      <w:bookmarkStart w:id="57" w:name="_Toc164671584"/>
      <w:r w:rsidRPr="7084C19E">
        <w:rPr>
          <w:rFonts w:ascii="Roboto" w:eastAsia="Yu Gothic Light" w:hAnsi="Roboto" w:cs="Times New Roman"/>
          <w:b/>
          <w:color w:val="545A60"/>
          <w:sz w:val="21"/>
          <w:szCs w:val="21"/>
        </w:rPr>
        <w:t>Source</w:t>
      </w:r>
      <w:bookmarkEnd w:id="53"/>
      <w:bookmarkEnd w:id="54"/>
      <w:bookmarkEnd w:id="55"/>
      <w:r w:rsidRPr="7084C19E">
        <w:rPr>
          <w:rFonts w:ascii="Roboto" w:eastAsia="Yu Gothic Light" w:hAnsi="Roboto" w:cs="Times New Roman"/>
          <w:b/>
          <w:color w:val="545A60"/>
          <w:sz w:val="21"/>
          <w:szCs w:val="21"/>
        </w:rPr>
        <w:t xml:space="preserve"> </w:t>
      </w:r>
    </w:p>
    <w:p w14:paraId="5F800A79" w14:textId="77777777" w:rsidR="00EE41ED" w:rsidRPr="007A18AE" w:rsidRDefault="00EE41ED" w:rsidP="00EE41ED">
      <w:pPr>
        <w:rPr>
          <w:rFonts w:eastAsia="Calibri"/>
          <w:i/>
          <w:szCs w:val="18"/>
        </w:rPr>
      </w:pPr>
      <w:r>
        <w:rPr>
          <w:rFonts w:eastAsia="Calibri"/>
          <w:szCs w:val="18"/>
        </w:rPr>
        <w:t>Australian Bureau of Statistics (</w:t>
      </w:r>
      <w:r w:rsidRPr="00155043">
        <w:rPr>
          <w:rFonts w:eastAsia="Calibri"/>
          <w:szCs w:val="18"/>
        </w:rPr>
        <w:t>ABS</w:t>
      </w:r>
      <w:r>
        <w:rPr>
          <w:rFonts w:eastAsia="Calibri"/>
          <w:szCs w:val="18"/>
        </w:rPr>
        <w:t>)</w:t>
      </w:r>
      <w:r w:rsidRPr="00155043">
        <w:rPr>
          <w:rFonts w:eastAsia="Calibri"/>
          <w:szCs w:val="18"/>
        </w:rPr>
        <w:t xml:space="preserve"> </w:t>
      </w:r>
      <w:r w:rsidRPr="007A18AE">
        <w:rPr>
          <w:rFonts w:eastAsia="Calibri"/>
          <w:i/>
          <w:szCs w:val="18"/>
        </w:rPr>
        <w:t>National Study of Mental Health and Wellbeing, 2020-2022</w:t>
      </w:r>
      <w:r w:rsidRPr="00155043">
        <w:rPr>
          <w:rFonts w:eastAsia="Calibri"/>
          <w:szCs w:val="18"/>
        </w:rPr>
        <w:t xml:space="preserve">; ABS </w:t>
      </w:r>
      <w:r w:rsidRPr="007A18AE">
        <w:rPr>
          <w:rFonts w:eastAsia="Calibri"/>
          <w:i/>
          <w:szCs w:val="18"/>
        </w:rPr>
        <w:t>National Survey of Mental Health and Wellbeing, 2007</w:t>
      </w:r>
      <w:r w:rsidRPr="007A18AE" w:rsidDel="00FD2E98">
        <w:rPr>
          <w:rFonts w:eastAsia="Calibri"/>
          <w:i/>
          <w:szCs w:val="18"/>
        </w:rPr>
        <w:t xml:space="preserve"> </w:t>
      </w:r>
      <w:bookmarkEnd w:id="56"/>
      <w:bookmarkEnd w:id="57"/>
    </w:p>
    <w:p w14:paraId="4E1EA2BE" w14:textId="77777777" w:rsidR="00EE41ED" w:rsidRPr="00755D97" w:rsidRDefault="00EE41ED" w:rsidP="00EE41ED">
      <w:pPr>
        <w:keepNext/>
        <w:keepLines/>
        <w:spacing w:before="120" w:after="60"/>
        <w:outlineLvl w:val="2"/>
        <w:rPr>
          <w:rFonts w:ascii="Roboto" w:eastAsia="Yu Gothic Light" w:hAnsi="Roboto" w:cs="Times New Roman"/>
          <w:b/>
          <w:bCs/>
          <w:color w:val="545A60"/>
          <w:sz w:val="21"/>
          <w:szCs w:val="21"/>
        </w:rPr>
      </w:pPr>
      <w:bookmarkStart w:id="58" w:name="_Toc169018554"/>
      <w:bookmarkStart w:id="59" w:name="_Toc169189003"/>
      <w:bookmarkStart w:id="60" w:name="_Toc169692805"/>
      <w:bookmarkStart w:id="61" w:name="_Toc164671315"/>
      <w:bookmarkStart w:id="62" w:name="_Toc164671585"/>
      <w:r w:rsidRPr="7084C19E">
        <w:rPr>
          <w:rFonts w:ascii="Roboto" w:eastAsia="Yu Gothic Light" w:hAnsi="Roboto" w:cs="Times New Roman"/>
          <w:b/>
          <w:color w:val="545A60"/>
          <w:sz w:val="21"/>
          <w:szCs w:val="21"/>
        </w:rPr>
        <w:t>Frequency of data collection</w:t>
      </w:r>
      <w:bookmarkEnd w:id="58"/>
      <w:bookmarkEnd w:id="59"/>
      <w:bookmarkEnd w:id="60"/>
      <w:r w:rsidRPr="7084C19E">
        <w:rPr>
          <w:rFonts w:ascii="Roboto" w:eastAsia="Yu Gothic Light" w:hAnsi="Roboto" w:cs="Times New Roman"/>
          <w:b/>
          <w:color w:val="545A60"/>
          <w:sz w:val="21"/>
          <w:szCs w:val="21"/>
        </w:rPr>
        <w:t xml:space="preserve"> </w:t>
      </w:r>
    </w:p>
    <w:p w14:paraId="08562440" w14:textId="77777777" w:rsidR="00EE41ED" w:rsidRPr="00764D13" w:rsidRDefault="00EE41ED" w:rsidP="00EE41ED">
      <w:pPr>
        <w:rPr>
          <w:rFonts w:eastAsia="Calibri"/>
          <w:szCs w:val="18"/>
        </w:rPr>
      </w:pPr>
      <w:r w:rsidRPr="00764D13">
        <w:rPr>
          <w:rFonts w:eastAsia="Calibri"/>
          <w:szCs w:val="18"/>
        </w:rPr>
        <w:t xml:space="preserve">Irregular. Future release date unknown </w:t>
      </w:r>
      <w:proofErr w:type="gramStart"/>
      <w:r w:rsidRPr="00764D13">
        <w:rPr>
          <w:rFonts w:eastAsia="Calibri"/>
          <w:szCs w:val="18"/>
        </w:rPr>
        <w:t>at this time</w:t>
      </w:r>
      <w:proofErr w:type="gramEnd"/>
      <w:r w:rsidRPr="00764D13">
        <w:rPr>
          <w:rFonts w:eastAsia="Calibri"/>
          <w:szCs w:val="18"/>
        </w:rPr>
        <w:t>.</w:t>
      </w:r>
      <w:bookmarkEnd w:id="61"/>
      <w:bookmarkEnd w:id="62"/>
      <w:r w:rsidRPr="00C625D7">
        <w:rPr>
          <w:rFonts w:eastAsia="Calibri"/>
          <w:szCs w:val="18"/>
        </w:rPr>
        <w:t xml:space="preserve"> </w:t>
      </w:r>
    </w:p>
    <w:p w14:paraId="6BB95AD4" w14:textId="055A8400" w:rsidR="00EE41ED" w:rsidRPr="00755D97" w:rsidRDefault="00EE41ED" w:rsidP="00EE41ED">
      <w:pPr>
        <w:keepNext/>
        <w:keepLines/>
        <w:spacing w:before="120" w:after="60"/>
        <w:outlineLvl w:val="2"/>
        <w:rPr>
          <w:rFonts w:eastAsia="Roboto-Light"/>
          <w:color w:val="545A60"/>
          <w:szCs w:val="18"/>
        </w:rPr>
      </w:pPr>
      <w:bookmarkStart w:id="63" w:name="_Toc169018555"/>
      <w:bookmarkStart w:id="64" w:name="_Toc169189004"/>
      <w:bookmarkStart w:id="65" w:name="_Toc169692806"/>
      <w:bookmarkStart w:id="66" w:name="_Toc164671316"/>
      <w:bookmarkStart w:id="67" w:name="_Toc164671586"/>
      <w:r w:rsidRPr="7084C19E">
        <w:rPr>
          <w:rFonts w:ascii="Roboto" w:eastAsia="Yu Gothic Light" w:hAnsi="Roboto" w:cs="Times New Roman"/>
          <w:b/>
          <w:color w:val="545A60"/>
          <w:sz w:val="21"/>
          <w:szCs w:val="21"/>
        </w:rPr>
        <w:t>Limitations</w:t>
      </w:r>
      <w:bookmarkEnd w:id="63"/>
      <w:bookmarkEnd w:id="64"/>
      <w:bookmarkEnd w:id="65"/>
      <w:r w:rsidRPr="7084C19E">
        <w:rPr>
          <w:rFonts w:ascii="Roboto" w:eastAsia="Yu Gothic Light" w:hAnsi="Roboto" w:cs="Times New Roman"/>
          <w:b/>
          <w:color w:val="545A60"/>
          <w:sz w:val="21"/>
          <w:szCs w:val="21"/>
        </w:rPr>
        <w:t xml:space="preserve"> </w:t>
      </w:r>
    </w:p>
    <w:p w14:paraId="40DE5DF8" w14:textId="77777777" w:rsidR="00EE41ED" w:rsidRPr="00C625D7" w:rsidRDefault="00EE41ED" w:rsidP="00D50DDA">
      <w:pPr>
        <w:pStyle w:val="NMHCbulletlist"/>
        <w:numPr>
          <w:ilvl w:val="0"/>
          <w:numId w:val="47"/>
        </w:numPr>
        <w:contextualSpacing/>
      </w:pPr>
      <w:bookmarkStart w:id="68" w:name="_Toc169189005"/>
      <w:bookmarkStart w:id="69" w:name="_Toc169692807"/>
      <w:r w:rsidRPr="00C625D7">
        <w:t>The study sample was designed to provide reliable national-level estimates, and thus there are limited state and territory breakdowns available.</w:t>
      </w:r>
      <w:bookmarkEnd w:id="68"/>
      <w:bookmarkEnd w:id="69"/>
      <w:r w:rsidRPr="00C625D7">
        <w:t xml:space="preserve"> </w:t>
      </w:r>
      <w:bookmarkEnd w:id="66"/>
      <w:bookmarkEnd w:id="67"/>
    </w:p>
    <w:p w14:paraId="2DC7BCC0" w14:textId="24F79DAC" w:rsidR="00EE41ED" w:rsidRPr="00C625D7" w:rsidRDefault="0013178A" w:rsidP="00D50DDA">
      <w:pPr>
        <w:pStyle w:val="NMHCbulletlist"/>
        <w:numPr>
          <w:ilvl w:val="0"/>
          <w:numId w:val="47"/>
        </w:numPr>
        <w:contextualSpacing/>
      </w:pPr>
      <w:bookmarkStart w:id="70" w:name="_Toc169189006"/>
      <w:bookmarkStart w:id="71" w:name="_Toc169692808"/>
      <w:r>
        <w:t>Estimates of the number of people with mental disorders may be lower than reality given</w:t>
      </w:r>
      <w:r w:rsidR="00EE41ED" w:rsidRPr="00C625D7">
        <w:t xml:space="preserve"> the study assesses </w:t>
      </w:r>
      <w:r w:rsidR="00FC4B2F">
        <w:t>a selected number of mental disorders</w:t>
      </w:r>
      <w:r w:rsidR="003D0C75">
        <w:t xml:space="preserve"> and certain groups</w:t>
      </w:r>
      <w:r w:rsidR="00A83CA9">
        <w:t xml:space="preserve"> are excluded from the scope of the NSMHW (e.g.</w:t>
      </w:r>
      <w:r w:rsidR="0079552C">
        <w:t>, people who are homeless</w:t>
      </w:r>
      <w:r w:rsidR="00675BE2">
        <w:t xml:space="preserve"> or living in aged care facilities)</w:t>
      </w:r>
      <w:r w:rsidR="00EE41ED" w:rsidRPr="00C625D7">
        <w:t>.</w:t>
      </w:r>
      <w:bookmarkEnd w:id="70"/>
      <w:bookmarkEnd w:id="71"/>
    </w:p>
    <w:p w14:paraId="62A0DA6E" w14:textId="290D038C" w:rsidR="00EE41ED" w:rsidRPr="00C625D7" w:rsidRDefault="0011461A" w:rsidP="00D50DDA">
      <w:pPr>
        <w:pStyle w:val="NMHCbulletlist"/>
        <w:numPr>
          <w:ilvl w:val="0"/>
          <w:numId w:val="47"/>
        </w:numPr>
        <w:spacing w:after="240"/>
        <w:contextualSpacing/>
      </w:pPr>
      <w:r>
        <w:t xml:space="preserve">The NSMHW uses objective diagnostic criteria, which may not necessarily reflect people’s lived experience of mental health. </w:t>
      </w:r>
    </w:p>
    <w:p w14:paraId="4FE88F24" w14:textId="77777777" w:rsidR="00EE41ED" w:rsidRPr="00755D97" w:rsidRDefault="00EE41ED" w:rsidP="00EE41ED">
      <w:pPr>
        <w:keepNext/>
        <w:keepLines/>
        <w:spacing w:before="120" w:after="60"/>
        <w:outlineLvl w:val="2"/>
        <w:rPr>
          <w:rFonts w:eastAsia="Roboto-Light"/>
          <w:szCs w:val="18"/>
        </w:rPr>
      </w:pPr>
      <w:bookmarkStart w:id="72" w:name="_Toc169018556"/>
      <w:bookmarkStart w:id="73" w:name="_Toc169189008"/>
      <w:bookmarkStart w:id="74" w:name="_Toc169692810"/>
      <w:bookmarkStart w:id="75" w:name="_Toc164671317"/>
      <w:bookmarkStart w:id="76" w:name="_Toc164671587"/>
      <w:r w:rsidRPr="7084C19E">
        <w:rPr>
          <w:rFonts w:ascii="Roboto" w:eastAsia="Yu Gothic Light" w:hAnsi="Roboto" w:cs="Times New Roman"/>
          <w:b/>
          <w:color w:val="545A60"/>
          <w:sz w:val="21"/>
          <w:szCs w:val="21"/>
        </w:rPr>
        <w:t>Additional notes</w:t>
      </w:r>
      <w:bookmarkEnd w:id="72"/>
      <w:bookmarkEnd w:id="73"/>
      <w:bookmarkEnd w:id="74"/>
    </w:p>
    <w:p w14:paraId="27C84879" w14:textId="57185259" w:rsidR="00EE41ED" w:rsidRPr="00DD7EC3" w:rsidRDefault="00EE41ED" w:rsidP="00D50DDA">
      <w:pPr>
        <w:pStyle w:val="ListParagraph"/>
        <w:numPr>
          <w:ilvl w:val="0"/>
          <w:numId w:val="48"/>
        </w:numPr>
        <w:rPr>
          <w:rFonts w:eastAsia="Calibri"/>
          <w:szCs w:val="18"/>
        </w:rPr>
      </w:pPr>
      <w:r w:rsidRPr="00DD7EC3">
        <w:rPr>
          <w:rFonts w:eastAsia="Calibri"/>
          <w:szCs w:val="18"/>
        </w:rPr>
        <w:t>Data for this study was collected in two stages. The first cohort was conducted between December 2020 and July</w:t>
      </w:r>
      <w:r w:rsidR="00562A66">
        <w:rPr>
          <w:rFonts w:eastAsia="Calibri"/>
          <w:szCs w:val="18"/>
        </w:rPr>
        <w:t> </w:t>
      </w:r>
      <w:r w:rsidRPr="00DD7EC3">
        <w:rPr>
          <w:rFonts w:eastAsia="Calibri"/>
          <w:szCs w:val="18"/>
        </w:rPr>
        <w:t xml:space="preserve">2021. The second cohort was conducted between December 2021 and October 2022. </w:t>
      </w:r>
      <w:r w:rsidR="004C7E45">
        <w:rPr>
          <w:rFonts w:eastAsia="Calibri"/>
          <w:szCs w:val="18"/>
        </w:rPr>
        <w:t>Data presented in this report are derived from the combined sample of both cohorts.</w:t>
      </w:r>
      <w:r w:rsidR="002B236A">
        <w:rPr>
          <w:rFonts w:eastAsia="Calibri"/>
          <w:szCs w:val="18"/>
        </w:rPr>
        <w:t xml:space="preserve"> </w:t>
      </w:r>
      <w:r w:rsidRPr="00DD7EC3">
        <w:rPr>
          <w:rFonts w:eastAsia="Calibri"/>
          <w:szCs w:val="18"/>
        </w:rPr>
        <w:t xml:space="preserve">Data was collected through a face-to-face interview with an </w:t>
      </w:r>
      <w:r w:rsidR="00C2660B">
        <w:rPr>
          <w:rFonts w:eastAsia="Calibri"/>
          <w:szCs w:val="18"/>
        </w:rPr>
        <w:t>ABS</w:t>
      </w:r>
      <w:r w:rsidRPr="00DD7EC3">
        <w:rPr>
          <w:rFonts w:eastAsia="Calibri"/>
          <w:szCs w:val="18"/>
        </w:rPr>
        <w:t xml:space="preserve"> interviewer for each respondent. Detailed information on the methodology is available on the </w:t>
      </w:r>
      <w:hyperlink r:id="rId38" w:history="1">
        <w:r w:rsidR="00E519A2" w:rsidRPr="00BB469A">
          <w:rPr>
            <w:rFonts w:eastAsia="Yu Gothic Light" w:cs="Times New Roman"/>
            <w:color w:val="008143"/>
            <w:szCs w:val="18"/>
            <w:u w:val="single"/>
          </w:rPr>
          <w:t>ABS website</w:t>
        </w:r>
        <w:r w:rsidR="00E519A2">
          <w:t>.</w:t>
        </w:r>
      </w:hyperlink>
    </w:p>
    <w:p w14:paraId="49910F1E" w14:textId="65D9A6C5" w:rsidR="00EE41ED" w:rsidRPr="00DD7EC3" w:rsidRDefault="00EE41ED" w:rsidP="00D50DDA">
      <w:pPr>
        <w:pStyle w:val="ListParagraph"/>
        <w:numPr>
          <w:ilvl w:val="0"/>
          <w:numId w:val="48"/>
        </w:numPr>
        <w:rPr>
          <w:rFonts w:eastAsia="Calibri"/>
          <w:szCs w:val="18"/>
        </w:rPr>
      </w:pPr>
      <w:r w:rsidRPr="00DD7EC3">
        <w:rPr>
          <w:rFonts w:eastAsia="Calibri"/>
          <w:szCs w:val="18"/>
        </w:rPr>
        <w:t xml:space="preserve">Mental disorders were classified according to the World Health Organization’s International Classification of Diseases, Tenth Revision (ICD-10). Changes were made to diagnostic criteria for post-traumatic stress disorder (PTSD) and obsessive-compulsive disorder (OCD) between the 2007 and 2020-2022 surveys. </w:t>
      </w:r>
      <w:r w:rsidR="002B236A">
        <w:rPr>
          <w:rFonts w:eastAsia="Calibri"/>
          <w:szCs w:val="18"/>
        </w:rPr>
        <w:t>D</w:t>
      </w:r>
      <w:r w:rsidRPr="00DD7EC3">
        <w:rPr>
          <w:rFonts w:eastAsia="Calibri"/>
          <w:szCs w:val="18"/>
        </w:rPr>
        <w:t xml:space="preserve">ata for 2007 </w:t>
      </w:r>
      <w:r w:rsidR="00A90951">
        <w:rPr>
          <w:rFonts w:eastAsia="Calibri"/>
          <w:szCs w:val="18"/>
        </w:rPr>
        <w:t xml:space="preserve">in this report is </w:t>
      </w:r>
      <w:r w:rsidRPr="00DD7EC3">
        <w:rPr>
          <w:rFonts w:eastAsia="Calibri"/>
          <w:szCs w:val="18"/>
        </w:rPr>
        <w:t>re</w:t>
      </w:r>
      <w:r w:rsidR="008C4100">
        <w:rPr>
          <w:rFonts w:eastAsia="Calibri"/>
          <w:szCs w:val="18"/>
        </w:rPr>
        <w:noBreakHyphen/>
      </w:r>
      <w:r w:rsidRPr="00DD7EC3">
        <w:rPr>
          <w:rFonts w:eastAsia="Calibri"/>
          <w:szCs w:val="18"/>
        </w:rPr>
        <w:t xml:space="preserve">derived using diagnostic criteria </w:t>
      </w:r>
      <w:r w:rsidR="00970497">
        <w:rPr>
          <w:rFonts w:eastAsia="Calibri"/>
          <w:szCs w:val="18"/>
        </w:rPr>
        <w:t>used in</w:t>
      </w:r>
      <w:r w:rsidRPr="00DD7EC3">
        <w:rPr>
          <w:rFonts w:eastAsia="Calibri"/>
          <w:szCs w:val="18"/>
        </w:rPr>
        <w:t xml:space="preserve"> the 2020-2022 survey.</w:t>
      </w:r>
    </w:p>
    <w:p w14:paraId="5CFDBE79" w14:textId="77777777" w:rsidR="00EE41ED" w:rsidRPr="00DD7EC3" w:rsidRDefault="00EE41ED" w:rsidP="00D50DDA">
      <w:pPr>
        <w:pStyle w:val="ListParagraph"/>
        <w:numPr>
          <w:ilvl w:val="0"/>
          <w:numId w:val="48"/>
        </w:numPr>
        <w:rPr>
          <w:rFonts w:eastAsia="Calibri"/>
          <w:szCs w:val="18"/>
        </w:rPr>
      </w:pPr>
      <w:r w:rsidRPr="00DD7EC3">
        <w:rPr>
          <w:rFonts w:eastAsia="Calibri"/>
          <w:szCs w:val="18"/>
        </w:rPr>
        <w:t>Comparisons between males and females are based on sex recorded at birth (i.e., what was determined by sex characteristics observed at birth or infancy).</w:t>
      </w:r>
    </w:p>
    <w:p w14:paraId="2CD7D69F" w14:textId="17FD9FA0" w:rsidR="00EE41ED" w:rsidRPr="00DD7EC3" w:rsidRDefault="00EE41ED" w:rsidP="00D50DDA">
      <w:pPr>
        <w:pStyle w:val="ListParagraph"/>
        <w:numPr>
          <w:ilvl w:val="0"/>
          <w:numId w:val="48"/>
        </w:numPr>
        <w:rPr>
          <w:rFonts w:eastAsia="Calibri"/>
          <w:szCs w:val="18"/>
        </w:rPr>
      </w:pPr>
      <w:r w:rsidRPr="00DD7EC3">
        <w:rPr>
          <w:rFonts w:eastAsia="Calibri"/>
          <w:szCs w:val="18"/>
        </w:rPr>
        <w:t>Some proportions may not add up to 100% due to number perturbation implemented by the data source owner.</w:t>
      </w:r>
      <w:bookmarkEnd w:id="75"/>
      <w:bookmarkEnd w:id="76"/>
    </w:p>
    <w:p w14:paraId="6F516A66" w14:textId="77777777" w:rsidR="00EE41ED" w:rsidRPr="00755D97" w:rsidRDefault="00EE41ED" w:rsidP="00EE41ED">
      <w:pPr>
        <w:spacing w:after="0" w:line="240" w:lineRule="auto"/>
        <w:rPr>
          <w:rFonts w:eastAsia="Calibri"/>
        </w:rPr>
      </w:pPr>
      <w:r w:rsidRPr="00755D97">
        <w:rPr>
          <w:rFonts w:eastAsia="Calibri"/>
        </w:rPr>
        <w:br w:type="page"/>
      </w:r>
    </w:p>
    <w:p w14:paraId="216BC6B0" w14:textId="77777777" w:rsidR="00EE41ED" w:rsidRPr="00755D97" w:rsidRDefault="00EE41ED" w:rsidP="00D15CD9">
      <w:pPr>
        <w:pStyle w:val="Heading1"/>
        <w:rPr>
          <w:rFonts w:eastAsia="Yu Gothic Light" w:cs="Times New Roman"/>
          <w:szCs w:val="40"/>
        </w:rPr>
      </w:pPr>
      <w:bookmarkStart w:id="77" w:name="_Toc169692811"/>
      <w:bookmarkStart w:id="78" w:name="_Toc169868013"/>
      <w:bookmarkStart w:id="79" w:name="_Toc164671318"/>
      <w:bookmarkStart w:id="80" w:name="_Toc164671588"/>
      <w:r>
        <w:rPr>
          <w:rFonts w:eastAsia="Yu Gothic Light"/>
        </w:rPr>
        <w:lastRenderedPageBreak/>
        <w:t xml:space="preserve">CI </w:t>
      </w:r>
      <w:r w:rsidRPr="5AD7E2C0">
        <w:rPr>
          <w:rFonts w:eastAsia="Yu Gothic Light" w:cs="Times New Roman"/>
          <w:szCs w:val="40"/>
        </w:rPr>
        <w:t>2: Psychological distress</w:t>
      </w:r>
      <w:bookmarkEnd w:id="77"/>
      <w:bookmarkEnd w:id="78"/>
      <w:r w:rsidRPr="5AD7E2C0">
        <w:rPr>
          <w:rFonts w:eastAsia="Yu Gothic Light" w:cs="Times New Roman"/>
          <w:szCs w:val="40"/>
        </w:rPr>
        <w:t xml:space="preserve"> </w:t>
      </w:r>
      <w:bookmarkEnd w:id="79"/>
      <w:bookmarkEnd w:id="80"/>
      <w:r>
        <w:tab/>
      </w:r>
    </w:p>
    <w:p w14:paraId="3EB21CB0" w14:textId="77777777" w:rsidR="00EE41ED" w:rsidRPr="00755D97" w:rsidRDefault="00EE41ED" w:rsidP="00EE41ED">
      <w:pPr>
        <w:keepNext/>
        <w:keepLines/>
        <w:spacing w:before="60" w:after="60"/>
        <w:outlineLvl w:val="1"/>
        <w:rPr>
          <w:rFonts w:ascii="Roboto-Bold" w:eastAsia="Yu Gothic Light" w:hAnsi="Roboto-Bold" w:cs="Times New Roman"/>
          <w:color w:val="008143"/>
          <w:sz w:val="26"/>
          <w:szCs w:val="26"/>
        </w:rPr>
      </w:pPr>
      <w:bookmarkStart w:id="81" w:name="_Toc164671319"/>
      <w:bookmarkStart w:id="82" w:name="_Toc164671589"/>
      <w:bookmarkStart w:id="83" w:name="_Toc169018558"/>
      <w:bookmarkStart w:id="84" w:name="_Toc169189010"/>
      <w:bookmarkStart w:id="85" w:name="_Toc169692812"/>
      <w:r w:rsidRPr="00755D97">
        <w:rPr>
          <w:rFonts w:ascii="Roboto-Bold" w:eastAsia="Yu Gothic Light" w:hAnsi="Roboto-Bold" w:cs="Times New Roman"/>
          <w:color w:val="008143"/>
          <w:sz w:val="26"/>
          <w:szCs w:val="26"/>
        </w:rPr>
        <w:t>What we are tracking (and why)</w:t>
      </w:r>
      <w:bookmarkEnd w:id="81"/>
      <w:bookmarkEnd w:id="82"/>
      <w:bookmarkEnd w:id="83"/>
      <w:bookmarkEnd w:id="84"/>
      <w:bookmarkEnd w:id="85"/>
    </w:p>
    <w:p w14:paraId="5203621B" w14:textId="77A9839C" w:rsidR="00EE41ED" w:rsidRPr="00755D97" w:rsidRDefault="00EE41ED" w:rsidP="00EE41ED">
      <w:pPr>
        <w:rPr>
          <w:rFonts w:eastAsia="Calibri"/>
          <w:szCs w:val="18"/>
        </w:rPr>
      </w:pPr>
      <w:r w:rsidRPr="00C625D7">
        <w:rPr>
          <w:rFonts w:eastAsia="Calibri"/>
          <w:szCs w:val="18"/>
        </w:rPr>
        <w:t>This indicator tracks the proportion of people in Australia aged 18 years and over experiencing high or very high levels of psychological distress. This data is captured using the Kessler Psychological Distress Scale (K10), which includes 10</w:t>
      </w:r>
      <w:r w:rsidR="008C4100">
        <w:rPr>
          <w:rFonts w:eastAsia="Calibri"/>
          <w:szCs w:val="18"/>
        </w:rPr>
        <w:t> </w:t>
      </w:r>
      <w:r w:rsidRPr="00C625D7">
        <w:rPr>
          <w:rFonts w:eastAsia="Calibri"/>
          <w:szCs w:val="18"/>
        </w:rPr>
        <w:t xml:space="preserve">questions about emotional states (e.g., hopeless, depressed, nervous) to provide a simple measure of whether a person has experienced psychological </w:t>
      </w:r>
      <w:r w:rsidRPr="00C625D7" w:rsidDel="005C186B">
        <w:rPr>
          <w:rFonts w:eastAsia="Calibri"/>
          <w:szCs w:val="18"/>
        </w:rPr>
        <w:t>distress</w:t>
      </w:r>
      <w:r w:rsidRPr="00C625D7" w:rsidDel="00E51DBC">
        <w:rPr>
          <w:rFonts w:eastAsia="Calibri"/>
          <w:szCs w:val="18"/>
        </w:rPr>
        <w:t xml:space="preserve"> </w:t>
      </w:r>
      <w:r w:rsidRPr="00C625D7">
        <w:rPr>
          <w:rFonts w:eastAsia="Calibri"/>
          <w:szCs w:val="18"/>
        </w:rPr>
        <w:t xml:space="preserve">in the four weeks prior to completing the survey. </w:t>
      </w:r>
    </w:p>
    <w:p w14:paraId="66D77B4D" w14:textId="0C1835FB" w:rsidR="00EE41ED" w:rsidRPr="00755D97" w:rsidRDefault="00EE41ED" w:rsidP="00EE41ED">
      <w:pPr>
        <w:rPr>
          <w:rFonts w:eastAsia="Calibri"/>
          <w:szCs w:val="18"/>
        </w:rPr>
      </w:pPr>
      <w:r w:rsidRPr="00C625D7">
        <w:rPr>
          <w:rFonts w:eastAsia="Calibri"/>
          <w:szCs w:val="18"/>
        </w:rPr>
        <w:t>Psychological distress, especially when experienced for prolonged periods of time, is associated with mental health conditions.</w:t>
      </w:r>
      <w:r w:rsidRPr="00CE7070">
        <w:rPr>
          <w:vertAlign w:val="superscript"/>
        </w:rPr>
        <w:footnoteReference w:id="3"/>
      </w:r>
      <w:r w:rsidRPr="00C625D7" w:rsidDel="002372B2">
        <w:rPr>
          <w:rFonts w:eastAsia="Calibri"/>
          <w:szCs w:val="18"/>
        </w:rPr>
        <w:t xml:space="preserve"> </w:t>
      </w:r>
      <w:r w:rsidRPr="00C625D7">
        <w:rPr>
          <w:rFonts w:eastAsia="Calibri"/>
          <w:szCs w:val="18"/>
        </w:rPr>
        <w:t>Monitoring levels of psychological distress helps assess the mental health and wellbeing of people in Australia outside of diagnostic criteria. People with or without mental or behavioural conditions may experience negative emotional states for any length of time, and this indicator may</w:t>
      </w:r>
      <w:r w:rsidRPr="00C625D7" w:rsidDel="00A6415F">
        <w:rPr>
          <w:rFonts w:eastAsia="Calibri"/>
          <w:szCs w:val="18"/>
        </w:rPr>
        <w:t xml:space="preserve"> </w:t>
      </w:r>
      <w:r w:rsidRPr="00C625D7">
        <w:rPr>
          <w:rFonts w:eastAsia="Calibri"/>
          <w:szCs w:val="18"/>
        </w:rPr>
        <w:t>provide an estimate of the need for support and services across the population. As with mental disorder prevalence rates, low or reducing levels of psychological distress may signal a more effective mental health system and/or</w:t>
      </w:r>
      <w:r w:rsidRPr="00C625D7" w:rsidDel="00B1326E">
        <w:rPr>
          <w:rFonts w:eastAsia="Calibri"/>
          <w:szCs w:val="18"/>
        </w:rPr>
        <w:t xml:space="preserve"> </w:t>
      </w:r>
      <w:r w:rsidRPr="00C625D7">
        <w:rPr>
          <w:rFonts w:eastAsia="Calibri"/>
          <w:szCs w:val="18"/>
        </w:rPr>
        <w:t xml:space="preserve">improvements in external factors that impact mental health and wellbeing across society. </w:t>
      </w:r>
    </w:p>
    <w:p w14:paraId="73A21C79" w14:textId="77777777" w:rsidR="00EE41ED" w:rsidRPr="00755D97" w:rsidRDefault="00EE41ED" w:rsidP="00EE41ED">
      <w:pPr>
        <w:keepNext/>
        <w:keepLines/>
        <w:spacing w:before="60" w:after="60"/>
        <w:outlineLvl w:val="1"/>
        <w:rPr>
          <w:rFonts w:ascii="Roboto-Bold" w:eastAsia="Yu Gothic Light" w:hAnsi="Roboto-Bold" w:cs="Times New Roman"/>
          <w:color w:val="008143"/>
          <w:sz w:val="26"/>
          <w:szCs w:val="26"/>
        </w:rPr>
      </w:pPr>
      <w:bookmarkStart w:id="86" w:name="_Toc164671320"/>
      <w:bookmarkStart w:id="87" w:name="_Toc164671590"/>
      <w:bookmarkStart w:id="88" w:name="_Toc169018559"/>
      <w:bookmarkStart w:id="89" w:name="_Toc169189011"/>
      <w:bookmarkStart w:id="90" w:name="_Toc169692813"/>
      <w:r w:rsidRPr="00755D97">
        <w:rPr>
          <w:rFonts w:ascii="Roboto-Bold" w:eastAsia="Yu Gothic Light" w:hAnsi="Roboto-Bold" w:cs="Times New Roman"/>
          <w:color w:val="008143"/>
          <w:sz w:val="26"/>
          <w:szCs w:val="26"/>
        </w:rPr>
        <w:t>What the data tells us</w:t>
      </w:r>
      <w:bookmarkEnd w:id="86"/>
      <w:bookmarkEnd w:id="87"/>
      <w:bookmarkEnd w:id="88"/>
      <w:bookmarkEnd w:id="89"/>
      <w:bookmarkEnd w:id="90"/>
    </w:p>
    <w:p w14:paraId="2D2B568E" w14:textId="77777777" w:rsidR="00EE41ED" w:rsidRPr="00755D97" w:rsidRDefault="00EE41ED" w:rsidP="00EE41ED">
      <w:pPr>
        <w:keepNext/>
        <w:keepLines/>
        <w:spacing w:before="60" w:after="60"/>
        <w:outlineLvl w:val="2"/>
        <w:rPr>
          <w:rFonts w:ascii="Roboto" w:eastAsia="Yu Gothic Light" w:hAnsi="Roboto" w:cs="Times New Roman"/>
          <w:b/>
          <w:color w:val="545A60"/>
          <w:sz w:val="21"/>
        </w:rPr>
      </w:pPr>
      <w:bookmarkStart w:id="91" w:name="_Toc164671321"/>
      <w:bookmarkStart w:id="92" w:name="_Toc164671591"/>
      <w:bookmarkStart w:id="93" w:name="_Toc169018560"/>
      <w:bookmarkStart w:id="94" w:name="_Toc169189012"/>
      <w:bookmarkStart w:id="95" w:name="_Toc169692814"/>
      <w:r w:rsidRPr="00755D97">
        <w:rPr>
          <w:rFonts w:ascii="Roboto" w:eastAsia="Yu Gothic Light" w:hAnsi="Roboto" w:cs="Times New Roman"/>
          <w:b/>
          <w:color w:val="545A60"/>
          <w:sz w:val="21"/>
        </w:rPr>
        <w:t xml:space="preserve">Indicator </w:t>
      </w:r>
      <w:r>
        <w:rPr>
          <w:rFonts w:ascii="Roboto" w:eastAsia="Yu Gothic Light" w:hAnsi="Roboto" w:cs="Times New Roman"/>
          <w:b/>
          <w:color w:val="545A60"/>
          <w:sz w:val="21"/>
        </w:rPr>
        <w:t>f</w:t>
      </w:r>
      <w:r w:rsidRPr="00755D97">
        <w:rPr>
          <w:rFonts w:ascii="Roboto" w:eastAsia="Yu Gothic Light" w:hAnsi="Roboto" w:cs="Times New Roman"/>
          <w:b/>
          <w:color w:val="545A60"/>
          <w:sz w:val="21"/>
        </w:rPr>
        <w:t>indings</w:t>
      </w:r>
      <w:bookmarkEnd w:id="91"/>
      <w:bookmarkEnd w:id="92"/>
      <w:bookmarkEnd w:id="93"/>
      <w:bookmarkEnd w:id="94"/>
      <w:bookmarkEnd w:id="95"/>
    </w:p>
    <w:p w14:paraId="72A43E27" w14:textId="77777777" w:rsidR="00EE41ED" w:rsidRPr="00A86E74" w:rsidRDefault="00EE41ED" w:rsidP="00EE41ED">
      <w:pPr>
        <w:spacing w:after="0"/>
        <w:rPr>
          <w:rFonts w:ascii="Roboto-Bold" w:eastAsia="Calibri" w:hAnsi="Roboto-Bold"/>
          <w:color w:val="5B626C"/>
        </w:rPr>
      </w:pPr>
      <w:r>
        <w:rPr>
          <w:rFonts w:ascii="Roboto-Bold" w:eastAsia="Calibri" w:hAnsi="Roboto-Bold"/>
          <w:color w:val="5B626C"/>
        </w:rPr>
        <w:t>Whole of population</w:t>
      </w:r>
    </w:p>
    <w:p w14:paraId="448A4B27" w14:textId="088C1625" w:rsidR="00EE41ED" w:rsidRPr="00CE7070" w:rsidRDefault="00EE41ED" w:rsidP="00CE7070">
      <w:pPr>
        <w:rPr>
          <w:rFonts w:eastAsia="Calibri"/>
          <w:szCs w:val="18"/>
        </w:rPr>
      </w:pPr>
      <w:r w:rsidRPr="00C625D7">
        <w:rPr>
          <w:rFonts w:eastAsia="Calibri"/>
          <w:szCs w:val="18"/>
        </w:rPr>
        <w:t>As shown</w:t>
      </w:r>
      <w:r w:rsidRPr="00C625D7" w:rsidDel="00010D51">
        <w:rPr>
          <w:rFonts w:eastAsia="Calibri"/>
          <w:szCs w:val="18"/>
        </w:rPr>
        <w:t xml:space="preserve"> in </w:t>
      </w:r>
      <w:r w:rsidRPr="00C625D7">
        <w:rPr>
          <w:rFonts w:eastAsia="Calibri"/>
          <w:szCs w:val="18"/>
        </w:rPr>
        <w:t xml:space="preserve">Figure A2, </w:t>
      </w:r>
      <w:r w:rsidRPr="00C625D7" w:rsidDel="00010D51">
        <w:rPr>
          <w:rFonts w:eastAsia="Calibri"/>
          <w:szCs w:val="18"/>
        </w:rPr>
        <w:t>t</w:t>
      </w:r>
      <w:r w:rsidRPr="00C625D7">
        <w:rPr>
          <w:rFonts w:eastAsia="Calibri"/>
          <w:szCs w:val="18"/>
        </w:rPr>
        <w:t>he proportion of people in Australia aged 18 years and over with high or very high levels of psychological distress</w:t>
      </w:r>
      <w:r w:rsidRPr="00C625D7" w:rsidDel="00010D51">
        <w:rPr>
          <w:rFonts w:eastAsia="Calibri"/>
          <w:szCs w:val="18"/>
        </w:rPr>
        <w:t xml:space="preserve"> </w:t>
      </w:r>
      <w:r w:rsidRPr="00C625D7">
        <w:rPr>
          <w:rFonts w:eastAsia="Calibri"/>
          <w:szCs w:val="18"/>
        </w:rPr>
        <w:t xml:space="preserve">remained relatively stable over time, from 12.6% (1.8 million) in 2001, to 10.8% (1.8 million) in 2011-12, to 13.6% (2.4 million) in 2017-18 and 14.6% (2.7 million) in 2022. </w:t>
      </w:r>
      <w:r w:rsidR="002E4C06">
        <w:rPr>
          <w:rFonts w:eastAsia="Calibri"/>
          <w:szCs w:val="18"/>
        </w:rPr>
        <w:t>T</w:t>
      </w:r>
      <w:r w:rsidRPr="00C625D7">
        <w:rPr>
          <w:rFonts w:eastAsia="Calibri"/>
          <w:szCs w:val="18"/>
        </w:rPr>
        <w:t xml:space="preserve">here has been a significant increase in psychological distress between the </w:t>
      </w:r>
      <w:proofErr w:type="gramStart"/>
      <w:r w:rsidRPr="00C625D7">
        <w:rPr>
          <w:rFonts w:eastAsia="Calibri"/>
          <w:szCs w:val="18"/>
        </w:rPr>
        <w:t>low-point</w:t>
      </w:r>
      <w:proofErr w:type="gramEnd"/>
      <w:r w:rsidRPr="00C625D7">
        <w:rPr>
          <w:rFonts w:eastAsia="Calibri"/>
          <w:szCs w:val="18"/>
        </w:rPr>
        <w:t xml:space="preserve"> of 2011-12 and the most recently available data in 2022.</w:t>
      </w:r>
    </w:p>
    <w:p w14:paraId="0871E672" w14:textId="77777777" w:rsidR="00EE41ED" w:rsidRPr="00755D97" w:rsidRDefault="00EE41ED" w:rsidP="00F15C3B">
      <w:pPr>
        <w:spacing w:after="120"/>
        <w:outlineLvl w:val="3"/>
        <w:rPr>
          <w:rFonts w:ascii="Roboto" w:eastAsia="Calibri" w:hAnsi="Roboto"/>
          <w:color w:val="5B626C"/>
          <w:szCs w:val="18"/>
        </w:rPr>
      </w:pPr>
      <w:r w:rsidRPr="00755D97">
        <w:rPr>
          <w:rFonts w:ascii="Roboto" w:eastAsia="Calibri" w:hAnsi="Roboto"/>
          <w:color w:val="008143"/>
          <w:szCs w:val="18"/>
        </w:rPr>
        <w:t xml:space="preserve">Figure </w:t>
      </w:r>
      <w:r>
        <w:rPr>
          <w:rFonts w:ascii="Roboto" w:eastAsia="Calibri" w:hAnsi="Roboto"/>
          <w:color w:val="008143"/>
          <w:szCs w:val="18"/>
        </w:rPr>
        <w:t>A2</w:t>
      </w:r>
      <w:r w:rsidRPr="00755D97">
        <w:rPr>
          <w:rFonts w:ascii="Roboto" w:eastAsia="Calibri" w:hAnsi="Roboto"/>
          <w:color w:val="008143"/>
          <w:szCs w:val="18"/>
        </w:rPr>
        <w:t xml:space="preserve">. </w:t>
      </w:r>
      <w:r>
        <w:rPr>
          <w:rFonts w:ascii="Roboto" w:eastAsia="Calibri" w:hAnsi="Roboto"/>
          <w:color w:val="5B626C"/>
          <w:szCs w:val="18"/>
        </w:rPr>
        <w:t>Age standardised p</w:t>
      </w:r>
      <w:r w:rsidRPr="00755D97">
        <w:rPr>
          <w:rFonts w:ascii="Roboto" w:eastAsia="Calibri" w:hAnsi="Roboto"/>
          <w:color w:val="5B626C"/>
          <w:szCs w:val="18"/>
        </w:rPr>
        <w:t>roportion of people in Australia aged 18 and over who experienced high</w:t>
      </w:r>
      <w:r w:rsidRPr="3123A4FE">
        <w:rPr>
          <w:rFonts w:ascii="Roboto" w:eastAsia="Calibri" w:hAnsi="Roboto"/>
          <w:color w:val="5B626C"/>
          <w:szCs w:val="18"/>
        </w:rPr>
        <w:t xml:space="preserve"> or </w:t>
      </w:r>
      <w:r w:rsidRPr="00755D97">
        <w:rPr>
          <w:rFonts w:ascii="Roboto" w:eastAsia="Calibri" w:hAnsi="Roboto"/>
          <w:color w:val="5B626C"/>
          <w:szCs w:val="18"/>
        </w:rPr>
        <w:t xml:space="preserve">very high levels of psychological distress, </w:t>
      </w:r>
      <w:r>
        <w:rPr>
          <w:rFonts w:ascii="Roboto" w:eastAsia="Calibri" w:hAnsi="Roboto"/>
          <w:color w:val="5B626C"/>
          <w:szCs w:val="18"/>
        </w:rPr>
        <w:t>2001-</w:t>
      </w:r>
      <w:r w:rsidRPr="00755D97">
        <w:rPr>
          <w:rFonts w:ascii="Roboto" w:eastAsia="Calibri" w:hAnsi="Roboto"/>
          <w:color w:val="5B626C"/>
          <w:szCs w:val="18"/>
        </w:rPr>
        <w:t xml:space="preserve">2022 </w:t>
      </w:r>
    </w:p>
    <w:p w14:paraId="2FD171C4" w14:textId="4204AE5B" w:rsidR="00394C86" w:rsidRPr="00364146" w:rsidRDefault="00A60776" w:rsidP="00364146">
      <w:pPr>
        <w:outlineLvl w:val="3"/>
        <w:rPr>
          <w:rFonts w:ascii="Roboto" w:eastAsia="Calibri" w:hAnsi="Roboto"/>
          <w:color w:val="5B626C"/>
        </w:rPr>
      </w:pPr>
      <w:r>
        <w:rPr>
          <w:noProof/>
        </w:rPr>
        <w:drawing>
          <wp:inline distT="0" distB="0" distL="0" distR="0" wp14:anchorId="67B8C9FB" wp14:editId="1F421437">
            <wp:extent cx="6115050" cy="2990850"/>
            <wp:effectExtent l="0" t="0" r="0" b="0"/>
            <wp:docPr id="1620931265" name="Graphic 1620931265" descr="The content of this figure is described in the text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931265" name="Graphic 1620931265" descr="The content of this figure is described in the text above. "/>
                    <pic:cNvPicPr/>
                  </pic:nvPicPr>
                  <pic:blipFill>
                    <a:blip r:embed="rId39">
                      <a:extLst>
                        <a:ext uri="{96DAC541-7B7A-43D3-8B79-37D633B846F1}">
                          <asvg:svgBlip xmlns:asvg="http://schemas.microsoft.com/office/drawing/2016/SVG/main" r:embed="rId40"/>
                        </a:ext>
                      </a:extLst>
                    </a:blip>
                    <a:stretch>
                      <a:fillRect/>
                    </a:stretch>
                  </pic:blipFill>
                  <pic:spPr>
                    <a:xfrm>
                      <a:off x="0" y="0"/>
                      <a:ext cx="6115050" cy="2990850"/>
                    </a:xfrm>
                    <a:prstGeom prst="rect">
                      <a:avLst/>
                    </a:prstGeom>
                  </pic:spPr>
                </pic:pic>
              </a:graphicData>
            </a:graphic>
          </wp:inline>
        </w:drawing>
      </w:r>
    </w:p>
    <w:p w14:paraId="704E540C" w14:textId="7B1D584D" w:rsidR="00EE41ED" w:rsidRDefault="00EE41ED" w:rsidP="00EE41ED">
      <w:pPr>
        <w:spacing w:after="0"/>
        <w:rPr>
          <w:rFonts w:ascii="Roboto-Bold" w:eastAsia="Calibri" w:hAnsi="Roboto-Bold"/>
          <w:color w:val="5B626C"/>
        </w:rPr>
      </w:pPr>
      <w:r>
        <w:rPr>
          <w:rFonts w:ascii="Roboto-Bold" w:eastAsia="Calibri" w:hAnsi="Roboto-Bold"/>
          <w:color w:val="5B626C"/>
        </w:rPr>
        <w:lastRenderedPageBreak/>
        <w:t>Lived Experience</w:t>
      </w:r>
    </w:p>
    <w:p w14:paraId="4CDEB233" w14:textId="1FE7C161" w:rsidR="00EE41ED" w:rsidRPr="00C625D7" w:rsidRDefault="00023072" w:rsidP="00EE41ED">
      <w:pPr>
        <w:rPr>
          <w:rFonts w:eastAsia="Calibri"/>
          <w:szCs w:val="18"/>
        </w:rPr>
      </w:pPr>
      <w:r w:rsidRPr="00D50DDA">
        <w:rPr>
          <w:rFonts w:eastAsia="Calibri"/>
          <w:szCs w:val="18"/>
        </w:rPr>
        <w:t xml:space="preserve">In 2022, a significantly higher proportion of people with a mental or behavioural condition experienced high or very high levels of psychological distress (38.7%) compared to people without such conditions (4.7%). </w:t>
      </w:r>
      <w:r w:rsidR="00EE41ED" w:rsidRPr="00C625D7">
        <w:rPr>
          <w:rFonts w:eastAsia="Calibri"/>
          <w:szCs w:val="18"/>
        </w:rPr>
        <w:t xml:space="preserve">Looking at this in more detail, among people who experienced high levels of psychological distress, 71.9% had a mental or behavioural condition, and among people who experienced very high levels of psychological distress, 88.1% had a mental or behavioural condition. In contrast, </w:t>
      </w:r>
      <w:r w:rsidR="008A6E15">
        <w:rPr>
          <w:rFonts w:eastAsia="Calibri"/>
          <w:szCs w:val="18"/>
        </w:rPr>
        <w:t xml:space="preserve">a lower proportion of </w:t>
      </w:r>
      <w:r w:rsidR="00EE41ED" w:rsidRPr="00C625D7">
        <w:rPr>
          <w:rFonts w:eastAsia="Calibri"/>
          <w:szCs w:val="18"/>
        </w:rPr>
        <w:t xml:space="preserve">people who experienced low or moderate levels of psychological distress </w:t>
      </w:r>
      <w:r w:rsidR="00D80757">
        <w:rPr>
          <w:rFonts w:eastAsia="Calibri"/>
          <w:szCs w:val="18"/>
        </w:rPr>
        <w:t xml:space="preserve">also </w:t>
      </w:r>
      <w:r w:rsidR="00B51413">
        <w:rPr>
          <w:rFonts w:eastAsia="Calibri"/>
          <w:szCs w:val="18"/>
        </w:rPr>
        <w:t>had</w:t>
      </w:r>
      <w:r w:rsidR="00EE41ED" w:rsidRPr="00C625D7">
        <w:rPr>
          <w:rFonts w:eastAsia="Calibri"/>
          <w:szCs w:val="18"/>
        </w:rPr>
        <w:t xml:space="preserve"> a mental or behavioural condition: among people who experienced low levels of psychological distress, 13.0% had a mental or behavioural condition, and among people with moderate levels of distress, 40.0% had a mental or behavioural condition. </w:t>
      </w:r>
    </w:p>
    <w:p w14:paraId="16671B68" w14:textId="77777777" w:rsidR="00EE41ED" w:rsidRPr="00755D97" w:rsidRDefault="00EE41ED" w:rsidP="00EE41ED">
      <w:pPr>
        <w:keepNext/>
        <w:keepLines/>
        <w:spacing w:before="60" w:after="60"/>
        <w:outlineLvl w:val="2"/>
        <w:rPr>
          <w:rFonts w:ascii="Roboto" w:eastAsia="Yu Gothic Light" w:hAnsi="Roboto" w:cs="Times New Roman"/>
          <w:b/>
          <w:color w:val="545A60"/>
          <w:sz w:val="21"/>
        </w:rPr>
      </w:pPr>
      <w:bookmarkStart w:id="96" w:name="_Toc169018561"/>
      <w:bookmarkStart w:id="97" w:name="_Toc169189013"/>
      <w:bookmarkStart w:id="98" w:name="_Toc169692815"/>
      <w:r w:rsidRPr="00755D97">
        <w:rPr>
          <w:rFonts w:ascii="Roboto" w:eastAsia="Yu Gothic Light" w:hAnsi="Roboto" w:cs="Times New Roman"/>
          <w:b/>
          <w:color w:val="545A60"/>
          <w:sz w:val="21"/>
        </w:rPr>
        <w:t>How do these findings differ between groups?</w:t>
      </w:r>
      <w:bookmarkEnd w:id="96"/>
      <w:bookmarkEnd w:id="97"/>
      <w:bookmarkEnd w:id="98"/>
    </w:p>
    <w:p w14:paraId="0C932632" w14:textId="77777777" w:rsidR="00EE41ED" w:rsidRDefault="00EE41ED" w:rsidP="00EE41ED">
      <w:pPr>
        <w:spacing w:after="0"/>
        <w:rPr>
          <w:rFonts w:ascii="Roboto-Bold" w:eastAsia="Calibri" w:hAnsi="Roboto-Bold"/>
          <w:color w:val="5B626C"/>
        </w:rPr>
      </w:pPr>
      <w:r>
        <w:rPr>
          <w:rFonts w:ascii="Roboto-Bold" w:eastAsia="Calibri" w:hAnsi="Roboto-Bold"/>
          <w:color w:val="5B626C"/>
        </w:rPr>
        <w:t>Whole of population</w:t>
      </w:r>
    </w:p>
    <w:p w14:paraId="042D1599" w14:textId="4D72703C" w:rsidR="00EE41ED" w:rsidRPr="00C625D7" w:rsidRDefault="00EE41ED" w:rsidP="00EE41ED">
      <w:pPr>
        <w:rPr>
          <w:rFonts w:eastAsia="Calibri"/>
          <w:szCs w:val="18"/>
        </w:rPr>
      </w:pPr>
      <w:r w:rsidRPr="00C625D7">
        <w:rPr>
          <w:rFonts w:eastAsia="Calibri"/>
          <w:szCs w:val="18"/>
        </w:rPr>
        <w:t>In 2022, among people in Australia aged 18 years and over, a significantly higher proportion of females (16.7%) experienced high or very high levels of psychological distress when compared to males (11.8%). This difference is consistent</w:t>
      </w:r>
      <w:r w:rsidRPr="00C625D7" w:rsidDel="00BF1781">
        <w:rPr>
          <w:rFonts w:eastAsia="Calibri"/>
          <w:szCs w:val="18"/>
        </w:rPr>
        <w:t xml:space="preserve"> </w:t>
      </w:r>
      <w:r w:rsidRPr="00C625D7">
        <w:rPr>
          <w:rFonts w:eastAsia="Calibri"/>
          <w:szCs w:val="18"/>
        </w:rPr>
        <w:t>with findings from 2017-18 (</w:t>
      </w:r>
      <w:r w:rsidR="0029469C">
        <w:rPr>
          <w:rFonts w:eastAsia="Calibri"/>
          <w:szCs w:val="18"/>
        </w:rPr>
        <w:t>F</w:t>
      </w:r>
      <w:r w:rsidRPr="00C625D7">
        <w:rPr>
          <w:rFonts w:eastAsia="Calibri"/>
          <w:szCs w:val="18"/>
        </w:rPr>
        <w:t xml:space="preserve">emales: 14.5%, </w:t>
      </w:r>
      <w:r w:rsidR="0029469C">
        <w:rPr>
          <w:rFonts w:eastAsia="Calibri"/>
          <w:szCs w:val="18"/>
        </w:rPr>
        <w:t>M</w:t>
      </w:r>
      <w:r w:rsidRPr="00C625D7">
        <w:rPr>
          <w:rFonts w:eastAsia="Calibri"/>
          <w:szCs w:val="18"/>
        </w:rPr>
        <w:t>ales: 11.3%). When comparing across age groups, the difference between males and females was largest among people aged 18-24 years (</w:t>
      </w:r>
      <w:r w:rsidR="0029469C">
        <w:rPr>
          <w:rFonts w:eastAsia="Calibri"/>
          <w:szCs w:val="18"/>
        </w:rPr>
        <w:t>F</w:t>
      </w:r>
      <w:r w:rsidRPr="00C625D7">
        <w:rPr>
          <w:rFonts w:eastAsia="Calibri"/>
          <w:szCs w:val="18"/>
        </w:rPr>
        <w:t>emales: 28</w:t>
      </w:r>
      <w:r w:rsidR="008E6AE5">
        <w:rPr>
          <w:rFonts w:eastAsia="Calibri"/>
          <w:szCs w:val="18"/>
        </w:rPr>
        <w:t>.0</w:t>
      </w:r>
      <w:r w:rsidRPr="00C625D7">
        <w:rPr>
          <w:rFonts w:eastAsia="Calibri"/>
          <w:szCs w:val="18"/>
        </w:rPr>
        <w:t xml:space="preserve">%, </w:t>
      </w:r>
      <w:r w:rsidR="0029469C">
        <w:rPr>
          <w:rFonts w:eastAsia="Calibri"/>
          <w:szCs w:val="18"/>
        </w:rPr>
        <w:t>M</w:t>
      </w:r>
      <w:r w:rsidRPr="00C625D7">
        <w:rPr>
          <w:rFonts w:eastAsia="Calibri"/>
          <w:szCs w:val="18"/>
        </w:rPr>
        <w:t xml:space="preserve">ales: 13.1%). Over time, the proportion of females who experienced high or very high levels of distressed increased from 14.5% in 2017-18 to 16.7% in 2022, while there was no significant difference for males between these years. </w:t>
      </w:r>
    </w:p>
    <w:p w14:paraId="50A2425B" w14:textId="539D2E27" w:rsidR="00EE41ED" w:rsidRPr="00C625D7" w:rsidRDefault="00EE41ED" w:rsidP="00C625D7">
      <w:pPr>
        <w:rPr>
          <w:rFonts w:eastAsia="Calibri"/>
          <w:szCs w:val="18"/>
        </w:rPr>
      </w:pPr>
      <w:r w:rsidRPr="00C625D7">
        <w:rPr>
          <w:rFonts w:eastAsia="Calibri"/>
          <w:szCs w:val="18"/>
        </w:rPr>
        <w:t xml:space="preserve">In 2022, people aged 18-24 years were most likely to experience high or very high levels of </w:t>
      </w:r>
      <w:r w:rsidR="008A38D6">
        <w:rPr>
          <w:rFonts w:eastAsia="Calibri"/>
          <w:szCs w:val="18"/>
        </w:rPr>
        <w:t xml:space="preserve">psychological </w:t>
      </w:r>
      <w:r w:rsidRPr="00C625D7">
        <w:rPr>
          <w:rFonts w:eastAsia="Calibri"/>
          <w:szCs w:val="18"/>
        </w:rPr>
        <w:t xml:space="preserve">distress (20.2%), while those aged 65 years and over were the least likely to experience high or very high levels of </w:t>
      </w:r>
      <w:r w:rsidR="008A38D6">
        <w:rPr>
          <w:rFonts w:eastAsia="Calibri"/>
          <w:szCs w:val="18"/>
        </w:rPr>
        <w:t xml:space="preserve">psychological </w:t>
      </w:r>
      <w:r w:rsidRPr="00C625D7">
        <w:rPr>
          <w:rFonts w:eastAsia="Calibri"/>
          <w:szCs w:val="18"/>
        </w:rPr>
        <w:t xml:space="preserve">distress (10.5%). Similar patterns were observed in 2017-18: 15.2% of people aged 18-24 experienced high or very high levels of </w:t>
      </w:r>
      <w:r w:rsidR="008A38D6">
        <w:rPr>
          <w:rFonts w:eastAsia="Calibri"/>
          <w:szCs w:val="18"/>
        </w:rPr>
        <w:t xml:space="preserve">psychological </w:t>
      </w:r>
      <w:r w:rsidRPr="00C625D7">
        <w:rPr>
          <w:rFonts w:eastAsia="Calibri"/>
          <w:szCs w:val="18"/>
        </w:rPr>
        <w:t xml:space="preserve">distress, while 9.9% of people aged 65 years and over experienced high or very high levels of </w:t>
      </w:r>
      <w:r w:rsidR="007B7F32">
        <w:rPr>
          <w:rFonts w:eastAsia="Calibri"/>
          <w:szCs w:val="18"/>
        </w:rPr>
        <w:t xml:space="preserve">psychological </w:t>
      </w:r>
      <w:r w:rsidRPr="00C625D7">
        <w:rPr>
          <w:rFonts w:eastAsia="Calibri"/>
          <w:szCs w:val="18"/>
        </w:rPr>
        <w:t>distress.</w:t>
      </w:r>
    </w:p>
    <w:p w14:paraId="3D4A2537" w14:textId="70EADEBF" w:rsidR="00EE41ED" w:rsidRDefault="00EE41ED" w:rsidP="00EE41ED">
      <w:pPr>
        <w:spacing w:after="0"/>
        <w:rPr>
          <w:rFonts w:ascii="Roboto-Bold" w:eastAsia="Calibri" w:hAnsi="Roboto-Bold"/>
          <w:color w:val="5B626C"/>
        </w:rPr>
      </w:pPr>
      <w:r>
        <w:rPr>
          <w:rFonts w:ascii="Roboto-Bold" w:eastAsia="Calibri" w:hAnsi="Roboto-Bold"/>
          <w:color w:val="5B626C"/>
        </w:rPr>
        <w:t>Lived Experience</w:t>
      </w:r>
    </w:p>
    <w:p w14:paraId="60827EC7" w14:textId="1A759801" w:rsidR="00EE41ED" w:rsidRPr="00755D97" w:rsidDel="00F70092" w:rsidRDefault="00EE41ED" w:rsidP="00EE41ED">
      <w:pPr>
        <w:rPr>
          <w:rFonts w:eastAsia="Calibri"/>
          <w:szCs w:val="18"/>
        </w:rPr>
      </w:pPr>
      <w:r w:rsidRPr="00C625D7">
        <w:rPr>
          <w:rFonts w:eastAsia="Calibri"/>
          <w:szCs w:val="18"/>
        </w:rPr>
        <w:t xml:space="preserve">In 2022, among </w:t>
      </w:r>
      <w:r w:rsidR="009146F1">
        <w:rPr>
          <w:rFonts w:eastAsia="Calibri"/>
          <w:szCs w:val="18"/>
        </w:rPr>
        <w:t>people</w:t>
      </w:r>
      <w:r w:rsidRPr="00C625D7">
        <w:rPr>
          <w:rFonts w:eastAsia="Calibri"/>
          <w:szCs w:val="18"/>
        </w:rPr>
        <w:t xml:space="preserve"> </w:t>
      </w:r>
      <w:r w:rsidR="00B266EB">
        <w:rPr>
          <w:rFonts w:eastAsia="Calibri"/>
          <w:szCs w:val="18"/>
        </w:rPr>
        <w:t>w</w:t>
      </w:r>
      <w:r w:rsidR="00E614FE">
        <w:rPr>
          <w:rFonts w:eastAsia="Calibri"/>
          <w:szCs w:val="18"/>
        </w:rPr>
        <w:t>ith</w:t>
      </w:r>
      <w:r w:rsidR="00B266EB">
        <w:rPr>
          <w:rFonts w:eastAsia="Calibri"/>
          <w:szCs w:val="18"/>
        </w:rPr>
        <w:t xml:space="preserve"> </w:t>
      </w:r>
      <w:r w:rsidR="00B94A58">
        <w:rPr>
          <w:rFonts w:eastAsia="Calibri"/>
          <w:szCs w:val="18"/>
        </w:rPr>
        <w:t>high or very high levels of psychological distress</w:t>
      </w:r>
      <w:r w:rsidRPr="00C625D7">
        <w:rPr>
          <w:rFonts w:eastAsia="Calibri"/>
          <w:szCs w:val="18"/>
        </w:rPr>
        <w:t xml:space="preserve"> aged 18 years and over, 75.3% of males and 77.2% of females </w:t>
      </w:r>
      <w:r w:rsidR="00552A0B">
        <w:rPr>
          <w:rFonts w:eastAsia="Calibri"/>
          <w:szCs w:val="18"/>
        </w:rPr>
        <w:t>reported having a mental or behavioural condition</w:t>
      </w:r>
      <w:r w:rsidRPr="00C625D7">
        <w:rPr>
          <w:rFonts w:eastAsia="Calibri"/>
          <w:szCs w:val="18"/>
        </w:rPr>
        <w:t xml:space="preserve">. This difference was not statistically significant. When comparing across age groups, </w:t>
      </w:r>
      <w:r w:rsidR="00E04295">
        <w:rPr>
          <w:rFonts w:eastAsia="Calibri"/>
          <w:szCs w:val="18"/>
        </w:rPr>
        <w:t xml:space="preserve">among people with high or very high levels of psychological distress, </w:t>
      </w:r>
      <w:r w:rsidRPr="00C625D7">
        <w:rPr>
          <w:rFonts w:eastAsia="Calibri"/>
          <w:szCs w:val="18"/>
        </w:rPr>
        <w:t>the</w:t>
      </w:r>
      <w:r w:rsidRPr="00C625D7" w:rsidDel="00A16734">
        <w:rPr>
          <w:rFonts w:eastAsia="Calibri"/>
          <w:szCs w:val="18"/>
        </w:rPr>
        <w:t xml:space="preserve"> </w:t>
      </w:r>
      <w:r w:rsidRPr="00C625D7">
        <w:rPr>
          <w:rFonts w:eastAsia="Calibri"/>
          <w:szCs w:val="18"/>
        </w:rPr>
        <w:t xml:space="preserve">highest proportion of those who </w:t>
      </w:r>
      <w:r w:rsidR="000E5D00">
        <w:rPr>
          <w:rFonts w:eastAsia="Calibri"/>
          <w:szCs w:val="18"/>
        </w:rPr>
        <w:t>reported having a mental or behavioural condition</w:t>
      </w:r>
      <w:r w:rsidRPr="00C625D7">
        <w:rPr>
          <w:rFonts w:eastAsia="Calibri"/>
          <w:szCs w:val="18"/>
        </w:rPr>
        <w:t xml:space="preserve"> was among people aged 35-64 years (78.0%), followed by people aged 18-34 </w:t>
      </w:r>
      <w:r w:rsidR="003B5686">
        <w:rPr>
          <w:rFonts w:eastAsia="Calibri"/>
          <w:szCs w:val="18"/>
        </w:rPr>
        <w:t>years</w:t>
      </w:r>
      <w:r w:rsidRPr="00C625D7">
        <w:rPr>
          <w:rFonts w:eastAsia="Calibri"/>
          <w:szCs w:val="18"/>
        </w:rPr>
        <w:t xml:space="preserve"> (75.8%), and people aged 65 years and over (71.4%). The difference between people aged 35</w:t>
      </w:r>
      <w:r w:rsidR="00E951E7">
        <w:rPr>
          <w:rFonts w:eastAsia="Calibri"/>
          <w:szCs w:val="18"/>
        </w:rPr>
        <w:noBreakHyphen/>
      </w:r>
      <w:r w:rsidRPr="00C625D7">
        <w:rPr>
          <w:rFonts w:eastAsia="Calibri"/>
          <w:szCs w:val="18"/>
        </w:rPr>
        <w:t>64</w:t>
      </w:r>
      <w:r w:rsidR="00E951E7">
        <w:rPr>
          <w:rFonts w:eastAsia="Calibri"/>
          <w:szCs w:val="18"/>
        </w:rPr>
        <w:t> </w:t>
      </w:r>
      <w:r w:rsidRPr="00C625D7">
        <w:rPr>
          <w:rFonts w:eastAsia="Calibri"/>
          <w:szCs w:val="18"/>
        </w:rPr>
        <w:t xml:space="preserve">years and 65 years and over was statistically significant. There were no other significant differences across sexes and age groups. </w:t>
      </w:r>
    </w:p>
    <w:p w14:paraId="0946834B" w14:textId="77777777" w:rsidR="00EE41ED" w:rsidRPr="00D96DA4" w:rsidRDefault="00EE41ED" w:rsidP="00BD77E3">
      <w:pPr>
        <w:keepNext/>
        <w:keepLines/>
        <w:spacing w:before="480" w:after="60"/>
        <w:outlineLvl w:val="1"/>
        <w:rPr>
          <w:rFonts w:ascii="Roboto-Bold" w:eastAsia="Yu Gothic Light" w:hAnsi="Roboto-Bold" w:cs="Times New Roman"/>
          <w:color w:val="008143"/>
          <w:sz w:val="26"/>
          <w:szCs w:val="26"/>
        </w:rPr>
      </w:pPr>
      <w:bookmarkStart w:id="99" w:name="_Toc164671323"/>
      <w:bookmarkStart w:id="100" w:name="_Toc164671593"/>
      <w:bookmarkStart w:id="101" w:name="_Toc169018562"/>
      <w:bookmarkStart w:id="102" w:name="_Toc169189014"/>
      <w:bookmarkStart w:id="103" w:name="_Toc169692816"/>
      <w:r w:rsidRPr="00755D97">
        <w:rPr>
          <w:rFonts w:ascii="Roboto-Bold" w:eastAsia="Yu Gothic Light" w:hAnsi="Roboto-Bold" w:cs="Times New Roman"/>
          <w:color w:val="008143"/>
          <w:sz w:val="26"/>
          <w:szCs w:val="26"/>
        </w:rPr>
        <w:t>Technical information</w:t>
      </w:r>
      <w:bookmarkEnd w:id="99"/>
      <w:bookmarkEnd w:id="100"/>
      <w:bookmarkEnd w:id="101"/>
      <w:bookmarkEnd w:id="102"/>
      <w:bookmarkEnd w:id="103"/>
    </w:p>
    <w:p w14:paraId="71279668" w14:textId="77777777" w:rsidR="00EE41ED" w:rsidRPr="00D96DA4" w:rsidRDefault="00EE41ED" w:rsidP="00D96DA4">
      <w:pPr>
        <w:keepNext/>
        <w:keepLines/>
        <w:spacing w:before="120" w:after="60"/>
        <w:outlineLvl w:val="2"/>
        <w:rPr>
          <w:rFonts w:ascii="Roboto" w:eastAsia="Yu Gothic Light" w:hAnsi="Roboto" w:cs="Times New Roman"/>
          <w:b/>
          <w:color w:val="545A60"/>
          <w:sz w:val="21"/>
          <w:szCs w:val="21"/>
        </w:rPr>
      </w:pPr>
      <w:bookmarkStart w:id="104" w:name="_Toc169018563"/>
      <w:bookmarkStart w:id="105" w:name="_Toc169189015"/>
      <w:bookmarkStart w:id="106" w:name="_Toc169692817"/>
      <w:bookmarkStart w:id="107" w:name="_Toc164671324"/>
      <w:bookmarkStart w:id="108" w:name="_Toc164671594"/>
      <w:r w:rsidRPr="00D96DA4">
        <w:rPr>
          <w:rFonts w:ascii="Roboto" w:eastAsia="Yu Gothic Light" w:hAnsi="Roboto" w:cs="Times New Roman"/>
          <w:b/>
          <w:color w:val="545A60"/>
          <w:sz w:val="21"/>
          <w:szCs w:val="21"/>
        </w:rPr>
        <w:t>Source</w:t>
      </w:r>
      <w:bookmarkEnd w:id="104"/>
      <w:bookmarkEnd w:id="105"/>
      <w:bookmarkEnd w:id="106"/>
    </w:p>
    <w:p w14:paraId="16C1FC89" w14:textId="4C2AEE9A" w:rsidR="00EE41ED" w:rsidRDefault="00EE41ED" w:rsidP="00EE41ED">
      <w:pPr>
        <w:rPr>
          <w:rFonts w:eastAsia="Calibri"/>
          <w:szCs w:val="18"/>
        </w:rPr>
      </w:pPr>
      <w:r w:rsidRPr="00C625D7">
        <w:rPr>
          <w:rFonts w:eastAsia="Calibri"/>
          <w:szCs w:val="18"/>
        </w:rPr>
        <w:t xml:space="preserve">Australian Bureau of Statistics (ABS) </w:t>
      </w:r>
      <w:r w:rsidRPr="007A18AE">
        <w:rPr>
          <w:rFonts w:eastAsia="Calibri"/>
          <w:i/>
          <w:szCs w:val="18"/>
        </w:rPr>
        <w:t>National Health Survey, 2022</w:t>
      </w:r>
      <w:r w:rsidRPr="00C625D7">
        <w:rPr>
          <w:rFonts w:eastAsia="Calibri"/>
          <w:szCs w:val="18"/>
        </w:rPr>
        <w:t xml:space="preserve">; ABS, </w:t>
      </w:r>
      <w:r w:rsidRPr="007A18AE">
        <w:rPr>
          <w:rFonts w:eastAsia="Calibri"/>
          <w:i/>
          <w:szCs w:val="18"/>
        </w:rPr>
        <w:t>National Health Survey, 2017-18</w:t>
      </w:r>
      <w:r w:rsidRPr="00C625D7">
        <w:rPr>
          <w:rFonts w:eastAsia="Calibri"/>
          <w:szCs w:val="18"/>
        </w:rPr>
        <w:t xml:space="preserve">; ABS </w:t>
      </w:r>
      <w:r w:rsidRPr="007A18AE">
        <w:rPr>
          <w:rFonts w:eastAsia="Calibri"/>
          <w:i/>
          <w:szCs w:val="18"/>
        </w:rPr>
        <w:t>National Health Survey, 2014-15</w:t>
      </w:r>
      <w:r w:rsidRPr="00C625D7">
        <w:rPr>
          <w:rFonts w:eastAsia="Calibri"/>
          <w:szCs w:val="18"/>
        </w:rPr>
        <w:t xml:space="preserve">; ABS </w:t>
      </w:r>
      <w:r w:rsidRPr="007A18AE">
        <w:rPr>
          <w:rFonts w:eastAsia="Calibri"/>
          <w:i/>
          <w:szCs w:val="18"/>
        </w:rPr>
        <w:t>Australian Health Survey, 2011-12</w:t>
      </w:r>
      <w:r w:rsidRPr="00C625D7">
        <w:rPr>
          <w:rFonts w:eastAsia="Calibri"/>
          <w:szCs w:val="18"/>
        </w:rPr>
        <w:t>;</w:t>
      </w:r>
      <w:r w:rsidR="00C625D7">
        <w:rPr>
          <w:rFonts w:eastAsia="Calibri"/>
          <w:szCs w:val="18"/>
        </w:rPr>
        <w:t xml:space="preserve"> </w:t>
      </w:r>
      <w:r w:rsidRPr="00C625D7">
        <w:rPr>
          <w:rFonts w:eastAsia="Calibri"/>
          <w:szCs w:val="18"/>
        </w:rPr>
        <w:t xml:space="preserve">ABS </w:t>
      </w:r>
      <w:r w:rsidRPr="007A18AE">
        <w:rPr>
          <w:rFonts w:eastAsia="Calibri"/>
          <w:i/>
          <w:szCs w:val="18"/>
        </w:rPr>
        <w:t>National Health Survey, 2007-08</w:t>
      </w:r>
      <w:r w:rsidRPr="00C625D7">
        <w:rPr>
          <w:rFonts w:eastAsia="Calibri"/>
          <w:szCs w:val="18"/>
        </w:rPr>
        <w:t xml:space="preserve">; ABS </w:t>
      </w:r>
      <w:r w:rsidRPr="007A18AE">
        <w:rPr>
          <w:rFonts w:eastAsia="Calibri"/>
          <w:i/>
          <w:szCs w:val="18"/>
        </w:rPr>
        <w:t>National Health Survey, 2004-05</w:t>
      </w:r>
      <w:r w:rsidRPr="00C625D7">
        <w:rPr>
          <w:rFonts w:eastAsia="Calibri"/>
          <w:szCs w:val="18"/>
        </w:rPr>
        <w:t>;</w:t>
      </w:r>
      <w:r w:rsidR="00C625D7">
        <w:rPr>
          <w:rFonts w:eastAsia="Calibri"/>
          <w:szCs w:val="18"/>
        </w:rPr>
        <w:t xml:space="preserve"> </w:t>
      </w:r>
      <w:r w:rsidRPr="00C625D7">
        <w:rPr>
          <w:rFonts w:eastAsia="Calibri"/>
          <w:szCs w:val="18"/>
        </w:rPr>
        <w:t xml:space="preserve">ABS </w:t>
      </w:r>
      <w:r w:rsidRPr="007A18AE">
        <w:rPr>
          <w:rFonts w:eastAsia="Calibri"/>
          <w:i/>
          <w:szCs w:val="18"/>
        </w:rPr>
        <w:t>National Health Survey, 2001</w:t>
      </w:r>
      <w:r w:rsidRPr="00C625D7">
        <w:rPr>
          <w:rFonts w:eastAsia="Calibri"/>
          <w:szCs w:val="18"/>
        </w:rPr>
        <w:t>.</w:t>
      </w:r>
    </w:p>
    <w:p w14:paraId="2B01C4D9" w14:textId="77777777" w:rsidR="00EE41ED" w:rsidRPr="00D96DA4" w:rsidRDefault="00EE41ED" w:rsidP="00D96DA4">
      <w:pPr>
        <w:keepNext/>
        <w:keepLines/>
        <w:spacing w:before="120" w:after="60"/>
        <w:outlineLvl w:val="2"/>
        <w:rPr>
          <w:rFonts w:ascii="Roboto" w:eastAsia="Yu Gothic Light" w:hAnsi="Roboto" w:cs="Times New Roman"/>
          <w:b/>
          <w:color w:val="545A60"/>
          <w:sz w:val="21"/>
          <w:szCs w:val="21"/>
        </w:rPr>
      </w:pPr>
      <w:bookmarkStart w:id="109" w:name="_Toc169018564"/>
      <w:bookmarkStart w:id="110" w:name="_Toc169189016"/>
      <w:bookmarkStart w:id="111" w:name="_Toc169692818"/>
      <w:r w:rsidRPr="00D96DA4">
        <w:rPr>
          <w:rFonts w:ascii="Roboto" w:eastAsia="Yu Gothic Light" w:hAnsi="Roboto" w:cs="Times New Roman"/>
          <w:b/>
          <w:color w:val="545A60"/>
          <w:sz w:val="21"/>
          <w:szCs w:val="21"/>
        </w:rPr>
        <w:t>Frequency of data collection</w:t>
      </w:r>
      <w:bookmarkEnd w:id="109"/>
      <w:bookmarkEnd w:id="110"/>
      <w:bookmarkEnd w:id="111"/>
      <w:r w:rsidRPr="00D96DA4">
        <w:rPr>
          <w:rFonts w:ascii="Roboto" w:eastAsia="Yu Gothic Light" w:hAnsi="Roboto" w:cs="Times New Roman"/>
          <w:b/>
          <w:color w:val="545A60"/>
          <w:sz w:val="21"/>
          <w:szCs w:val="21"/>
        </w:rPr>
        <w:t xml:space="preserve"> </w:t>
      </w:r>
    </w:p>
    <w:p w14:paraId="7DE991B2" w14:textId="77777777" w:rsidR="00EE41ED" w:rsidRPr="00831847" w:rsidRDefault="00EE41ED" w:rsidP="00EE41ED">
      <w:pPr>
        <w:rPr>
          <w:rFonts w:eastAsia="Calibri"/>
          <w:szCs w:val="18"/>
        </w:rPr>
      </w:pPr>
      <w:r w:rsidRPr="00C625D7">
        <w:rPr>
          <w:rFonts w:eastAsia="Calibri"/>
          <w:szCs w:val="18"/>
        </w:rPr>
        <w:t>Approximately every three years. Note some differences in frequency of collection due to COVID-19.</w:t>
      </w:r>
    </w:p>
    <w:p w14:paraId="048743D7" w14:textId="77777777" w:rsidR="00EE41ED" w:rsidRPr="00D96DA4" w:rsidRDefault="00EE41ED" w:rsidP="00D96DA4">
      <w:pPr>
        <w:keepNext/>
        <w:keepLines/>
        <w:spacing w:before="120" w:after="60"/>
        <w:outlineLvl w:val="2"/>
        <w:rPr>
          <w:rFonts w:ascii="Roboto" w:eastAsia="Yu Gothic Light" w:hAnsi="Roboto" w:cs="Times New Roman"/>
          <w:b/>
          <w:color w:val="545A60"/>
          <w:sz w:val="21"/>
          <w:szCs w:val="21"/>
        </w:rPr>
      </w:pPr>
      <w:bookmarkStart w:id="112" w:name="_Toc169018565"/>
      <w:bookmarkStart w:id="113" w:name="_Toc169189017"/>
      <w:bookmarkStart w:id="114" w:name="_Toc169692819"/>
      <w:r w:rsidRPr="00D96DA4">
        <w:rPr>
          <w:rFonts w:ascii="Roboto" w:eastAsia="Yu Gothic Light" w:hAnsi="Roboto" w:cs="Times New Roman"/>
          <w:b/>
          <w:color w:val="545A60"/>
          <w:sz w:val="21"/>
          <w:szCs w:val="21"/>
        </w:rPr>
        <w:t>Limitations</w:t>
      </w:r>
      <w:bookmarkEnd w:id="112"/>
      <w:bookmarkEnd w:id="113"/>
      <w:bookmarkEnd w:id="114"/>
    </w:p>
    <w:p w14:paraId="5442516B" w14:textId="77777777" w:rsidR="00EE41ED" w:rsidRPr="00DD7EC3" w:rsidRDefault="00EE41ED" w:rsidP="00D50DDA">
      <w:pPr>
        <w:pStyle w:val="ListParagraph"/>
        <w:numPr>
          <w:ilvl w:val="0"/>
          <w:numId w:val="49"/>
        </w:numPr>
        <w:rPr>
          <w:rFonts w:eastAsia="Calibri"/>
          <w:szCs w:val="18"/>
        </w:rPr>
      </w:pPr>
      <w:r w:rsidRPr="00DD7EC3">
        <w:rPr>
          <w:rFonts w:eastAsia="Calibri"/>
          <w:szCs w:val="18"/>
        </w:rPr>
        <w:t>The K10 assesses levels of psychological distress in the previous four weeks and as such, provides a point-in-time assessment of distress levels amongst the population. It does not signify longer-term levels of psychological distress.</w:t>
      </w:r>
    </w:p>
    <w:p w14:paraId="0F3A4633" w14:textId="76701BED" w:rsidR="00EE41ED" w:rsidRPr="00DD7EC3" w:rsidRDefault="00EE41ED" w:rsidP="00D50DDA">
      <w:pPr>
        <w:pStyle w:val="ListParagraph"/>
        <w:numPr>
          <w:ilvl w:val="0"/>
          <w:numId w:val="49"/>
        </w:numPr>
        <w:rPr>
          <w:rFonts w:eastAsia="Calibri"/>
          <w:szCs w:val="18"/>
        </w:rPr>
      </w:pPr>
      <w:r w:rsidRPr="00DD7EC3">
        <w:rPr>
          <w:rFonts w:eastAsia="Calibri"/>
          <w:szCs w:val="18"/>
        </w:rPr>
        <w:t xml:space="preserve">Detailed information on the methodology is available on the </w:t>
      </w:r>
      <w:bookmarkEnd w:id="107"/>
      <w:bookmarkEnd w:id="108"/>
      <w:r w:rsidRPr="00DD7EC3">
        <w:rPr>
          <w:rFonts w:eastAsia="Yu Gothic Light" w:cs="Times New Roman"/>
          <w:color w:val="008143"/>
          <w:szCs w:val="18"/>
          <w:u w:val="single"/>
        </w:rPr>
        <w:fldChar w:fldCharType="begin"/>
      </w:r>
      <w:r>
        <w:instrText>HYPERLINK "https://www.abs.gov.au/methodologies/national-health-survey-methodology/2022" \h</w:instrText>
      </w:r>
      <w:r w:rsidRPr="00DD7EC3">
        <w:rPr>
          <w:rFonts w:eastAsia="Yu Gothic Light" w:cs="Times New Roman"/>
          <w:color w:val="008143"/>
          <w:szCs w:val="18"/>
          <w:u w:val="single"/>
        </w:rPr>
      </w:r>
      <w:r w:rsidRPr="00DD7EC3">
        <w:rPr>
          <w:rFonts w:eastAsia="Yu Gothic Light" w:cs="Times New Roman"/>
          <w:color w:val="008143"/>
          <w:szCs w:val="18"/>
          <w:u w:val="single"/>
        </w:rPr>
        <w:fldChar w:fldCharType="separate"/>
      </w:r>
      <w:r w:rsidRPr="00DD7EC3">
        <w:rPr>
          <w:rFonts w:eastAsia="Yu Gothic Light" w:cs="Times New Roman"/>
          <w:color w:val="008143"/>
          <w:szCs w:val="18"/>
          <w:u w:val="single"/>
        </w:rPr>
        <w:t>ABS website</w:t>
      </w:r>
      <w:r w:rsidRPr="00DD7EC3">
        <w:rPr>
          <w:rFonts w:eastAsia="Yu Gothic Light" w:cs="Times New Roman"/>
          <w:color w:val="008143"/>
          <w:szCs w:val="18"/>
          <w:u w:val="single"/>
        </w:rPr>
        <w:fldChar w:fldCharType="end"/>
      </w:r>
      <w:r>
        <w:rPr>
          <w:rFonts w:eastAsia="Yu Gothic Light" w:cs="Times New Roman"/>
          <w:color w:val="545A60"/>
          <w:szCs w:val="18"/>
        </w:rPr>
        <w:t>.</w:t>
      </w:r>
      <w:r w:rsidRPr="00DD7EC3">
        <w:rPr>
          <w:rFonts w:eastAsia="Yu Gothic Light" w:cs="Times New Roman"/>
          <w:color w:val="545A60"/>
          <w:szCs w:val="18"/>
        </w:rPr>
        <w:t xml:space="preserve"> </w:t>
      </w:r>
    </w:p>
    <w:p w14:paraId="49A3BB37" w14:textId="77777777" w:rsidR="00EE41ED" w:rsidRPr="00D96DA4" w:rsidRDefault="00EE41ED" w:rsidP="00D96DA4">
      <w:pPr>
        <w:keepNext/>
        <w:keepLines/>
        <w:spacing w:before="120" w:after="60"/>
        <w:outlineLvl w:val="2"/>
        <w:rPr>
          <w:rFonts w:ascii="Roboto" w:eastAsia="Yu Gothic Light" w:hAnsi="Roboto" w:cs="Times New Roman"/>
          <w:b/>
          <w:color w:val="545A60"/>
          <w:sz w:val="21"/>
          <w:szCs w:val="21"/>
        </w:rPr>
      </w:pPr>
      <w:bookmarkStart w:id="115" w:name="_Toc169018566"/>
      <w:bookmarkStart w:id="116" w:name="_Toc169189018"/>
      <w:bookmarkStart w:id="117" w:name="_Toc169692820"/>
      <w:bookmarkStart w:id="118" w:name="_Toc164671327"/>
      <w:bookmarkStart w:id="119" w:name="_Toc164671597"/>
      <w:r w:rsidRPr="00D96DA4">
        <w:rPr>
          <w:rFonts w:ascii="Roboto" w:eastAsia="Yu Gothic Light" w:hAnsi="Roboto" w:cs="Times New Roman"/>
          <w:b/>
          <w:color w:val="545A60"/>
          <w:sz w:val="21"/>
          <w:szCs w:val="21"/>
        </w:rPr>
        <w:lastRenderedPageBreak/>
        <w:t>Additional notes</w:t>
      </w:r>
      <w:bookmarkEnd w:id="115"/>
      <w:bookmarkEnd w:id="116"/>
      <w:bookmarkEnd w:id="117"/>
      <w:r w:rsidRPr="00D96DA4">
        <w:rPr>
          <w:rFonts w:ascii="Roboto" w:eastAsia="Yu Gothic Light" w:hAnsi="Roboto" w:cs="Times New Roman"/>
          <w:b/>
          <w:color w:val="545A60"/>
          <w:sz w:val="21"/>
          <w:szCs w:val="21"/>
        </w:rPr>
        <w:t xml:space="preserve"> </w:t>
      </w:r>
    </w:p>
    <w:p w14:paraId="2951F8A9" w14:textId="77777777" w:rsidR="00EE41ED" w:rsidRPr="00DD7EC3" w:rsidRDefault="00EE41ED" w:rsidP="00D50DDA">
      <w:pPr>
        <w:pStyle w:val="ListParagraph"/>
        <w:numPr>
          <w:ilvl w:val="0"/>
          <w:numId w:val="50"/>
        </w:numPr>
        <w:rPr>
          <w:rFonts w:eastAsia="Calibri"/>
          <w:szCs w:val="18"/>
        </w:rPr>
      </w:pPr>
      <w:r w:rsidRPr="00DD7EC3">
        <w:rPr>
          <w:rFonts w:eastAsia="Calibri"/>
          <w:szCs w:val="18"/>
        </w:rPr>
        <w:t>Comparisons between males and females are based on sex recorded at birth (i.e., what was determined by sex characteristics observed at birth or infancy).</w:t>
      </w:r>
    </w:p>
    <w:p w14:paraId="48BD3067" w14:textId="77777777" w:rsidR="00EE41ED" w:rsidRPr="00DD7EC3" w:rsidRDefault="00EE41ED" w:rsidP="00D50DDA">
      <w:pPr>
        <w:pStyle w:val="ListParagraph"/>
        <w:numPr>
          <w:ilvl w:val="0"/>
          <w:numId w:val="50"/>
        </w:numPr>
        <w:rPr>
          <w:rFonts w:eastAsia="Calibri"/>
          <w:szCs w:val="18"/>
        </w:rPr>
      </w:pPr>
      <w:r w:rsidRPr="00DD7EC3">
        <w:rPr>
          <w:rFonts w:eastAsia="Calibri"/>
          <w:szCs w:val="18"/>
        </w:rPr>
        <w:t xml:space="preserve">For this indicator, mental or behavioural conditions are described as ‘Persons who have a current, self-reported mental and behavioural condition that has lasted, or is expected to last, for 6 months or more. Condition is not based on any diagnostic screening tool’. </w:t>
      </w:r>
    </w:p>
    <w:p w14:paraId="1CF6C46C" w14:textId="77777777" w:rsidR="00EE41ED" w:rsidRPr="00DD7EC3" w:rsidRDefault="00EE41ED" w:rsidP="00D50DDA">
      <w:pPr>
        <w:pStyle w:val="ListParagraph"/>
        <w:numPr>
          <w:ilvl w:val="0"/>
          <w:numId w:val="50"/>
        </w:numPr>
        <w:rPr>
          <w:rFonts w:eastAsia="Calibri"/>
          <w:szCs w:val="18"/>
        </w:rPr>
      </w:pPr>
      <w:r w:rsidRPr="00DD7EC3">
        <w:rPr>
          <w:rFonts w:eastAsia="Calibri"/>
          <w:szCs w:val="18"/>
        </w:rPr>
        <w:t>Some proportions may not add up to 100% due to number perturbation implemented by the data source owner.</w:t>
      </w:r>
      <w:bookmarkEnd w:id="118"/>
      <w:bookmarkEnd w:id="119"/>
    </w:p>
    <w:p w14:paraId="41DA3761" w14:textId="77777777" w:rsidR="00EE41ED" w:rsidRPr="00DD7EC3" w:rsidRDefault="00EE41ED" w:rsidP="00D50DDA">
      <w:pPr>
        <w:pStyle w:val="ListParagraph"/>
        <w:numPr>
          <w:ilvl w:val="0"/>
          <w:numId w:val="50"/>
        </w:numPr>
        <w:rPr>
          <w:rFonts w:eastAsia="Calibri"/>
          <w:szCs w:val="18"/>
        </w:rPr>
      </w:pPr>
      <w:r w:rsidRPr="00DD7EC3">
        <w:rPr>
          <w:rFonts w:eastAsia="Calibri"/>
          <w:szCs w:val="18"/>
        </w:rPr>
        <w:t>For age-standardised rates, proportions have been standardised to the 2001 Australian population to account for differences in the age structure of the population over time.</w:t>
      </w:r>
    </w:p>
    <w:p w14:paraId="6B8B5D67" w14:textId="77777777" w:rsidR="00EE41ED" w:rsidRDefault="00EE41ED" w:rsidP="00EE41ED"/>
    <w:p w14:paraId="5C8B181A" w14:textId="2685F6AF" w:rsidR="00EE41ED" w:rsidRPr="00D50DDA" w:rsidRDefault="00EE41ED" w:rsidP="00D50DDA">
      <w:pPr>
        <w:pStyle w:val="Heading1"/>
        <w:rPr>
          <w:rFonts w:eastAsia="Yu Gothic Light"/>
          <w:color w:val="auto"/>
        </w:rPr>
      </w:pPr>
      <w:r>
        <w:br w:type="page"/>
      </w:r>
      <w:bookmarkStart w:id="120" w:name="_Toc169692821"/>
      <w:bookmarkStart w:id="121" w:name="_Toc169868014"/>
      <w:r w:rsidRPr="00D50DDA">
        <w:rPr>
          <w:rFonts w:eastAsia="Yu Gothic Light"/>
        </w:rPr>
        <w:lastRenderedPageBreak/>
        <w:t>CI 3: Overall life satisfaction</w:t>
      </w:r>
      <w:bookmarkEnd w:id="120"/>
      <w:bookmarkEnd w:id="121"/>
    </w:p>
    <w:p w14:paraId="5F2875A2" w14:textId="77777777" w:rsidR="00EE41ED" w:rsidRPr="00755D97" w:rsidRDefault="00EE41ED" w:rsidP="00EE41ED">
      <w:pPr>
        <w:keepNext/>
        <w:keepLines/>
        <w:spacing w:before="60" w:after="60"/>
        <w:outlineLvl w:val="1"/>
        <w:rPr>
          <w:rFonts w:ascii="Roboto-Bold" w:eastAsia="Yu Gothic Light" w:hAnsi="Roboto-Bold" w:cs="Times New Roman"/>
          <w:color w:val="008143"/>
          <w:sz w:val="26"/>
          <w:szCs w:val="26"/>
        </w:rPr>
      </w:pPr>
      <w:bookmarkStart w:id="122" w:name="_Toc169018568"/>
      <w:bookmarkStart w:id="123" w:name="_Toc169189020"/>
      <w:bookmarkStart w:id="124" w:name="_Toc169692822"/>
      <w:r w:rsidRPr="00755D97">
        <w:rPr>
          <w:rFonts w:ascii="Roboto-Bold" w:eastAsia="Yu Gothic Light" w:hAnsi="Roboto-Bold" w:cs="Times New Roman"/>
          <w:color w:val="008143"/>
          <w:sz w:val="26"/>
          <w:szCs w:val="26"/>
        </w:rPr>
        <w:t>What we are tracking (and why)</w:t>
      </w:r>
      <w:bookmarkEnd w:id="122"/>
      <w:bookmarkEnd w:id="123"/>
      <w:bookmarkEnd w:id="124"/>
    </w:p>
    <w:p w14:paraId="2E35C00A" w14:textId="77777777" w:rsidR="00EE41ED" w:rsidRPr="00755D97" w:rsidRDefault="00EE41ED" w:rsidP="00EE41ED">
      <w:pPr>
        <w:rPr>
          <w:rFonts w:eastAsia="Calibri"/>
        </w:rPr>
      </w:pPr>
      <w:r w:rsidRPr="00755D97">
        <w:rPr>
          <w:rFonts w:eastAsia="Calibri"/>
        </w:rPr>
        <w:t xml:space="preserve">This indicator </w:t>
      </w:r>
      <w:r>
        <w:rPr>
          <w:rFonts w:eastAsia="Calibri"/>
        </w:rPr>
        <w:t>tracks</w:t>
      </w:r>
      <w:r w:rsidRPr="00755D97">
        <w:rPr>
          <w:rFonts w:eastAsia="Calibri"/>
        </w:rPr>
        <w:t xml:space="preserve"> mean </w:t>
      </w:r>
      <w:r>
        <w:rPr>
          <w:rFonts w:eastAsia="Calibri"/>
        </w:rPr>
        <w:t xml:space="preserve">overall </w:t>
      </w:r>
      <w:r w:rsidRPr="00755D97">
        <w:rPr>
          <w:rFonts w:eastAsia="Calibri"/>
        </w:rPr>
        <w:t>life satisfaction for people in Australia aged 15 years and over.</w:t>
      </w:r>
      <w:r w:rsidRPr="00755D97" w:rsidDel="003518E6">
        <w:rPr>
          <w:rFonts w:eastAsia="Calibri"/>
        </w:rPr>
        <w:t xml:space="preserve"> </w:t>
      </w:r>
      <w:r>
        <w:rPr>
          <w:rFonts w:eastAsia="Calibri"/>
        </w:rPr>
        <w:t>Overall life satisfaction</w:t>
      </w:r>
      <w:r w:rsidRPr="00755D97">
        <w:rPr>
          <w:rFonts w:eastAsia="Calibri"/>
        </w:rPr>
        <w:t xml:space="preserve"> </w:t>
      </w:r>
      <w:r>
        <w:rPr>
          <w:rFonts w:eastAsia="Calibri"/>
        </w:rPr>
        <w:t>ratings</w:t>
      </w:r>
      <w:r w:rsidRPr="00755D97">
        <w:rPr>
          <w:rFonts w:eastAsia="Calibri"/>
        </w:rPr>
        <w:t xml:space="preserve"> </w:t>
      </w:r>
      <w:r>
        <w:rPr>
          <w:rFonts w:eastAsia="Calibri"/>
        </w:rPr>
        <w:t>reflect how satisfied people are feeling with their lives in general,</w:t>
      </w:r>
      <w:r w:rsidRPr="00755D97">
        <w:rPr>
          <w:rFonts w:eastAsia="Calibri"/>
        </w:rPr>
        <w:t xml:space="preserve"> ranging from 0 to 10, with 0 meaning ‘not satisfied at all’ and 10 meaning ‘completely satisfied’. </w:t>
      </w:r>
    </w:p>
    <w:p w14:paraId="5F150098" w14:textId="0444DB81" w:rsidR="00EE41ED" w:rsidRPr="00755D97" w:rsidRDefault="00EE41ED" w:rsidP="00EE41ED">
      <w:pPr>
        <w:rPr>
          <w:rFonts w:eastAsia="Calibri"/>
          <w:szCs w:val="18"/>
        </w:rPr>
      </w:pPr>
      <w:r w:rsidRPr="00755D97">
        <w:rPr>
          <w:rFonts w:eastAsia="Calibri"/>
          <w:szCs w:val="18"/>
        </w:rPr>
        <w:t xml:space="preserve">Life satisfaction is an element of overall wellbeing </w:t>
      </w:r>
      <w:r>
        <w:rPr>
          <w:rFonts w:eastAsia="Calibri"/>
          <w:szCs w:val="18"/>
        </w:rPr>
        <w:t>and</w:t>
      </w:r>
      <w:r w:rsidRPr="00755D97">
        <w:rPr>
          <w:rFonts w:eastAsia="Calibri"/>
          <w:szCs w:val="18"/>
        </w:rPr>
        <w:t xml:space="preserve"> can be described as a </w:t>
      </w:r>
      <w:r>
        <w:rPr>
          <w:rFonts w:eastAsia="Calibri"/>
          <w:szCs w:val="18"/>
        </w:rPr>
        <w:t>summary</w:t>
      </w:r>
      <w:r w:rsidRPr="00755D97">
        <w:rPr>
          <w:rFonts w:eastAsia="Calibri"/>
          <w:szCs w:val="18"/>
        </w:rPr>
        <w:t xml:space="preserve"> measure of subjective contentment or fulfilment with life.</w:t>
      </w:r>
      <w:r w:rsidRPr="00755D97" w:rsidDel="009302D1">
        <w:rPr>
          <w:rFonts w:eastAsia="Calibri"/>
          <w:szCs w:val="18"/>
        </w:rPr>
        <w:t xml:space="preserve"> </w:t>
      </w:r>
      <w:r w:rsidRPr="00755D97">
        <w:rPr>
          <w:rFonts w:eastAsia="Calibri"/>
          <w:szCs w:val="18"/>
        </w:rPr>
        <w:t>People with poorer mental health typically have lower life satisfaction than those with good mental health</w:t>
      </w:r>
      <w:r>
        <w:rPr>
          <w:rFonts w:eastAsia="Calibri"/>
          <w:szCs w:val="18"/>
        </w:rPr>
        <w:t>.</w:t>
      </w:r>
      <w:r>
        <w:rPr>
          <w:rStyle w:val="FootnoteReference"/>
          <w:rFonts w:eastAsia="Calibri"/>
          <w:szCs w:val="18"/>
        </w:rPr>
        <w:footnoteReference w:id="4"/>
      </w:r>
      <w:r w:rsidRPr="00755D97">
        <w:rPr>
          <w:rFonts w:eastAsia="Calibri"/>
          <w:szCs w:val="18"/>
        </w:rPr>
        <w:t xml:space="preserve"> Improvements in life satisfaction cannot be easily attributed to any one </w:t>
      </w:r>
      <w:proofErr w:type="gramStart"/>
      <w:r w:rsidRPr="00755D97">
        <w:rPr>
          <w:rFonts w:eastAsia="Calibri"/>
          <w:szCs w:val="18"/>
        </w:rPr>
        <w:t>factor, but</w:t>
      </w:r>
      <w:proofErr w:type="gramEnd"/>
      <w:r w:rsidRPr="00755D97">
        <w:rPr>
          <w:rFonts w:eastAsia="Calibri"/>
          <w:szCs w:val="18"/>
        </w:rPr>
        <w:t xml:space="preserve"> </w:t>
      </w:r>
      <w:r>
        <w:rPr>
          <w:rFonts w:eastAsia="Calibri"/>
          <w:szCs w:val="18"/>
        </w:rPr>
        <w:t>may</w:t>
      </w:r>
      <w:r w:rsidRPr="00755D97">
        <w:rPr>
          <w:rFonts w:eastAsia="Calibri"/>
          <w:szCs w:val="18"/>
        </w:rPr>
        <w:t xml:space="preserve"> </w:t>
      </w:r>
      <w:r>
        <w:rPr>
          <w:rFonts w:eastAsia="Calibri"/>
          <w:szCs w:val="18"/>
        </w:rPr>
        <w:t>signal improvements in the effectiveness of the</w:t>
      </w:r>
      <w:r w:rsidRPr="00755D97">
        <w:rPr>
          <w:rFonts w:eastAsia="Calibri"/>
          <w:szCs w:val="18"/>
        </w:rPr>
        <w:t xml:space="preserve"> mental health system</w:t>
      </w:r>
      <w:r>
        <w:rPr>
          <w:rFonts w:eastAsia="Calibri"/>
          <w:szCs w:val="18"/>
        </w:rPr>
        <w:t xml:space="preserve"> and/</w:t>
      </w:r>
      <w:r w:rsidRPr="00755D97">
        <w:rPr>
          <w:rFonts w:eastAsia="Calibri"/>
          <w:szCs w:val="18"/>
        </w:rPr>
        <w:t xml:space="preserve">or improvements </w:t>
      </w:r>
      <w:r>
        <w:rPr>
          <w:rFonts w:eastAsia="Calibri"/>
          <w:szCs w:val="18"/>
        </w:rPr>
        <w:t xml:space="preserve">across other systems that support the social determinants of mental health and wellbeing. </w:t>
      </w:r>
    </w:p>
    <w:p w14:paraId="43C4B391" w14:textId="77777777" w:rsidR="00EE41ED" w:rsidRPr="00755D97" w:rsidRDefault="00EE41ED" w:rsidP="00EE41ED">
      <w:pPr>
        <w:keepNext/>
        <w:keepLines/>
        <w:spacing w:before="60" w:after="60"/>
        <w:outlineLvl w:val="1"/>
        <w:rPr>
          <w:rFonts w:ascii="Roboto-Bold" w:eastAsia="Yu Gothic Light" w:hAnsi="Roboto-Bold" w:cs="Times New Roman"/>
          <w:color w:val="008143"/>
          <w:sz w:val="26"/>
          <w:szCs w:val="26"/>
        </w:rPr>
      </w:pPr>
      <w:bookmarkStart w:id="125" w:name="_Toc169018569"/>
      <w:bookmarkStart w:id="126" w:name="_Toc169189021"/>
      <w:bookmarkStart w:id="127" w:name="_Toc169692823"/>
      <w:r w:rsidRPr="00755D97">
        <w:rPr>
          <w:rFonts w:ascii="Roboto-Bold" w:eastAsia="Yu Gothic Light" w:hAnsi="Roboto-Bold" w:cs="Times New Roman"/>
          <w:color w:val="008143"/>
          <w:sz w:val="26"/>
          <w:szCs w:val="26"/>
        </w:rPr>
        <w:t>What the data tells us</w:t>
      </w:r>
      <w:bookmarkEnd w:id="125"/>
      <w:bookmarkEnd w:id="126"/>
      <w:bookmarkEnd w:id="127"/>
    </w:p>
    <w:p w14:paraId="6C298E2D" w14:textId="77777777" w:rsidR="00EE41ED" w:rsidRPr="00E31809" w:rsidRDefault="00EE41ED" w:rsidP="00814B85">
      <w:pPr>
        <w:keepNext/>
        <w:keepLines/>
        <w:spacing w:before="60" w:after="60"/>
        <w:outlineLvl w:val="2"/>
        <w:rPr>
          <w:rFonts w:eastAsia="Calibri"/>
        </w:rPr>
      </w:pPr>
      <w:bookmarkStart w:id="128" w:name="_Toc169018570"/>
      <w:bookmarkStart w:id="129" w:name="_Toc169189022"/>
      <w:bookmarkStart w:id="130" w:name="_Toc169692824"/>
      <w:r w:rsidRPr="00755D97">
        <w:rPr>
          <w:rFonts w:ascii="Roboto" w:eastAsia="Yu Gothic Light" w:hAnsi="Roboto" w:cs="Times New Roman"/>
          <w:b/>
          <w:color w:val="545A60"/>
          <w:sz w:val="21"/>
        </w:rPr>
        <w:t xml:space="preserve">Indicator </w:t>
      </w:r>
      <w:r>
        <w:rPr>
          <w:rFonts w:ascii="Roboto" w:eastAsia="Yu Gothic Light" w:hAnsi="Roboto" w:cs="Times New Roman"/>
          <w:b/>
          <w:color w:val="545A60"/>
          <w:sz w:val="21"/>
        </w:rPr>
        <w:t>f</w:t>
      </w:r>
      <w:r w:rsidRPr="00755D97">
        <w:rPr>
          <w:rFonts w:ascii="Roboto" w:eastAsia="Yu Gothic Light" w:hAnsi="Roboto" w:cs="Times New Roman"/>
          <w:b/>
          <w:color w:val="545A60"/>
          <w:sz w:val="21"/>
        </w:rPr>
        <w:t>indings</w:t>
      </w:r>
      <w:bookmarkEnd w:id="128"/>
      <w:bookmarkEnd w:id="129"/>
      <w:bookmarkEnd w:id="130"/>
    </w:p>
    <w:p w14:paraId="11403FA6" w14:textId="77777777" w:rsidR="00EE41ED" w:rsidRDefault="00EE41ED" w:rsidP="00EE41ED">
      <w:pPr>
        <w:spacing w:after="0"/>
        <w:rPr>
          <w:rFonts w:ascii="Roboto-Bold" w:eastAsia="Calibri" w:hAnsi="Roboto-Bold"/>
          <w:color w:val="5B626C"/>
        </w:rPr>
      </w:pPr>
      <w:r>
        <w:rPr>
          <w:rFonts w:ascii="Roboto-Bold" w:eastAsia="Calibri" w:hAnsi="Roboto-Bold"/>
          <w:color w:val="5B626C"/>
        </w:rPr>
        <w:t>Whole of population</w:t>
      </w:r>
    </w:p>
    <w:p w14:paraId="68D67AF9" w14:textId="3D98C9B8" w:rsidR="00EE41ED" w:rsidRDefault="00EE41ED" w:rsidP="00EE41ED">
      <w:pPr>
        <w:rPr>
          <w:rFonts w:eastAsia="Calibri"/>
        </w:rPr>
      </w:pPr>
      <w:r w:rsidRPr="00755D97">
        <w:rPr>
          <w:rFonts w:eastAsia="Calibri"/>
        </w:rPr>
        <w:t xml:space="preserve">In 2020, mean </w:t>
      </w:r>
      <w:r>
        <w:rPr>
          <w:rFonts w:eastAsia="Calibri"/>
        </w:rPr>
        <w:t xml:space="preserve">overall </w:t>
      </w:r>
      <w:r w:rsidRPr="00755D97">
        <w:rPr>
          <w:rFonts w:eastAsia="Calibri"/>
        </w:rPr>
        <w:t>life satisfaction</w:t>
      </w:r>
      <w:r>
        <w:rPr>
          <w:rFonts w:eastAsia="Calibri"/>
        </w:rPr>
        <w:t xml:space="preserve"> </w:t>
      </w:r>
      <w:r w:rsidRPr="00755D97">
        <w:rPr>
          <w:rFonts w:eastAsia="Calibri"/>
        </w:rPr>
        <w:t>for people in Australia aged 15 years and over was 7.2</w:t>
      </w:r>
      <w:r>
        <w:rPr>
          <w:rFonts w:eastAsia="Calibri"/>
        </w:rPr>
        <w:t xml:space="preserve"> (out of 10)</w:t>
      </w:r>
      <w:r w:rsidRPr="00755D97">
        <w:rPr>
          <w:rFonts w:eastAsia="Calibri"/>
        </w:rPr>
        <w:t>. Over time</w:t>
      </w:r>
      <w:r>
        <w:rPr>
          <w:rFonts w:eastAsia="Calibri"/>
        </w:rPr>
        <w:t>,</w:t>
      </w:r>
      <w:r w:rsidRPr="00755D97">
        <w:rPr>
          <w:rFonts w:eastAsia="Calibri"/>
        </w:rPr>
        <w:t xml:space="preserve"> </w:t>
      </w:r>
      <w:r>
        <w:rPr>
          <w:rFonts w:eastAsia="Calibri"/>
        </w:rPr>
        <w:t>mean overall life satisfaction</w:t>
      </w:r>
      <w:r w:rsidRPr="00755D97">
        <w:rPr>
          <w:rFonts w:eastAsia="Calibri"/>
        </w:rPr>
        <w:t xml:space="preserve"> has</w:t>
      </w:r>
      <w:r>
        <w:rPr>
          <w:rFonts w:eastAsia="Calibri"/>
        </w:rPr>
        <w:t xml:space="preserve"> </w:t>
      </w:r>
      <w:r w:rsidRPr="00755D97">
        <w:rPr>
          <w:rFonts w:eastAsia="Calibri"/>
        </w:rPr>
        <w:t xml:space="preserve">decreased </w:t>
      </w:r>
      <w:r>
        <w:rPr>
          <w:rFonts w:eastAsia="Calibri"/>
        </w:rPr>
        <w:t>slightly (and significantly)</w:t>
      </w:r>
      <w:r w:rsidR="00703D16">
        <w:rPr>
          <w:rFonts w:eastAsia="Calibri"/>
        </w:rPr>
        <w:t>,</w:t>
      </w:r>
      <w:r w:rsidRPr="00755D97">
        <w:rPr>
          <w:rFonts w:eastAsia="Calibri"/>
        </w:rPr>
        <w:t xml:space="preserve"> from 7.6 in 2014 and 7.5 in 2019.</w:t>
      </w:r>
    </w:p>
    <w:p w14:paraId="0738A117" w14:textId="77777777" w:rsidR="00EE41ED" w:rsidRDefault="00EE41ED" w:rsidP="00EE41ED">
      <w:pPr>
        <w:spacing w:after="0"/>
        <w:rPr>
          <w:rFonts w:ascii="Roboto-Bold" w:eastAsia="Calibri" w:hAnsi="Roboto-Bold"/>
          <w:color w:val="5B626C"/>
        </w:rPr>
      </w:pPr>
      <w:r>
        <w:rPr>
          <w:rFonts w:ascii="Roboto-Bold" w:eastAsia="Calibri" w:hAnsi="Roboto-Bold"/>
          <w:color w:val="5B626C"/>
        </w:rPr>
        <w:t>Lived Experience</w:t>
      </w:r>
    </w:p>
    <w:p w14:paraId="2288A1C9" w14:textId="5703CAFD" w:rsidR="00EE41ED" w:rsidRDefault="00EE41ED" w:rsidP="00EE41ED">
      <w:pPr>
        <w:rPr>
          <w:rFonts w:eastAsia="Calibri"/>
        </w:rPr>
      </w:pPr>
      <w:r>
        <w:rPr>
          <w:rFonts w:eastAsia="Calibri"/>
        </w:rPr>
        <w:t>I</w:t>
      </w:r>
      <w:r w:rsidRPr="00755D97">
        <w:rPr>
          <w:rFonts w:eastAsia="Calibri"/>
        </w:rPr>
        <w:t>n 2020</w:t>
      </w:r>
      <w:r>
        <w:rPr>
          <w:rFonts w:eastAsia="Calibri"/>
        </w:rPr>
        <w:t>,</w:t>
      </w:r>
      <w:r w:rsidRPr="00755D97">
        <w:rPr>
          <w:rFonts w:eastAsia="Calibri"/>
        </w:rPr>
        <w:t xml:space="preserve"> mean life satisfaction</w:t>
      </w:r>
      <w:r>
        <w:rPr>
          <w:rFonts w:eastAsia="Calibri"/>
        </w:rPr>
        <w:t xml:space="preserve"> </w:t>
      </w:r>
      <w:r w:rsidRPr="00755D97">
        <w:rPr>
          <w:rFonts w:eastAsia="Calibri"/>
        </w:rPr>
        <w:t>for people in Australia with a mental health condition aged 15 and over was 5.8</w:t>
      </w:r>
      <w:r>
        <w:rPr>
          <w:rFonts w:eastAsia="Calibri"/>
        </w:rPr>
        <w:t xml:space="preserve"> (out of 10). This was</w:t>
      </w:r>
      <w:r w:rsidRPr="00755D97">
        <w:rPr>
          <w:rFonts w:eastAsia="Calibri"/>
        </w:rPr>
        <w:t xml:space="preserve"> significantly lower than </w:t>
      </w:r>
      <w:r>
        <w:rPr>
          <w:rFonts w:eastAsia="Calibri"/>
        </w:rPr>
        <w:t>mean life satisfaction among</w:t>
      </w:r>
      <w:r w:rsidRPr="00755D97">
        <w:rPr>
          <w:rFonts w:eastAsia="Calibri"/>
        </w:rPr>
        <w:t xml:space="preserve"> </w:t>
      </w:r>
      <w:r>
        <w:rPr>
          <w:rFonts w:eastAsia="Calibri"/>
        </w:rPr>
        <w:t>people</w:t>
      </w:r>
      <w:r w:rsidRPr="00755D97">
        <w:rPr>
          <w:rFonts w:eastAsia="Calibri"/>
        </w:rPr>
        <w:t xml:space="preserve"> without a mental </w:t>
      </w:r>
      <w:r>
        <w:rPr>
          <w:rFonts w:eastAsia="Calibri"/>
        </w:rPr>
        <w:t>health</w:t>
      </w:r>
      <w:r w:rsidRPr="00755D97">
        <w:rPr>
          <w:rFonts w:eastAsia="Calibri"/>
        </w:rPr>
        <w:t xml:space="preserve"> condition (7.4)</w:t>
      </w:r>
      <w:r>
        <w:rPr>
          <w:rFonts w:eastAsia="Calibri"/>
        </w:rPr>
        <w:t>.</w:t>
      </w:r>
    </w:p>
    <w:p w14:paraId="6EB358DC" w14:textId="1F058BF6" w:rsidR="00EE41ED" w:rsidRPr="000372F0" w:rsidRDefault="00EE41ED" w:rsidP="00EE41ED">
      <w:pPr>
        <w:rPr>
          <w:rFonts w:eastAsia="Calibri"/>
        </w:rPr>
      </w:pPr>
      <w:r>
        <w:rPr>
          <w:rFonts w:eastAsia="Calibri"/>
        </w:rPr>
        <w:t>Life satisfaction among people with a mental health condition has been relatively consistent</w:t>
      </w:r>
      <w:r w:rsidRPr="00755D97">
        <w:rPr>
          <w:rFonts w:eastAsia="Calibri"/>
        </w:rPr>
        <w:t>, with a mean rating</w:t>
      </w:r>
      <w:r>
        <w:rPr>
          <w:rFonts w:eastAsia="Calibri"/>
        </w:rPr>
        <w:t xml:space="preserve"> of 6.6</w:t>
      </w:r>
      <w:r w:rsidRPr="00755D97">
        <w:rPr>
          <w:rFonts w:eastAsia="Calibri"/>
        </w:rPr>
        <w:t xml:space="preserve"> in 2014</w:t>
      </w:r>
      <w:r>
        <w:rPr>
          <w:rFonts w:eastAsia="Calibri"/>
        </w:rPr>
        <w:t xml:space="preserve"> and </w:t>
      </w:r>
      <w:r w:rsidRPr="00755D97">
        <w:rPr>
          <w:rFonts w:eastAsia="Calibri"/>
        </w:rPr>
        <w:t>6.4 in 2019</w:t>
      </w:r>
      <w:r>
        <w:rPr>
          <w:rFonts w:eastAsia="Calibri"/>
        </w:rPr>
        <w:t xml:space="preserve">. However, as shown in Figure A3, there was a slight and significant decline in life satisfaction </w:t>
      </w:r>
      <w:r w:rsidR="006869EC">
        <w:rPr>
          <w:rFonts w:eastAsia="Calibri"/>
        </w:rPr>
        <w:t>in</w:t>
      </w:r>
      <w:r>
        <w:rPr>
          <w:rFonts w:eastAsia="Calibri"/>
        </w:rPr>
        <w:t xml:space="preserve"> 2020 (</w:t>
      </w:r>
      <w:r w:rsidRPr="00755D97">
        <w:rPr>
          <w:rFonts w:eastAsia="Calibri"/>
        </w:rPr>
        <w:t>5.8</w:t>
      </w:r>
      <w:r>
        <w:rPr>
          <w:rFonts w:eastAsia="Calibri"/>
        </w:rPr>
        <w:t>)</w:t>
      </w:r>
      <w:r w:rsidRPr="00755D97">
        <w:rPr>
          <w:rFonts w:eastAsia="Calibri"/>
        </w:rPr>
        <w:t xml:space="preserve">. </w:t>
      </w:r>
      <w:r w:rsidR="00D221AF">
        <w:rPr>
          <w:rFonts w:eastAsia="Calibri"/>
        </w:rPr>
        <w:t xml:space="preserve">This decline was </w:t>
      </w:r>
      <w:r w:rsidR="00566C2F">
        <w:rPr>
          <w:rFonts w:eastAsia="Calibri"/>
        </w:rPr>
        <w:t>also</w:t>
      </w:r>
      <w:r w:rsidR="00D221AF">
        <w:rPr>
          <w:rFonts w:eastAsia="Calibri"/>
        </w:rPr>
        <w:t xml:space="preserve"> present f</w:t>
      </w:r>
      <w:r>
        <w:rPr>
          <w:rFonts w:eastAsia="Calibri"/>
        </w:rPr>
        <w:t xml:space="preserve">or people without a mental health condition, </w:t>
      </w:r>
      <w:r w:rsidR="00165974">
        <w:rPr>
          <w:rFonts w:eastAsia="Calibri"/>
        </w:rPr>
        <w:t xml:space="preserve">for whom </w:t>
      </w:r>
      <w:r>
        <w:rPr>
          <w:rFonts w:eastAsia="Calibri"/>
        </w:rPr>
        <w:t xml:space="preserve">life satisfaction significantly </w:t>
      </w:r>
      <w:r w:rsidR="008F01A4">
        <w:rPr>
          <w:rFonts w:eastAsia="Calibri"/>
        </w:rPr>
        <w:t>de</w:t>
      </w:r>
      <w:r>
        <w:rPr>
          <w:rFonts w:eastAsia="Calibri"/>
        </w:rPr>
        <w:t>creased from 2014 to 2019</w:t>
      </w:r>
      <w:r w:rsidR="00254590">
        <w:rPr>
          <w:rFonts w:eastAsia="Calibri"/>
        </w:rPr>
        <w:t>,</w:t>
      </w:r>
      <w:r>
        <w:rPr>
          <w:rFonts w:eastAsia="Calibri"/>
        </w:rPr>
        <w:t xml:space="preserve"> and </w:t>
      </w:r>
      <w:r w:rsidR="0047001D">
        <w:rPr>
          <w:rFonts w:eastAsia="Calibri"/>
        </w:rPr>
        <w:t>again in</w:t>
      </w:r>
      <w:r>
        <w:rPr>
          <w:rFonts w:eastAsia="Calibri"/>
        </w:rPr>
        <w:t xml:space="preserve"> 2020.</w:t>
      </w:r>
    </w:p>
    <w:p w14:paraId="7164DCA4" w14:textId="77777777" w:rsidR="00EE41ED" w:rsidRPr="00755D97" w:rsidRDefault="00EE41ED" w:rsidP="00F15C3B">
      <w:pPr>
        <w:spacing w:after="120"/>
        <w:outlineLvl w:val="3"/>
        <w:rPr>
          <w:rFonts w:ascii="Roboto" w:eastAsia="Calibri" w:hAnsi="Roboto"/>
          <w:color w:val="5B626C"/>
        </w:rPr>
      </w:pPr>
      <w:r w:rsidRPr="00755D97">
        <w:rPr>
          <w:rFonts w:ascii="Roboto" w:eastAsia="Calibri" w:hAnsi="Roboto"/>
          <w:color w:val="008143"/>
        </w:rPr>
        <w:t xml:space="preserve">Figure </w:t>
      </w:r>
      <w:r>
        <w:rPr>
          <w:rFonts w:ascii="Roboto" w:eastAsia="Calibri" w:hAnsi="Roboto"/>
          <w:color w:val="008143"/>
        </w:rPr>
        <w:t>A3</w:t>
      </w:r>
      <w:r w:rsidRPr="00755D97">
        <w:rPr>
          <w:rFonts w:ascii="Roboto" w:eastAsia="Calibri" w:hAnsi="Roboto"/>
          <w:color w:val="008143"/>
        </w:rPr>
        <w:t xml:space="preserve">. </w:t>
      </w:r>
      <w:r w:rsidRPr="00755D97">
        <w:rPr>
          <w:rFonts w:ascii="Roboto" w:eastAsia="Calibri" w:hAnsi="Roboto"/>
          <w:color w:val="5B626C"/>
        </w:rPr>
        <w:t>Mean</w:t>
      </w:r>
      <w:r>
        <w:rPr>
          <w:rFonts w:ascii="Roboto" w:eastAsia="Calibri" w:hAnsi="Roboto"/>
          <w:color w:val="5B626C"/>
        </w:rPr>
        <w:t xml:space="preserve"> overall</w:t>
      </w:r>
      <w:r w:rsidRPr="00755D97">
        <w:rPr>
          <w:rFonts w:ascii="Roboto" w:eastAsia="Calibri" w:hAnsi="Roboto"/>
          <w:color w:val="5B626C"/>
        </w:rPr>
        <w:t xml:space="preserve"> life satisfaction for </w:t>
      </w:r>
      <w:r>
        <w:rPr>
          <w:rFonts w:ascii="Roboto" w:eastAsia="Calibri" w:hAnsi="Roboto"/>
          <w:color w:val="5B626C"/>
        </w:rPr>
        <w:t>people</w:t>
      </w:r>
      <w:r w:rsidRPr="00755D97">
        <w:rPr>
          <w:rFonts w:ascii="Roboto" w:eastAsia="Calibri" w:hAnsi="Roboto"/>
          <w:color w:val="5B626C"/>
        </w:rPr>
        <w:t xml:space="preserve"> with and without a mental health condition, 2014</w:t>
      </w:r>
      <w:r>
        <w:rPr>
          <w:rFonts w:ascii="Roboto" w:eastAsia="Calibri" w:hAnsi="Roboto"/>
          <w:color w:val="5B626C"/>
        </w:rPr>
        <w:t>-</w:t>
      </w:r>
      <w:r w:rsidRPr="00755D97">
        <w:rPr>
          <w:rFonts w:ascii="Roboto" w:eastAsia="Calibri" w:hAnsi="Roboto"/>
          <w:color w:val="5B626C"/>
        </w:rPr>
        <w:t>2020</w:t>
      </w:r>
    </w:p>
    <w:p w14:paraId="1108CA72" w14:textId="7241EBBC" w:rsidR="00AD06F2" w:rsidRPr="00755D97" w:rsidRDefault="007B4603" w:rsidP="00010356">
      <w:pPr>
        <w:spacing w:after="0"/>
        <w:outlineLvl w:val="3"/>
        <w:rPr>
          <w:rFonts w:ascii="Roboto" w:eastAsia="Calibri" w:hAnsi="Roboto"/>
          <w:color w:val="5B626C"/>
          <w:szCs w:val="18"/>
        </w:rPr>
      </w:pPr>
      <w:r>
        <w:rPr>
          <w:noProof/>
        </w:rPr>
        <w:drawing>
          <wp:inline distT="0" distB="0" distL="0" distR="0" wp14:anchorId="58E0471D" wp14:editId="4EC3888D">
            <wp:extent cx="6116320" cy="2720340"/>
            <wp:effectExtent l="0" t="0" r="0" b="3810"/>
            <wp:docPr id="1620931267" name="Graphic 1620931267" descr="The content of this figure is described in the text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931267" name="Graphic 1620931267" descr="The content of this figure is described in the text above. "/>
                    <pic:cNvPicPr/>
                  </pic:nvPicPr>
                  <pic:blipFill>
                    <a:blip r:embed="rId41">
                      <a:extLst>
                        <a:ext uri="{96DAC541-7B7A-43D3-8B79-37D633B846F1}">
                          <asvg:svgBlip xmlns:asvg="http://schemas.microsoft.com/office/drawing/2016/SVG/main" r:embed="rId42"/>
                        </a:ext>
                      </a:extLst>
                    </a:blip>
                    <a:stretch>
                      <a:fillRect/>
                    </a:stretch>
                  </pic:blipFill>
                  <pic:spPr>
                    <a:xfrm>
                      <a:off x="0" y="0"/>
                      <a:ext cx="6116320" cy="2720340"/>
                    </a:xfrm>
                    <a:prstGeom prst="rect">
                      <a:avLst/>
                    </a:prstGeom>
                  </pic:spPr>
                </pic:pic>
              </a:graphicData>
            </a:graphic>
          </wp:inline>
        </w:drawing>
      </w:r>
    </w:p>
    <w:p w14:paraId="67E6C144" w14:textId="77777777" w:rsidR="00EE41ED" w:rsidRPr="00755D97" w:rsidRDefault="00EE41ED" w:rsidP="00814B85">
      <w:pPr>
        <w:keepNext/>
        <w:keepLines/>
        <w:spacing w:before="60" w:after="60"/>
        <w:outlineLvl w:val="2"/>
        <w:rPr>
          <w:rFonts w:ascii="Roboto" w:eastAsia="Yu Gothic Light" w:hAnsi="Roboto" w:cs="Times New Roman"/>
          <w:b/>
          <w:color w:val="545A60"/>
          <w:sz w:val="21"/>
        </w:rPr>
      </w:pPr>
      <w:bookmarkStart w:id="131" w:name="_Toc169018571"/>
      <w:bookmarkStart w:id="132" w:name="_Toc169189023"/>
      <w:bookmarkStart w:id="133" w:name="_Toc169692825"/>
      <w:r w:rsidRPr="00755D97">
        <w:rPr>
          <w:rFonts w:ascii="Roboto" w:eastAsia="Yu Gothic Light" w:hAnsi="Roboto" w:cs="Times New Roman"/>
          <w:b/>
          <w:color w:val="545A60"/>
          <w:sz w:val="21"/>
        </w:rPr>
        <w:lastRenderedPageBreak/>
        <w:t>How do these findings differ between groups?</w:t>
      </w:r>
      <w:bookmarkEnd w:id="131"/>
      <w:bookmarkEnd w:id="132"/>
      <w:bookmarkEnd w:id="133"/>
    </w:p>
    <w:p w14:paraId="1A9136FB" w14:textId="77777777" w:rsidR="00EE41ED" w:rsidRDefault="00EE41ED" w:rsidP="00EE41ED">
      <w:pPr>
        <w:spacing w:after="0"/>
        <w:rPr>
          <w:rFonts w:ascii="Roboto-Bold" w:eastAsia="Calibri" w:hAnsi="Roboto-Bold"/>
          <w:color w:val="5B626C"/>
        </w:rPr>
      </w:pPr>
      <w:r>
        <w:rPr>
          <w:rFonts w:ascii="Roboto-Bold" w:eastAsia="Calibri" w:hAnsi="Roboto-Bold"/>
          <w:color w:val="5B626C"/>
        </w:rPr>
        <w:t>Whole of population</w:t>
      </w:r>
    </w:p>
    <w:p w14:paraId="4FF6F687" w14:textId="10F3FA10" w:rsidR="00EE41ED" w:rsidRDefault="00EE41ED" w:rsidP="00EE41ED">
      <w:pPr>
        <w:rPr>
          <w:rFonts w:eastAsia="Calibri"/>
        </w:rPr>
      </w:pPr>
      <w:r>
        <w:rPr>
          <w:rFonts w:eastAsia="Calibri"/>
        </w:rPr>
        <w:t>In 2020</w:t>
      </w:r>
      <w:r w:rsidRPr="00755D97">
        <w:rPr>
          <w:rFonts w:eastAsia="Calibri"/>
        </w:rPr>
        <w:t xml:space="preserve"> mean life satisfaction for people in Australia </w:t>
      </w:r>
      <w:r>
        <w:rPr>
          <w:rFonts w:eastAsia="Calibri"/>
        </w:rPr>
        <w:t>was</w:t>
      </w:r>
      <w:r w:rsidRPr="00755D97">
        <w:rPr>
          <w:rFonts w:eastAsia="Calibri"/>
        </w:rPr>
        <w:t xml:space="preserve"> relatively consistent </w:t>
      </w:r>
      <w:r>
        <w:rPr>
          <w:rFonts w:eastAsia="Calibri"/>
        </w:rPr>
        <w:t>across</w:t>
      </w:r>
      <w:r w:rsidRPr="00755D97">
        <w:rPr>
          <w:rFonts w:eastAsia="Calibri"/>
        </w:rPr>
        <w:t xml:space="preserve"> age groups. The only notable </w:t>
      </w:r>
      <w:r>
        <w:rPr>
          <w:rFonts w:eastAsia="Calibri"/>
        </w:rPr>
        <w:t>exception was</w:t>
      </w:r>
      <w:r w:rsidRPr="00755D97">
        <w:rPr>
          <w:rFonts w:eastAsia="Calibri"/>
        </w:rPr>
        <w:t xml:space="preserve"> for</w:t>
      </w:r>
      <w:r w:rsidRPr="00755D97" w:rsidDel="009154D1">
        <w:rPr>
          <w:rFonts w:eastAsia="Calibri"/>
        </w:rPr>
        <w:t xml:space="preserve"> </w:t>
      </w:r>
      <w:r>
        <w:rPr>
          <w:rFonts w:eastAsia="Calibri"/>
        </w:rPr>
        <w:t>people aged</w:t>
      </w:r>
      <w:r w:rsidRPr="00755D97">
        <w:rPr>
          <w:rFonts w:eastAsia="Calibri"/>
        </w:rPr>
        <w:t xml:space="preserve"> 65 years and over</w:t>
      </w:r>
      <w:r w:rsidR="005337D6">
        <w:rPr>
          <w:rFonts w:eastAsia="Calibri"/>
        </w:rPr>
        <w:softHyphen/>
      </w:r>
      <w:r w:rsidR="005337D6">
        <w:rPr>
          <w:rFonts w:eastAsia="Calibri"/>
        </w:rPr>
        <w:softHyphen/>
      </w:r>
      <w:r w:rsidR="005337D6">
        <w:rPr>
          <w:rFonts w:eastAsia="Calibri"/>
        </w:rPr>
        <w:softHyphen/>
      </w:r>
      <w:r>
        <w:rPr>
          <w:rFonts w:eastAsia="Calibri"/>
        </w:rPr>
        <w:t>,</w:t>
      </w:r>
      <w:r w:rsidRPr="00755D97">
        <w:rPr>
          <w:rFonts w:eastAsia="Calibri"/>
        </w:rPr>
        <w:t xml:space="preserve"> who had </w:t>
      </w:r>
      <w:r>
        <w:rPr>
          <w:rFonts w:eastAsia="Calibri"/>
        </w:rPr>
        <w:t xml:space="preserve">higher </w:t>
      </w:r>
      <w:r w:rsidRPr="00755D97">
        <w:rPr>
          <w:rFonts w:eastAsia="Calibri"/>
        </w:rPr>
        <w:t xml:space="preserve">mean life satisfaction </w:t>
      </w:r>
      <w:r>
        <w:rPr>
          <w:rFonts w:eastAsia="Calibri"/>
        </w:rPr>
        <w:t>(</w:t>
      </w:r>
      <w:r w:rsidRPr="00755D97">
        <w:rPr>
          <w:rFonts w:eastAsia="Calibri"/>
        </w:rPr>
        <w:t>7.8</w:t>
      </w:r>
      <w:r>
        <w:rPr>
          <w:rFonts w:eastAsia="Calibri"/>
        </w:rPr>
        <w:t>) than</w:t>
      </w:r>
      <w:r w:rsidRPr="00755D97" w:rsidDel="00656AAA">
        <w:rPr>
          <w:rFonts w:eastAsia="Calibri"/>
        </w:rPr>
        <w:t xml:space="preserve"> </w:t>
      </w:r>
      <w:r w:rsidRPr="00755D97">
        <w:rPr>
          <w:rFonts w:eastAsia="Calibri"/>
        </w:rPr>
        <w:t xml:space="preserve">all other age groups </w:t>
      </w:r>
      <w:r>
        <w:rPr>
          <w:rFonts w:eastAsia="Calibri"/>
        </w:rPr>
        <w:t>(range:</w:t>
      </w:r>
      <w:r w:rsidRPr="00755D97">
        <w:rPr>
          <w:rFonts w:eastAsia="Calibri"/>
        </w:rPr>
        <w:t xml:space="preserve"> 6.9</w:t>
      </w:r>
      <w:r w:rsidR="008805D8">
        <w:rPr>
          <w:rFonts w:eastAsia="Calibri"/>
        </w:rPr>
        <w:t>–</w:t>
      </w:r>
      <w:r w:rsidRPr="00755D97">
        <w:rPr>
          <w:rFonts w:eastAsia="Calibri"/>
        </w:rPr>
        <w:t>7.1</w:t>
      </w:r>
      <w:r>
        <w:rPr>
          <w:rFonts w:eastAsia="Calibri"/>
        </w:rPr>
        <w:t>)</w:t>
      </w:r>
      <w:r w:rsidRPr="00755D97">
        <w:rPr>
          <w:rFonts w:eastAsia="Calibri"/>
        </w:rPr>
        <w:t xml:space="preserve">. </w:t>
      </w:r>
    </w:p>
    <w:p w14:paraId="505C6D7D" w14:textId="77777777" w:rsidR="00EE41ED" w:rsidRPr="00755D97" w:rsidRDefault="00EE41ED" w:rsidP="00EE41ED">
      <w:pPr>
        <w:rPr>
          <w:rFonts w:eastAsia="Calibri"/>
        </w:rPr>
      </w:pPr>
      <w:r w:rsidRPr="00755D97">
        <w:rPr>
          <w:rFonts w:eastAsia="Calibri"/>
        </w:rPr>
        <w:t xml:space="preserve">Over time, </w:t>
      </w:r>
      <w:r>
        <w:rPr>
          <w:rFonts w:eastAsia="Calibri"/>
        </w:rPr>
        <w:t>there has been a consistent and significant decrease in mean life satisfaction for almost all age groups, ranging from 0.5 to 0.7</w:t>
      </w:r>
      <w:r w:rsidDel="009B03CD">
        <w:rPr>
          <w:rFonts w:eastAsia="Calibri"/>
        </w:rPr>
        <w:t>-</w:t>
      </w:r>
      <w:r>
        <w:rPr>
          <w:rFonts w:eastAsia="Calibri"/>
        </w:rPr>
        <w:t xml:space="preserve">point differences over 2014 to 2020. The only age group that showed no significant decrease over this </w:t>
      </w:r>
      <w:proofErr w:type="gramStart"/>
      <w:r>
        <w:rPr>
          <w:rFonts w:eastAsia="Calibri"/>
        </w:rPr>
        <w:t>time period</w:t>
      </w:r>
      <w:proofErr w:type="gramEnd"/>
      <w:r>
        <w:rPr>
          <w:rFonts w:eastAsia="Calibri"/>
        </w:rPr>
        <w:t xml:space="preserve"> was the 65 years and over age group. </w:t>
      </w:r>
    </w:p>
    <w:p w14:paraId="04E12317" w14:textId="77777777" w:rsidR="00EE41ED" w:rsidRDefault="00EE41ED" w:rsidP="00EE41ED">
      <w:pPr>
        <w:rPr>
          <w:rFonts w:ascii="Roboto-Bold" w:eastAsia="Calibri" w:hAnsi="Roboto-Bold"/>
          <w:color w:val="5B626C"/>
        </w:rPr>
      </w:pPr>
      <w:r>
        <w:rPr>
          <w:rFonts w:eastAsia="Calibri"/>
        </w:rPr>
        <w:t xml:space="preserve">In 2020, males (7.1) and females (7.2) reported similar levels of life satisfaction. </w:t>
      </w:r>
      <w:r w:rsidRPr="00E5185F">
        <w:rPr>
          <w:rFonts w:cs="Segoe UI"/>
          <w:szCs w:val="18"/>
        </w:rPr>
        <w:t xml:space="preserve">Males and females reported similar levels of </w:t>
      </w:r>
      <w:r w:rsidRPr="00E5185F" w:rsidDel="00E4403E">
        <w:rPr>
          <w:rFonts w:cs="Segoe UI"/>
          <w:szCs w:val="18"/>
        </w:rPr>
        <w:t xml:space="preserve">life satisfaction </w:t>
      </w:r>
      <w:r w:rsidRPr="00E5185F">
        <w:rPr>
          <w:rFonts w:cs="Segoe UI"/>
          <w:szCs w:val="18"/>
        </w:rPr>
        <w:t xml:space="preserve">over </w:t>
      </w:r>
      <w:r>
        <w:rPr>
          <w:rFonts w:cs="Segoe UI"/>
          <w:szCs w:val="18"/>
        </w:rPr>
        <w:t>2014 to 2020</w:t>
      </w:r>
      <w:r w:rsidRPr="00E5185F">
        <w:rPr>
          <w:rFonts w:cs="Segoe UI"/>
          <w:szCs w:val="18"/>
        </w:rPr>
        <w:t>, regardless</w:t>
      </w:r>
      <w:r w:rsidRPr="00E5185F" w:rsidDel="00E4403E">
        <w:rPr>
          <w:rFonts w:cs="Segoe UI"/>
          <w:szCs w:val="18"/>
        </w:rPr>
        <w:t xml:space="preserve"> of </w:t>
      </w:r>
      <w:r w:rsidRPr="00E5185F">
        <w:rPr>
          <w:rFonts w:cs="Segoe UI"/>
          <w:szCs w:val="18"/>
        </w:rPr>
        <w:t>their age group.</w:t>
      </w:r>
    </w:p>
    <w:p w14:paraId="4C0BD231" w14:textId="77777777" w:rsidR="00EE41ED" w:rsidRDefault="00EE41ED" w:rsidP="00EE41ED">
      <w:pPr>
        <w:spacing w:after="0"/>
        <w:rPr>
          <w:rFonts w:ascii="Roboto-Bold" w:eastAsia="Calibri" w:hAnsi="Roboto-Bold"/>
          <w:color w:val="5B626C"/>
          <w:szCs w:val="18"/>
        </w:rPr>
      </w:pPr>
      <w:r w:rsidRPr="1C30ABDA">
        <w:rPr>
          <w:rFonts w:ascii="Roboto-Bold" w:eastAsia="Calibri" w:hAnsi="Roboto-Bold"/>
          <w:color w:val="5B626C"/>
          <w:szCs w:val="18"/>
        </w:rPr>
        <w:t>Lived Experience</w:t>
      </w:r>
    </w:p>
    <w:p w14:paraId="0E0A74A4" w14:textId="1F75380F" w:rsidR="00EE41ED" w:rsidRPr="00C625D7" w:rsidRDefault="00EE41ED" w:rsidP="00EE41ED">
      <w:pPr>
        <w:rPr>
          <w:rFonts w:cs="Segoe UI"/>
          <w:szCs w:val="18"/>
        </w:rPr>
      </w:pPr>
      <w:r w:rsidRPr="00E5185F">
        <w:rPr>
          <w:rFonts w:cs="Segoe UI"/>
          <w:szCs w:val="18"/>
        </w:rPr>
        <w:t xml:space="preserve">In 2020, across all age groups, people with a mental health condition reported lower life satisfaction compared to those without a mental health condition. The size of this </w:t>
      </w:r>
      <w:r>
        <w:rPr>
          <w:rFonts w:cs="Segoe UI"/>
          <w:szCs w:val="18"/>
        </w:rPr>
        <w:t>gap</w:t>
      </w:r>
      <w:r w:rsidRPr="00E5185F">
        <w:rPr>
          <w:rFonts w:cs="Segoe UI"/>
          <w:szCs w:val="18"/>
        </w:rPr>
        <w:t xml:space="preserve"> was relatively consistent across age groups</w:t>
      </w:r>
      <w:r>
        <w:rPr>
          <w:rFonts w:cs="Segoe UI"/>
          <w:szCs w:val="18"/>
        </w:rPr>
        <w:t xml:space="preserve"> in 2020</w:t>
      </w:r>
      <w:r w:rsidRPr="00C625D7">
        <w:rPr>
          <w:rFonts w:cs="Segoe UI"/>
          <w:szCs w:val="18"/>
        </w:rPr>
        <w:t>. Over time, however, this gap has consistently widened for people aged 15-24 years. In 2014, among people aged 15-24 years, there was 1.1-point difference between people with a mental health condition and people without, which increased to 1.3</w:t>
      </w:r>
      <w:r w:rsidR="008C4100">
        <w:rPr>
          <w:rFonts w:cs="Segoe UI"/>
          <w:szCs w:val="18"/>
        </w:rPr>
        <w:t> </w:t>
      </w:r>
      <w:r w:rsidRPr="00C625D7">
        <w:rPr>
          <w:rFonts w:cs="Segoe UI"/>
          <w:szCs w:val="18"/>
        </w:rPr>
        <w:t xml:space="preserve">in 2019 and 1.7 in 2020. By contrast, the gap across all other age groups been relatively consistent over time.  </w:t>
      </w:r>
    </w:p>
    <w:p w14:paraId="4229770B" w14:textId="2167A85F" w:rsidR="00EE41ED" w:rsidRPr="00755D97" w:rsidRDefault="00EE41ED" w:rsidP="00EE41ED">
      <w:pPr>
        <w:rPr>
          <w:rFonts w:eastAsia="Calibri"/>
        </w:rPr>
      </w:pPr>
      <w:r>
        <w:rPr>
          <w:rFonts w:eastAsia="Calibri"/>
        </w:rPr>
        <w:t>In 2020, among people with a mental health condition, life satisfaction did not significantly differ between males (5.5) and females (5.9)</w:t>
      </w:r>
      <w:r w:rsidRPr="00755D97">
        <w:rPr>
          <w:rFonts w:eastAsia="Calibri"/>
        </w:rPr>
        <w:t xml:space="preserve">. The </w:t>
      </w:r>
      <w:r>
        <w:rPr>
          <w:rFonts w:eastAsia="Calibri"/>
        </w:rPr>
        <w:t>gap in life satisfaction</w:t>
      </w:r>
      <w:r w:rsidRPr="00755D97">
        <w:rPr>
          <w:rFonts w:eastAsia="Calibri"/>
        </w:rPr>
        <w:t xml:space="preserve"> between </w:t>
      </w:r>
      <w:r>
        <w:rPr>
          <w:rFonts w:eastAsia="Calibri"/>
        </w:rPr>
        <w:t>people</w:t>
      </w:r>
      <w:r w:rsidRPr="00755D97">
        <w:rPr>
          <w:rFonts w:eastAsia="Calibri"/>
        </w:rPr>
        <w:t xml:space="preserve"> with and without a mental or behavioural condition has remained relatively stable over time for both sexes. </w:t>
      </w:r>
    </w:p>
    <w:p w14:paraId="4BC8B511" w14:textId="33F3F2E7" w:rsidR="00EE41ED" w:rsidRPr="00755D97" w:rsidRDefault="00EE41ED" w:rsidP="00EE41ED">
      <w:pPr>
        <w:rPr>
          <w:rFonts w:eastAsia="Calibri"/>
        </w:rPr>
      </w:pPr>
      <w:r>
        <w:rPr>
          <w:rFonts w:eastAsia="Calibri"/>
        </w:rPr>
        <w:t xml:space="preserve">In 2020, among people with a mental health condition aged 25-34 years, life satisfaction was significantly higher among males (7.5) compared to females (5.8). This is unlike data from 2014 and 2019 where no significant difference exists between males and females. For all other age groups, there was no significant difference between the </w:t>
      </w:r>
      <w:proofErr w:type="gramStart"/>
      <w:r>
        <w:rPr>
          <w:rFonts w:eastAsia="Calibri"/>
        </w:rPr>
        <w:t>sexes</w:t>
      </w:r>
      <w:proofErr w:type="gramEnd"/>
      <w:r>
        <w:rPr>
          <w:rFonts w:eastAsia="Calibri"/>
        </w:rPr>
        <w:t xml:space="preserve"> and this is consistent with findings from 2014 and 2019.  </w:t>
      </w:r>
    </w:p>
    <w:p w14:paraId="6DD71F5F" w14:textId="77777777" w:rsidR="00EE41ED" w:rsidRPr="00755D97" w:rsidRDefault="00EE41ED" w:rsidP="00BD77E3">
      <w:pPr>
        <w:keepNext/>
        <w:keepLines/>
        <w:spacing w:before="480" w:after="60"/>
        <w:outlineLvl w:val="1"/>
        <w:rPr>
          <w:rFonts w:ascii="Roboto-Bold" w:eastAsia="Yu Gothic Light" w:hAnsi="Roboto-Bold" w:cs="Times New Roman"/>
          <w:color w:val="008143"/>
          <w:sz w:val="26"/>
          <w:szCs w:val="26"/>
        </w:rPr>
      </w:pPr>
      <w:bookmarkStart w:id="134" w:name="_Toc169018572"/>
      <w:bookmarkStart w:id="135" w:name="_Toc169189024"/>
      <w:bookmarkStart w:id="136" w:name="_Toc169692826"/>
      <w:r w:rsidRPr="00755D97">
        <w:rPr>
          <w:rFonts w:ascii="Roboto-Bold" w:eastAsia="Yu Gothic Light" w:hAnsi="Roboto-Bold" w:cs="Times New Roman"/>
          <w:color w:val="008143"/>
          <w:sz w:val="26"/>
          <w:szCs w:val="26"/>
        </w:rPr>
        <w:t>Technical information</w:t>
      </w:r>
      <w:bookmarkEnd w:id="134"/>
      <w:bookmarkEnd w:id="135"/>
      <w:bookmarkEnd w:id="136"/>
    </w:p>
    <w:p w14:paraId="70DB6350" w14:textId="77777777" w:rsidR="00EE41ED" w:rsidRDefault="00EE41ED" w:rsidP="00814B85">
      <w:pPr>
        <w:keepNext/>
        <w:keepLines/>
        <w:spacing w:before="120" w:after="60"/>
        <w:outlineLvl w:val="2"/>
        <w:rPr>
          <w:rFonts w:ascii="Roboto" w:eastAsia="Yu Gothic Light" w:hAnsi="Roboto" w:cs="Times New Roman"/>
          <w:b/>
          <w:color w:val="545A60"/>
          <w:sz w:val="21"/>
        </w:rPr>
      </w:pPr>
      <w:bookmarkStart w:id="137" w:name="_Toc169018573"/>
      <w:bookmarkStart w:id="138" w:name="_Toc169189025"/>
      <w:bookmarkStart w:id="139" w:name="_Toc169692827"/>
      <w:r w:rsidRPr="00755D97">
        <w:rPr>
          <w:rFonts w:ascii="Roboto" w:eastAsia="Yu Gothic Light" w:hAnsi="Roboto" w:cs="Times New Roman"/>
          <w:b/>
          <w:color w:val="545A60"/>
          <w:sz w:val="21"/>
        </w:rPr>
        <w:t>Source</w:t>
      </w:r>
      <w:bookmarkEnd w:id="137"/>
      <w:bookmarkEnd w:id="138"/>
      <w:bookmarkEnd w:id="139"/>
    </w:p>
    <w:p w14:paraId="2B7DF22B" w14:textId="5551B10F" w:rsidR="00EE41ED" w:rsidRPr="007A18AE" w:rsidRDefault="00EE41ED" w:rsidP="00C625D7">
      <w:pPr>
        <w:rPr>
          <w:rFonts w:cs="Segoe UI"/>
          <w:i/>
          <w:szCs w:val="18"/>
        </w:rPr>
      </w:pPr>
      <w:r w:rsidRPr="00C625D7">
        <w:rPr>
          <w:rFonts w:cs="Segoe UI"/>
          <w:szCs w:val="18"/>
        </w:rPr>
        <w:t xml:space="preserve">Australian Bureau of Statistics (ABS) </w:t>
      </w:r>
      <w:r w:rsidRPr="007A18AE">
        <w:rPr>
          <w:rFonts w:cs="Segoe UI"/>
          <w:i/>
          <w:szCs w:val="18"/>
        </w:rPr>
        <w:t>General Social Survey, 2020</w:t>
      </w:r>
      <w:r w:rsidRPr="00C625D7">
        <w:rPr>
          <w:rFonts w:cs="Segoe UI"/>
          <w:szCs w:val="18"/>
        </w:rPr>
        <w:t xml:space="preserve">; ABS </w:t>
      </w:r>
      <w:r w:rsidRPr="007A18AE">
        <w:rPr>
          <w:rFonts w:cs="Segoe UI"/>
          <w:i/>
          <w:szCs w:val="18"/>
        </w:rPr>
        <w:t xml:space="preserve">General Social Survey, </w:t>
      </w:r>
      <w:r w:rsidR="00D35A3B" w:rsidRPr="007A18AE">
        <w:rPr>
          <w:rFonts w:cs="Segoe UI"/>
          <w:i/>
          <w:szCs w:val="18"/>
        </w:rPr>
        <w:t>2019</w:t>
      </w:r>
      <w:r w:rsidR="00D35A3B" w:rsidRPr="00C625D7">
        <w:rPr>
          <w:rFonts w:cs="Segoe UI"/>
          <w:szCs w:val="18"/>
        </w:rPr>
        <w:t>; ABS</w:t>
      </w:r>
      <w:r w:rsidRPr="00C625D7">
        <w:rPr>
          <w:rFonts w:cs="Segoe UI"/>
          <w:szCs w:val="18"/>
        </w:rPr>
        <w:t xml:space="preserve">, </w:t>
      </w:r>
      <w:r w:rsidRPr="007A18AE">
        <w:rPr>
          <w:rFonts w:cs="Segoe UI"/>
          <w:i/>
          <w:szCs w:val="18"/>
        </w:rPr>
        <w:t>General Social Survey, 2014.</w:t>
      </w:r>
    </w:p>
    <w:p w14:paraId="19C02A13" w14:textId="77777777" w:rsidR="00EE41ED" w:rsidRDefault="00EE41ED" w:rsidP="00EE41ED">
      <w:pPr>
        <w:keepNext/>
        <w:keepLines/>
        <w:spacing w:before="120" w:after="60"/>
        <w:outlineLvl w:val="2"/>
        <w:rPr>
          <w:rFonts w:ascii="Roboto" w:eastAsia="Yu Gothic Light" w:hAnsi="Roboto" w:cs="Times New Roman"/>
          <w:b/>
          <w:color w:val="545A60"/>
          <w:sz w:val="21"/>
        </w:rPr>
      </w:pPr>
      <w:bookmarkStart w:id="140" w:name="_Toc169018574"/>
      <w:bookmarkStart w:id="141" w:name="_Toc169189026"/>
      <w:bookmarkStart w:id="142" w:name="_Toc169692828"/>
      <w:r w:rsidRPr="00755D97">
        <w:rPr>
          <w:rFonts w:ascii="Roboto" w:eastAsia="Yu Gothic Light" w:hAnsi="Roboto" w:cs="Times New Roman"/>
          <w:b/>
          <w:color w:val="545A60"/>
          <w:sz w:val="21"/>
        </w:rPr>
        <w:t>Frequency of data collection</w:t>
      </w:r>
      <w:bookmarkEnd w:id="140"/>
      <w:bookmarkEnd w:id="141"/>
      <w:bookmarkEnd w:id="142"/>
    </w:p>
    <w:p w14:paraId="7C1AD531" w14:textId="77777777" w:rsidR="00EE41ED" w:rsidRPr="00C625D7" w:rsidRDefault="00EE41ED" w:rsidP="00C625D7">
      <w:pPr>
        <w:rPr>
          <w:rFonts w:cs="Segoe UI"/>
          <w:szCs w:val="18"/>
        </w:rPr>
      </w:pPr>
      <w:r w:rsidRPr="00C625D7">
        <w:rPr>
          <w:rFonts w:cs="Segoe UI"/>
          <w:szCs w:val="18"/>
        </w:rPr>
        <w:t xml:space="preserve">Approximately every four years. Some changes in data collection schedule due to the COVID-19 pandemic. </w:t>
      </w:r>
    </w:p>
    <w:p w14:paraId="2C71C525" w14:textId="77777777" w:rsidR="00EE41ED" w:rsidRDefault="00EE41ED" w:rsidP="00EE41ED">
      <w:pPr>
        <w:keepNext/>
        <w:keepLines/>
        <w:spacing w:before="120" w:after="60"/>
        <w:outlineLvl w:val="2"/>
        <w:rPr>
          <w:rFonts w:ascii="Roboto" w:eastAsia="Yu Gothic Light" w:hAnsi="Roboto" w:cs="Times New Roman"/>
          <w:b/>
          <w:color w:val="545A60"/>
          <w:sz w:val="21"/>
        </w:rPr>
      </w:pPr>
      <w:bookmarkStart w:id="143" w:name="_Toc169018575"/>
      <w:bookmarkStart w:id="144" w:name="_Toc169189027"/>
      <w:bookmarkStart w:id="145" w:name="_Toc169692829"/>
      <w:r w:rsidRPr="00755D97">
        <w:rPr>
          <w:rFonts w:ascii="Roboto" w:eastAsia="Yu Gothic Light" w:hAnsi="Roboto" w:cs="Times New Roman"/>
          <w:b/>
          <w:color w:val="545A60"/>
          <w:sz w:val="21"/>
        </w:rPr>
        <w:t>Limitations</w:t>
      </w:r>
      <w:bookmarkEnd w:id="143"/>
      <w:bookmarkEnd w:id="144"/>
      <w:bookmarkEnd w:id="145"/>
    </w:p>
    <w:p w14:paraId="23A4D829" w14:textId="77777777" w:rsidR="00EE41ED" w:rsidRPr="00DD7EC3" w:rsidRDefault="00EE41ED" w:rsidP="00D50DDA">
      <w:pPr>
        <w:pStyle w:val="ListParagraph"/>
        <w:numPr>
          <w:ilvl w:val="0"/>
          <w:numId w:val="51"/>
        </w:numPr>
        <w:rPr>
          <w:rFonts w:cs="Segoe UI"/>
          <w:szCs w:val="18"/>
        </w:rPr>
      </w:pPr>
      <w:r w:rsidRPr="00DD7EC3">
        <w:rPr>
          <w:rFonts w:cs="Segoe UI"/>
          <w:szCs w:val="18"/>
        </w:rPr>
        <w:t>Care should be taken when comparing 2020 data to earlier years due to changes in the survey methodology, higher rates of non-response and the impact of COVID-19 restrictions on the population.</w:t>
      </w:r>
    </w:p>
    <w:p w14:paraId="06056DD2" w14:textId="086470CF" w:rsidR="00EE41ED" w:rsidRPr="00DD7EC3" w:rsidRDefault="00EE41ED" w:rsidP="00D50DDA">
      <w:pPr>
        <w:pStyle w:val="ListParagraph"/>
        <w:numPr>
          <w:ilvl w:val="0"/>
          <w:numId w:val="51"/>
        </w:numPr>
        <w:rPr>
          <w:rFonts w:cs="Segoe UI"/>
          <w:szCs w:val="18"/>
        </w:rPr>
      </w:pPr>
      <w:r w:rsidRPr="00DD7EC3">
        <w:rPr>
          <w:rFonts w:cs="Segoe UI"/>
          <w:szCs w:val="18"/>
        </w:rPr>
        <w:t xml:space="preserve">When assessing the presence of a mental health </w:t>
      </w:r>
      <w:r w:rsidRPr="00DD7EC3" w:rsidDel="00131674">
        <w:rPr>
          <w:rFonts w:cs="Segoe UI"/>
          <w:szCs w:val="18"/>
        </w:rPr>
        <w:t>condition</w:t>
      </w:r>
      <w:r w:rsidRPr="00DD7EC3">
        <w:rPr>
          <w:rFonts w:cs="Segoe UI"/>
          <w:szCs w:val="18"/>
        </w:rPr>
        <w:t xml:space="preserve">, respondents were asked if they were told by a doctor, </w:t>
      </w:r>
      <w:proofErr w:type="gramStart"/>
      <w:r w:rsidRPr="00DD7EC3">
        <w:rPr>
          <w:rFonts w:cs="Segoe UI"/>
          <w:szCs w:val="18"/>
        </w:rPr>
        <w:t>nurse</w:t>
      </w:r>
      <w:proofErr w:type="gramEnd"/>
      <w:r w:rsidRPr="00DD7EC3">
        <w:rPr>
          <w:rFonts w:cs="Segoe UI"/>
          <w:szCs w:val="18"/>
        </w:rPr>
        <w:t xml:space="preserve"> or other health professional that they have one of the listed conditions, which included ‘Mental health condition (including depression or anxiety)’. This question asked for conditions that have lasted or are expected to last for six months or more. </w:t>
      </w:r>
    </w:p>
    <w:p w14:paraId="1952CB5C" w14:textId="77777777" w:rsidR="00EE41ED" w:rsidRDefault="00EE41ED" w:rsidP="00EE41ED">
      <w:pPr>
        <w:keepNext/>
        <w:keepLines/>
        <w:spacing w:before="120" w:after="60"/>
        <w:outlineLvl w:val="2"/>
        <w:rPr>
          <w:rFonts w:ascii="Roboto" w:eastAsia="Yu Gothic Light" w:hAnsi="Roboto" w:cs="Times New Roman"/>
          <w:b/>
          <w:color w:val="545A60"/>
          <w:sz w:val="21"/>
        </w:rPr>
      </w:pPr>
      <w:bookmarkStart w:id="146" w:name="_Toc169018576"/>
      <w:bookmarkStart w:id="147" w:name="_Toc169189028"/>
      <w:bookmarkStart w:id="148" w:name="_Toc169692830"/>
      <w:r w:rsidRPr="00755D97">
        <w:rPr>
          <w:rFonts w:ascii="Roboto" w:eastAsia="Yu Gothic Light" w:hAnsi="Roboto" w:cs="Times New Roman"/>
          <w:b/>
          <w:color w:val="545A60"/>
          <w:sz w:val="21"/>
        </w:rPr>
        <w:t>Additional notes</w:t>
      </w:r>
      <w:bookmarkEnd w:id="146"/>
      <w:bookmarkEnd w:id="147"/>
      <w:bookmarkEnd w:id="148"/>
    </w:p>
    <w:p w14:paraId="1850597F" w14:textId="77777777" w:rsidR="00EE41ED" w:rsidRPr="00DD7EC3" w:rsidRDefault="00EE41ED" w:rsidP="004A01F7">
      <w:pPr>
        <w:pStyle w:val="ListParagraph"/>
        <w:numPr>
          <w:ilvl w:val="0"/>
          <w:numId w:val="52"/>
        </w:numPr>
        <w:rPr>
          <w:rFonts w:cs="Segoe UI"/>
          <w:szCs w:val="18"/>
        </w:rPr>
      </w:pPr>
      <w:r w:rsidRPr="00DD7EC3">
        <w:rPr>
          <w:rFonts w:cs="Segoe UI"/>
          <w:szCs w:val="18"/>
        </w:rPr>
        <w:t xml:space="preserve">Overall life satisfaction measures a person's perceived level of life satisfaction in general and does not </w:t>
      </w:r>
      <w:proofErr w:type="gramStart"/>
      <w:r w:rsidRPr="00DD7EC3">
        <w:rPr>
          <w:rFonts w:cs="Segoe UI"/>
          <w:szCs w:val="18"/>
        </w:rPr>
        <w:t>take into account</w:t>
      </w:r>
      <w:proofErr w:type="gramEnd"/>
      <w:r w:rsidRPr="00DD7EC3">
        <w:rPr>
          <w:rFonts w:cs="Segoe UI"/>
          <w:szCs w:val="18"/>
        </w:rPr>
        <w:t xml:space="preserve"> specific illnesses or problems the person may have.</w:t>
      </w:r>
    </w:p>
    <w:p w14:paraId="3BDBD730" w14:textId="7533B2AA" w:rsidR="00EE41ED" w:rsidRPr="00AC4571" w:rsidRDefault="00EE41ED" w:rsidP="005477C9">
      <w:pPr>
        <w:pStyle w:val="ListParagraph"/>
        <w:numPr>
          <w:ilvl w:val="0"/>
          <w:numId w:val="52"/>
        </w:numPr>
        <w:rPr>
          <w:rFonts w:eastAsia="Calibri"/>
        </w:rPr>
      </w:pPr>
      <w:r w:rsidRPr="00AC4571">
        <w:rPr>
          <w:rFonts w:cs="Segoe UI"/>
          <w:szCs w:val="18"/>
        </w:rPr>
        <w:t>Detailed information on the methodology is available on the</w:t>
      </w:r>
      <w:r w:rsidRPr="00AC4571">
        <w:rPr>
          <w:rFonts w:ascii="Roboto" w:eastAsia="Yu Gothic Light" w:hAnsi="Roboto" w:cs="Times New Roman"/>
          <w:color w:val="545A60"/>
          <w:sz w:val="21"/>
          <w:szCs w:val="21"/>
        </w:rPr>
        <w:t xml:space="preserve"> </w:t>
      </w:r>
      <w:hyperlink r:id="rId43">
        <w:r w:rsidR="003C28C3" w:rsidRPr="00D35222">
          <w:rPr>
            <w:rFonts w:eastAsia="Yu Gothic Light" w:cs="Times New Roman"/>
            <w:color w:val="008143"/>
            <w:u w:val="single"/>
          </w:rPr>
          <w:t>ABS website</w:t>
        </w:r>
      </w:hyperlink>
      <w:r w:rsidRPr="00AC4571">
        <w:rPr>
          <w:rFonts w:eastAsia="Yu Gothic Light" w:cs="Times New Roman"/>
          <w:color w:val="545A60"/>
        </w:rPr>
        <w:t xml:space="preserve">. </w:t>
      </w:r>
      <w:r w:rsidRPr="00AC4571">
        <w:rPr>
          <w:rFonts w:ascii="Roboto" w:eastAsia="Yu Gothic Light" w:hAnsi="Roboto" w:cs="Times New Roman"/>
          <w:color w:val="545A60"/>
          <w:sz w:val="21"/>
          <w:szCs w:val="21"/>
        </w:rPr>
        <w:t xml:space="preserve"> </w:t>
      </w:r>
      <w:r w:rsidRPr="00AC4571">
        <w:rPr>
          <w:rFonts w:eastAsia="Calibri"/>
        </w:rPr>
        <w:br w:type="page"/>
      </w:r>
    </w:p>
    <w:p w14:paraId="7BDB0E4C" w14:textId="77777777" w:rsidR="00EE41ED" w:rsidRPr="00755D97" w:rsidRDefault="00EE41ED" w:rsidP="00D15CD9">
      <w:pPr>
        <w:pStyle w:val="Heading1"/>
        <w:rPr>
          <w:rFonts w:eastAsia="Yu Gothic Light" w:cs="Times New Roman"/>
        </w:rPr>
      </w:pPr>
      <w:bookmarkStart w:id="149" w:name="_Toc169692831"/>
      <w:bookmarkStart w:id="150" w:name="_Toc169868015"/>
      <w:r>
        <w:rPr>
          <w:rFonts w:eastAsia="Yu Gothic Light"/>
        </w:rPr>
        <w:lastRenderedPageBreak/>
        <w:t xml:space="preserve">CI 4: </w:t>
      </w:r>
      <w:r w:rsidRPr="00755D97">
        <w:rPr>
          <w:rFonts w:eastAsia="Yu Gothic Light" w:cs="Times New Roman"/>
        </w:rPr>
        <w:t xml:space="preserve">Feeling </w:t>
      </w:r>
      <w:r>
        <w:rPr>
          <w:rFonts w:eastAsia="Yu Gothic Light" w:cs="Times New Roman"/>
        </w:rPr>
        <w:t>i</w:t>
      </w:r>
      <w:r w:rsidRPr="00755D97">
        <w:rPr>
          <w:rFonts w:eastAsia="Yu Gothic Light" w:cs="Times New Roman"/>
        </w:rPr>
        <w:t xml:space="preserve">n </w:t>
      </w:r>
      <w:proofErr w:type="gramStart"/>
      <w:r w:rsidRPr="00755D97">
        <w:rPr>
          <w:rFonts w:eastAsia="Yu Gothic Light" w:cs="Times New Roman"/>
        </w:rPr>
        <w:t>control</w:t>
      </w:r>
      <w:bookmarkEnd w:id="149"/>
      <w:bookmarkEnd w:id="150"/>
      <w:proofErr w:type="gramEnd"/>
    </w:p>
    <w:p w14:paraId="1DC06CDA" w14:textId="77777777" w:rsidR="00EE41ED" w:rsidRPr="00755D97" w:rsidRDefault="00EE41ED" w:rsidP="00EE41ED">
      <w:pPr>
        <w:keepNext/>
        <w:keepLines/>
        <w:spacing w:before="60" w:after="60"/>
        <w:outlineLvl w:val="1"/>
        <w:rPr>
          <w:rFonts w:ascii="Roboto-Bold" w:eastAsia="Yu Gothic Light" w:hAnsi="Roboto-Bold" w:cs="Times New Roman"/>
          <w:color w:val="008143"/>
          <w:sz w:val="26"/>
          <w:szCs w:val="26"/>
        </w:rPr>
      </w:pPr>
      <w:bookmarkStart w:id="151" w:name="_Toc169018578"/>
      <w:bookmarkStart w:id="152" w:name="_Toc169189030"/>
      <w:bookmarkStart w:id="153" w:name="_Toc169692832"/>
      <w:r w:rsidRPr="00755D97">
        <w:rPr>
          <w:rFonts w:ascii="Roboto-Bold" w:eastAsia="Yu Gothic Light" w:hAnsi="Roboto-Bold" w:cs="Times New Roman"/>
          <w:color w:val="008143"/>
          <w:sz w:val="26"/>
          <w:szCs w:val="26"/>
        </w:rPr>
        <w:t>What we are tracking (and why)</w:t>
      </w:r>
      <w:bookmarkEnd w:id="151"/>
      <w:bookmarkEnd w:id="152"/>
      <w:bookmarkEnd w:id="153"/>
    </w:p>
    <w:p w14:paraId="7A1CA8C1" w14:textId="639DBAFA" w:rsidR="00EE41ED" w:rsidRPr="00C625D7" w:rsidRDefault="00EE41ED" w:rsidP="00C625D7">
      <w:pPr>
        <w:rPr>
          <w:rFonts w:eastAsia="Calibri"/>
        </w:rPr>
      </w:pPr>
      <w:r w:rsidRPr="00C625D7">
        <w:rPr>
          <w:rFonts w:eastAsia="Calibri"/>
        </w:rPr>
        <w:t xml:space="preserve">This indicator tracks the proportion of people in Australia over the age of 15 who report feeling a ‘high sense of control’. Sense of control is calculated through the </w:t>
      </w:r>
      <w:proofErr w:type="spellStart"/>
      <w:r w:rsidRPr="00C625D7">
        <w:rPr>
          <w:rFonts w:eastAsia="Calibri"/>
        </w:rPr>
        <w:t>Pearlin</w:t>
      </w:r>
      <w:proofErr w:type="spellEnd"/>
      <w:r w:rsidRPr="00C625D7">
        <w:rPr>
          <w:rFonts w:eastAsia="Calibri"/>
        </w:rPr>
        <w:t xml:space="preserve"> and Schooler’s (1978) Mastery Scale. For this indicator, individuals who score higher than 4.5</w:t>
      </w:r>
      <w:r w:rsidR="00836F77">
        <w:rPr>
          <w:rFonts w:eastAsia="Calibri"/>
        </w:rPr>
        <w:t xml:space="preserve"> (out of 7)</w:t>
      </w:r>
      <w:r w:rsidRPr="00C625D7">
        <w:rPr>
          <w:rFonts w:eastAsia="Calibri"/>
        </w:rPr>
        <w:t xml:space="preserve"> on this scale are classified as having a ‘high sense of control’.</w:t>
      </w:r>
    </w:p>
    <w:p w14:paraId="3882F1D8" w14:textId="77777777" w:rsidR="00EE41ED" w:rsidRDefault="00EE41ED" w:rsidP="00EE41ED">
      <w:pPr>
        <w:rPr>
          <w:rFonts w:eastAsia="Calibri"/>
          <w:szCs w:val="18"/>
          <w:lang w:val="en-AU"/>
        </w:rPr>
      </w:pPr>
      <w:r w:rsidRPr="00D33FCC">
        <w:rPr>
          <w:rFonts w:eastAsia="Calibri"/>
          <w:szCs w:val="18"/>
          <w:lang w:val="en-AU"/>
        </w:rPr>
        <w:t xml:space="preserve">Locus of control </w:t>
      </w:r>
      <w:r>
        <w:rPr>
          <w:rFonts w:eastAsia="Calibri"/>
          <w:szCs w:val="18"/>
          <w:lang w:val="en-AU"/>
        </w:rPr>
        <w:t>is the</w:t>
      </w:r>
      <w:r w:rsidRPr="00D33FCC">
        <w:rPr>
          <w:rFonts w:eastAsia="Calibri"/>
          <w:szCs w:val="18"/>
          <w:lang w:val="en-AU"/>
        </w:rPr>
        <w:t xml:space="preserve"> extent to which</w:t>
      </w:r>
      <w:r>
        <w:rPr>
          <w:rFonts w:eastAsia="Calibri"/>
          <w:szCs w:val="18"/>
          <w:lang w:val="en-AU"/>
        </w:rPr>
        <w:t xml:space="preserve"> a person feels that</w:t>
      </w:r>
      <w:r w:rsidRPr="00D33FCC">
        <w:rPr>
          <w:rFonts w:eastAsia="Calibri"/>
          <w:szCs w:val="18"/>
          <w:lang w:val="en-AU"/>
        </w:rPr>
        <w:t xml:space="preserve"> life events are caused by their own actions rather than </w:t>
      </w:r>
      <w:r>
        <w:rPr>
          <w:rFonts w:eastAsia="Calibri"/>
          <w:szCs w:val="18"/>
          <w:lang w:val="en-AU"/>
        </w:rPr>
        <w:t>external</w:t>
      </w:r>
      <w:r w:rsidRPr="00D33FCC">
        <w:rPr>
          <w:rFonts w:eastAsia="Calibri"/>
          <w:szCs w:val="18"/>
          <w:lang w:val="en-AU"/>
        </w:rPr>
        <w:t xml:space="preserve"> factors beyond their control</w:t>
      </w:r>
      <w:r w:rsidRPr="1C30ABDA">
        <w:rPr>
          <w:rFonts w:eastAsia="Calibri"/>
          <w:color w:val="5B626C" w:themeColor="text1"/>
          <w:szCs w:val="18"/>
          <w:lang w:val="en-AU"/>
        </w:rPr>
        <w:t>.</w:t>
      </w:r>
      <w:r>
        <w:rPr>
          <w:rStyle w:val="FootnoteReference"/>
          <w:rFonts w:eastAsia="Calibri"/>
          <w:szCs w:val="18"/>
          <w:lang w:val="en-AU"/>
        </w:rPr>
        <w:footnoteReference w:id="5"/>
      </w:r>
      <w:r>
        <w:rPr>
          <w:rFonts w:eastAsia="Calibri"/>
          <w:szCs w:val="18"/>
          <w:lang w:val="en-AU"/>
        </w:rPr>
        <w:t xml:space="preserve"> A strong internal locus of control (or higher sense of control) describes someone who believes they are in control over what happens, while a strong external locus of control (or lower sense of control) describes someone who believes they have no control over what happens. </w:t>
      </w:r>
      <w:r w:rsidRPr="00755D97">
        <w:rPr>
          <w:rFonts w:eastAsia="Calibri"/>
          <w:szCs w:val="18"/>
        </w:rPr>
        <w:t>Having a</w:t>
      </w:r>
      <w:r>
        <w:rPr>
          <w:rFonts w:eastAsia="Calibri"/>
          <w:szCs w:val="18"/>
        </w:rPr>
        <w:t xml:space="preserve"> higher</w:t>
      </w:r>
      <w:r w:rsidRPr="00755D97">
        <w:rPr>
          <w:rFonts w:eastAsia="Calibri"/>
          <w:szCs w:val="18"/>
        </w:rPr>
        <w:t xml:space="preserve"> sense </w:t>
      </w:r>
      <w:r>
        <w:rPr>
          <w:rFonts w:eastAsia="Calibri"/>
          <w:szCs w:val="18"/>
          <w:lang w:val="en-AU"/>
        </w:rPr>
        <w:t>of control is generally associated with greater wellbeing and can support a person to be proactive in addressing their heath needs</w:t>
      </w:r>
      <w:r w:rsidRPr="1C30ABDA">
        <w:rPr>
          <w:rFonts w:eastAsia="Calibri"/>
          <w:color w:val="5B626C" w:themeColor="text1"/>
          <w:szCs w:val="18"/>
          <w:lang w:val="en-AU"/>
        </w:rPr>
        <w:t>.</w:t>
      </w:r>
      <w:r>
        <w:rPr>
          <w:rStyle w:val="FootnoteReference"/>
          <w:rFonts w:eastAsia="Calibri"/>
          <w:szCs w:val="18"/>
          <w:lang w:val="en-AU"/>
        </w:rPr>
        <w:footnoteReference w:id="6"/>
      </w:r>
      <w:r>
        <w:rPr>
          <w:rFonts w:eastAsia="Calibri"/>
          <w:szCs w:val="18"/>
          <w:lang w:val="en-AU"/>
        </w:rPr>
        <w:t xml:space="preserve"> Conversely, a lower sense of control is associated with depression, </w:t>
      </w:r>
      <w:proofErr w:type="gramStart"/>
      <w:r>
        <w:rPr>
          <w:rFonts w:eastAsia="Calibri"/>
          <w:szCs w:val="18"/>
          <w:lang w:val="en-AU"/>
        </w:rPr>
        <w:t>stress</w:t>
      </w:r>
      <w:proofErr w:type="gramEnd"/>
      <w:r>
        <w:rPr>
          <w:rFonts w:eastAsia="Calibri"/>
          <w:szCs w:val="18"/>
          <w:lang w:val="en-AU"/>
        </w:rPr>
        <w:t xml:space="preserve"> and anxiety-related disorders. </w:t>
      </w:r>
    </w:p>
    <w:p w14:paraId="1284BD85" w14:textId="77777777" w:rsidR="00EE41ED" w:rsidRPr="00755D97" w:rsidRDefault="00EE41ED" w:rsidP="00EE41ED">
      <w:pPr>
        <w:rPr>
          <w:rFonts w:eastAsia="Calibri"/>
        </w:rPr>
      </w:pPr>
      <w:r>
        <w:rPr>
          <w:rFonts w:eastAsia="Calibri"/>
        </w:rPr>
        <w:t>An increasing proportion of people with a ‘high sense of control’</w:t>
      </w:r>
      <w:r w:rsidRPr="00755D97">
        <w:rPr>
          <w:rFonts w:eastAsia="Calibri"/>
        </w:rPr>
        <w:t xml:space="preserve"> cannot be easily attributed to any one factor but </w:t>
      </w:r>
      <w:r>
        <w:rPr>
          <w:rFonts w:eastAsia="Calibri"/>
        </w:rPr>
        <w:t>may</w:t>
      </w:r>
      <w:r w:rsidRPr="00755D97">
        <w:rPr>
          <w:rFonts w:eastAsia="Calibri"/>
        </w:rPr>
        <w:t xml:space="preserve"> </w:t>
      </w:r>
      <w:r>
        <w:rPr>
          <w:rFonts w:eastAsia="Calibri"/>
        </w:rPr>
        <w:t>signal improvements in the effectiveness of the</w:t>
      </w:r>
      <w:r w:rsidRPr="00755D97">
        <w:rPr>
          <w:rFonts w:eastAsia="Calibri"/>
        </w:rPr>
        <w:t xml:space="preserve"> mental health system</w:t>
      </w:r>
      <w:r>
        <w:rPr>
          <w:rFonts w:eastAsia="Calibri"/>
        </w:rPr>
        <w:t xml:space="preserve"> and/</w:t>
      </w:r>
      <w:r w:rsidRPr="00755D97">
        <w:rPr>
          <w:rFonts w:eastAsia="Calibri"/>
        </w:rPr>
        <w:t xml:space="preserve">or improvements </w:t>
      </w:r>
      <w:r>
        <w:rPr>
          <w:rFonts w:eastAsia="Calibri"/>
        </w:rPr>
        <w:t xml:space="preserve">across other systems that support the social determinants of mental health and wellbeing. </w:t>
      </w:r>
    </w:p>
    <w:p w14:paraId="096746D3" w14:textId="77777777" w:rsidR="00EE41ED" w:rsidRPr="00755D97" w:rsidRDefault="00EE41ED" w:rsidP="00EE41ED">
      <w:pPr>
        <w:keepNext/>
        <w:keepLines/>
        <w:spacing w:before="60" w:after="60"/>
        <w:outlineLvl w:val="1"/>
        <w:rPr>
          <w:rFonts w:ascii="Roboto-Bold" w:eastAsia="Yu Gothic Light" w:hAnsi="Roboto-Bold" w:cs="Times New Roman"/>
          <w:color w:val="008143"/>
          <w:sz w:val="26"/>
          <w:szCs w:val="26"/>
        </w:rPr>
      </w:pPr>
      <w:bookmarkStart w:id="154" w:name="_Toc169018579"/>
      <w:bookmarkStart w:id="155" w:name="_Toc169189031"/>
      <w:bookmarkStart w:id="156" w:name="_Toc169692833"/>
      <w:r w:rsidRPr="00755D97">
        <w:rPr>
          <w:rFonts w:ascii="Roboto-Bold" w:eastAsia="Yu Gothic Light" w:hAnsi="Roboto-Bold" w:cs="Times New Roman"/>
          <w:color w:val="008143"/>
          <w:sz w:val="26"/>
          <w:szCs w:val="26"/>
        </w:rPr>
        <w:t>What the data tells us</w:t>
      </w:r>
      <w:bookmarkEnd w:id="154"/>
      <w:bookmarkEnd w:id="155"/>
      <w:bookmarkEnd w:id="156"/>
    </w:p>
    <w:p w14:paraId="5A14C645" w14:textId="77777777" w:rsidR="00EE41ED" w:rsidRPr="00755D97" w:rsidRDefault="00EE41ED" w:rsidP="00EE41ED">
      <w:pPr>
        <w:keepNext/>
        <w:keepLines/>
        <w:spacing w:before="60" w:after="60"/>
        <w:outlineLvl w:val="2"/>
        <w:rPr>
          <w:rFonts w:ascii="Roboto" w:eastAsia="Yu Gothic Light" w:hAnsi="Roboto" w:cs="Times New Roman"/>
          <w:b/>
          <w:color w:val="545A60"/>
          <w:sz w:val="21"/>
        </w:rPr>
      </w:pPr>
      <w:bookmarkStart w:id="157" w:name="_Toc169018580"/>
      <w:bookmarkStart w:id="158" w:name="_Toc169189032"/>
      <w:bookmarkStart w:id="159" w:name="_Toc169692834"/>
      <w:r w:rsidRPr="00755D97">
        <w:rPr>
          <w:rFonts w:ascii="Roboto" w:eastAsia="Yu Gothic Light" w:hAnsi="Roboto" w:cs="Times New Roman"/>
          <w:b/>
          <w:color w:val="545A60"/>
          <w:sz w:val="21"/>
        </w:rPr>
        <w:t xml:space="preserve">Indicator </w:t>
      </w:r>
      <w:r>
        <w:rPr>
          <w:rFonts w:ascii="Roboto" w:eastAsia="Yu Gothic Light" w:hAnsi="Roboto" w:cs="Times New Roman"/>
          <w:b/>
          <w:color w:val="545A60"/>
          <w:sz w:val="21"/>
        </w:rPr>
        <w:t>f</w:t>
      </w:r>
      <w:r w:rsidRPr="00755D97">
        <w:rPr>
          <w:rFonts w:ascii="Roboto" w:eastAsia="Yu Gothic Light" w:hAnsi="Roboto" w:cs="Times New Roman"/>
          <w:b/>
          <w:color w:val="545A60"/>
          <w:sz w:val="21"/>
        </w:rPr>
        <w:t>indings</w:t>
      </w:r>
      <w:bookmarkEnd w:id="157"/>
      <w:bookmarkEnd w:id="158"/>
      <w:bookmarkEnd w:id="159"/>
    </w:p>
    <w:p w14:paraId="6A07390E" w14:textId="77777777" w:rsidR="00EE41ED" w:rsidRPr="00875CCF" w:rsidRDefault="00EE41ED" w:rsidP="00EE41ED">
      <w:pPr>
        <w:spacing w:after="0"/>
        <w:rPr>
          <w:rFonts w:ascii="Roboto-Bold" w:eastAsia="Calibri" w:hAnsi="Roboto-Bold"/>
          <w:color w:val="5B626C"/>
        </w:rPr>
      </w:pPr>
      <w:r w:rsidRPr="00875CCF">
        <w:rPr>
          <w:rFonts w:ascii="Roboto-Bold" w:eastAsia="Calibri" w:hAnsi="Roboto-Bold"/>
          <w:color w:val="5B626C"/>
        </w:rPr>
        <w:t>Whole of population</w:t>
      </w:r>
    </w:p>
    <w:p w14:paraId="3224AED2" w14:textId="7421E4D8" w:rsidR="00EE41ED" w:rsidRDefault="00EE41ED" w:rsidP="00EE41ED">
      <w:pPr>
        <w:rPr>
          <w:rFonts w:eastAsia="Calibri"/>
        </w:rPr>
      </w:pPr>
      <w:r>
        <w:rPr>
          <w:rFonts w:eastAsia="Calibri"/>
        </w:rPr>
        <w:t xml:space="preserve">In 2019, across </w:t>
      </w:r>
      <w:r w:rsidR="00B04595">
        <w:rPr>
          <w:rFonts w:eastAsia="Calibri"/>
        </w:rPr>
        <w:t>people aged 15 years and older</w:t>
      </w:r>
      <w:r>
        <w:rPr>
          <w:rFonts w:eastAsia="Calibri"/>
        </w:rPr>
        <w:t xml:space="preserve">, 93.1% reported feeling a high sense of control. As seen in Figure A4, this proportion has remained steady over time (2011: 93.4%, 2015: 93.4%). </w:t>
      </w:r>
    </w:p>
    <w:p w14:paraId="445374DF" w14:textId="77777777" w:rsidR="00EE41ED" w:rsidRPr="00875CCF" w:rsidRDefault="00EE41ED" w:rsidP="00EE41ED">
      <w:pPr>
        <w:spacing w:after="0"/>
        <w:rPr>
          <w:rFonts w:ascii="Roboto-Bold" w:eastAsia="Calibri" w:hAnsi="Roboto-Bold"/>
          <w:color w:val="5B626C"/>
        </w:rPr>
      </w:pPr>
      <w:r w:rsidRPr="00875CCF">
        <w:rPr>
          <w:rFonts w:ascii="Roboto-Bold" w:eastAsia="Calibri" w:hAnsi="Roboto-Bold"/>
          <w:color w:val="5B626C"/>
        </w:rPr>
        <w:t>Lived Experience</w:t>
      </w:r>
    </w:p>
    <w:p w14:paraId="50B76CE5" w14:textId="77777777" w:rsidR="00EE41ED" w:rsidRDefault="00EE41ED" w:rsidP="00EE41ED">
      <w:pPr>
        <w:rPr>
          <w:rFonts w:eastAsia="Calibri"/>
        </w:rPr>
      </w:pPr>
      <w:r>
        <w:rPr>
          <w:rFonts w:eastAsia="Calibri"/>
        </w:rPr>
        <w:t>In 2019, among people with a long-term mental health condition, 74.3% reported feeling a high sense of control. This proportion is consistent with 2011 (72.3%) and 2015 (74.2%).</w:t>
      </w:r>
    </w:p>
    <w:p w14:paraId="27D97DE3" w14:textId="75F6254C" w:rsidR="00EE41ED" w:rsidRDefault="00EE41ED" w:rsidP="00EE41ED">
      <w:pPr>
        <w:rPr>
          <w:rFonts w:eastAsia="Calibri"/>
          <w:lang w:val="en-AU"/>
        </w:rPr>
      </w:pPr>
      <w:r>
        <w:rPr>
          <w:rFonts w:eastAsia="Calibri"/>
          <w:lang w:val="en-AU"/>
        </w:rPr>
        <w:t xml:space="preserve">In 2019, </w:t>
      </w:r>
      <w:r w:rsidRPr="00B9147B">
        <w:rPr>
          <w:rFonts w:eastAsia="Calibri"/>
          <w:lang w:val="en-AU"/>
        </w:rPr>
        <w:t xml:space="preserve">the proportion of the total population feeling a </w:t>
      </w:r>
      <w:r>
        <w:rPr>
          <w:rFonts w:eastAsia="Calibri"/>
          <w:lang w:val="en-AU"/>
        </w:rPr>
        <w:t>high</w:t>
      </w:r>
      <w:r w:rsidRPr="00B9147B">
        <w:rPr>
          <w:rFonts w:eastAsia="Calibri"/>
          <w:lang w:val="en-AU"/>
        </w:rPr>
        <w:t xml:space="preserve"> sense of control</w:t>
      </w:r>
      <w:r>
        <w:rPr>
          <w:rFonts w:eastAsia="Calibri"/>
          <w:lang w:val="en-AU"/>
        </w:rPr>
        <w:t xml:space="preserve"> varied according to the presence of a long</w:t>
      </w:r>
      <w:r w:rsidR="008C4100">
        <w:rPr>
          <w:rFonts w:eastAsia="Calibri"/>
          <w:lang w:val="en-AU"/>
        </w:rPr>
        <w:noBreakHyphen/>
      </w:r>
      <w:r>
        <w:rPr>
          <w:rFonts w:eastAsia="Calibri"/>
          <w:lang w:val="en-AU"/>
        </w:rPr>
        <w:t>term health condition. These proportions were 89.3% for people with a</w:t>
      </w:r>
      <w:r w:rsidRPr="00A86E74">
        <w:rPr>
          <w:rFonts w:eastAsia="Calibri"/>
          <w:lang w:val="en-AU"/>
        </w:rPr>
        <w:t>ny long-term health condition</w:t>
      </w:r>
      <w:r w:rsidRPr="00B9147B">
        <w:rPr>
          <w:rFonts w:eastAsia="Calibri"/>
          <w:lang w:val="en-AU"/>
        </w:rPr>
        <w:t xml:space="preserve"> and </w:t>
      </w:r>
      <w:r>
        <w:rPr>
          <w:rFonts w:eastAsia="Calibri"/>
          <w:lang w:val="en-AU"/>
        </w:rPr>
        <w:t>74.3% for people with a l</w:t>
      </w:r>
      <w:r w:rsidRPr="00A86E74">
        <w:rPr>
          <w:rFonts w:eastAsia="Calibri"/>
          <w:lang w:val="en-AU"/>
        </w:rPr>
        <w:t>ong-term mental health condition</w:t>
      </w:r>
      <w:r>
        <w:rPr>
          <w:rFonts w:eastAsia="Calibri"/>
          <w:lang w:val="en-AU"/>
        </w:rPr>
        <w:t>, compared with 95.9% for people with n</w:t>
      </w:r>
      <w:r w:rsidRPr="00A86E74">
        <w:rPr>
          <w:rFonts w:eastAsia="Calibri"/>
          <w:lang w:val="en-AU"/>
        </w:rPr>
        <w:t>o long-term health condition</w:t>
      </w:r>
      <w:r w:rsidRPr="00B9147B">
        <w:rPr>
          <w:rFonts w:eastAsia="Calibri"/>
          <w:lang w:val="en-AU"/>
        </w:rPr>
        <w:t xml:space="preserve">. </w:t>
      </w:r>
    </w:p>
    <w:p w14:paraId="48F21840" w14:textId="77777777" w:rsidR="009B26C7" w:rsidRPr="00650327" w:rsidRDefault="009B26C7" w:rsidP="00650327">
      <w:pPr>
        <w:rPr>
          <w:rFonts w:eastAsia="Calibri"/>
          <w:lang w:val="en-AU"/>
        </w:rPr>
      </w:pPr>
    </w:p>
    <w:p w14:paraId="33DAE5B9" w14:textId="77777777" w:rsidR="009B26C7" w:rsidRPr="00650327" w:rsidRDefault="009B26C7" w:rsidP="00650327">
      <w:pPr>
        <w:rPr>
          <w:rFonts w:eastAsia="Calibri"/>
          <w:lang w:val="en-AU"/>
        </w:rPr>
      </w:pPr>
    </w:p>
    <w:p w14:paraId="299B8868" w14:textId="77777777" w:rsidR="009B26C7" w:rsidRPr="00650327" w:rsidRDefault="009B26C7" w:rsidP="00650327">
      <w:pPr>
        <w:rPr>
          <w:rFonts w:eastAsia="Calibri"/>
          <w:lang w:val="en-AU"/>
        </w:rPr>
      </w:pPr>
    </w:p>
    <w:p w14:paraId="21061CA1" w14:textId="77777777" w:rsidR="009B26C7" w:rsidRPr="00650327" w:rsidRDefault="009B26C7" w:rsidP="00650327">
      <w:pPr>
        <w:rPr>
          <w:rFonts w:eastAsia="Calibri"/>
          <w:lang w:val="en-AU"/>
        </w:rPr>
      </w:pPr>
    </w:p>
    <w:p w14:paraId="45B25D81" w14:textId="77777777" w:rsidR="009B26C7" w:rsidRPr="00650327" w:rsidRDefault="009B26C7" w:rsidP="00650327">
      <w:pPr>
        <w:rPr>
          <w:rFonts w:eastAsia="Calibri"/>
          <w:lang w:val="en-AU"/>
        </w:rPr>
      </w:pPr>
    </w:p>
    <w:p w14:paraId="13F52BF5" w14:textId="77777777" w:rsidR="009B26C7" w:rsidRPr="00650327" w:rsidRDefault="009B26C7" w:rsidP="00650327">
      <w:pPr>
        <w:rPr>
          <w:rFonts w:eastAsia="Calibri"/>
          <w:lang w:val="en-AU"/>
        </w:rPr>
      </w:pPr>
    </w:p>
    <w:p w14:paraId="33A3E20D" w14:textId="3F7C05BE" w:rsidR="009B26C7" w:rsidRDefault="00EE41ED" w:rsidP="009E5B82">
      <w:pPr>
        <w:spacing w:after="120"/>
        <w:outlineLvl w:val="3"/>
        <w:rPr>
          <w:rFonts w:ascii="Roboto" w:eastAsia="Calibri" w:hAnsi="Roboto"/>
          <w:color w:val="5B626C"/>
          <w:szCs w:val="18"/>
        </w:rPr>
      </w:pPr>
      <w:r w:rsidRPr="1C30ABDA">
        <w:rPr>
          <w:rFonts w:ascii="Roboto" w:eastAsia="Calibri" w:hAnsi="Roboto"/>
          <w:color w:val="008143"/>
          <w:szCs w:val="18"/>
        </w:rPr>
        <w:lastRenderedPageBreak/>
        <w:t xml:space="preserve">Figure A4. </w:t>
      </w:r>
      <w:r w:rsidRPr="1C30ABDA">
        <w:rPr>
          <w:rFonts w:ascii="Roboto" w:eastAsia="Calibri" w:hAnsi="Roboto"/>
          <w:color w:val="5B626C"/>
          <w:szCs w:val="18"/>
        </w:rPr>
        <w:t xml:space="preserve">Proportion of people in Australia who reported a high sense of </w:t>
      </w:r>
      <w:r w:rsidR="00D96DA4" w:rsidRPr="1C30ABDA">
        <w:rPr>
          <w:rFonts w:ascii="Roboto" w:eastAsia="Calibri" w:hAnsi="Roboto"/>
          <w:color w:val="5B626C"/>
          <w:szCs w:val="18"/>
        </w:rPr>
        <w:t>control, 2007</w:t>
      </w:r>
      <w:r w:rsidRPr="1C30ABDA">
        <w:rPr>
          <w:rFonts w:ascii="Roboto" w:eastAsia="Calibri" w:hAnsi="Roboto"/>
          <w:color w:val="5B626C"/>
          <w:szCs w:val="18"/>
        </w:rPr>
        <w:t>-2019</w:t>
      </w:r>
    </w:p>
    <w:p w14:paraId="2BE63BC6" w14:textId="148B00A1" w:rsidR="00EE41ED" w:rsidRPr="00385018" w:rsidRDefault="008A21A3" w:rsidP="009E5B82">
      <w:pPr>
        <w:spacing w:after="120"/>
        <w:outlineLvl w:val="3"/>
        <w:rPr>
          <w:rFonts w:ascii="Roboto" w:eastAsia="Calibri" w:hAnsi="Roboto"/>
          <w:color w:val="5B626C"/>
          <w:szCs w:val="18"/>
        </w:rPr>
      </w:pPr>
      <w:r>
        <w:rPr>
          <w:noProof/>
        </w:rPr>
        <w:drawing>
          <wp:inline distT="0" distB="0" distL="0" distR="0" wp14:anchorId="4E43ED0C" wp14:editId="2F93CC16">
            <wp:extent cx="6115050" cy="3200400"/>
            <wp:effectExtent l="0" t="0" r="0" b="0"/>
            <wp:docPr id="1620931268" name="Graphic 1620931268" descr="The content of this figure is described in the text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931268" name="Graphic 1620931268" descr="The content of this figure is described in the text above. "/>
                    <pic:cNvPicPr/>
                  </pic:nvPicPr>
                  <pic:blipFill>
                    <a:blip r:embed="rId44">
                      <a:extLst>
                        <a:ext uri="{96DAC541-7B7A-43D3-8B79-37D633B846F1}">
                          <asvg:svgBlip xmlns:asvg="http://schemas.microsoft.com/office/drawing/2016/SVG/main" r:embed="rId45"/>
                        </a:ext>
                      </a:extLst>
                    </a:blip>
                    <a:stretch>
                      <a:fillRect/>
                    </a:stretch>
                  </pic:blipFill>
                  <pic:spPr>
                    <a:xfrm>
                      <a:off x="0" y="0"/>
                      <a:ext cx="6115050" cy="3200400"/>
                    </a:xfrm>
                    <a:prstGeom prst="rect">
                      <a:avLst/>
                    </a:prstGeom>
                  </pic:spPr>
                </pic:pic>
              </a:graphicData>
            </a:graphic>
          </wp:inline>
        </w:drawing>
      </w:r>
    </w:p>
    <w:p w14:paraId="3A8FEDE0" w14:textId="77777777" w:rsidR="00EE41ED" w:rsidRPr="00755D97" w:rsidRDefault="00EE41ED" w:rsidP="00EE41ED">
      <w:pPr>
        <w:keepNext/>
        <w:keepLines/>
        <w:spacing w:before="60" w:after="60"/>
        <w:outlineLvl w:val="2"/>
        <w:rPr>
          <w:rFonts w:ascii="Roboto" w:eastAsia="Yu Gothic Light" w:hAnsi="Roboto" w:cs="Times New Roman"/>
          <w:b/>
          <w:color w:val="545A60"/>
          <w:sz w:val="21"/>
        </w:rPr>
      </w:pPr>
      <w:bookmarkStart w:id="160" w:name="_Toc169018581"/>
      <w:bookmarkStart w:id="161" w:name="_Toc169189033"/>
      <w:bookmarkStart w:id="162" w:name="_Toc169692835"/>
      <w:r w:rsidRPr="00755D97">
        <w:rPr>
          <w:rFonts w:ascii="Roboto" w:eastAsia="Yu Gothic Light" w:hAnsi="Roboto" w:cs="Times New Roman"/>
          <w:b/>
          <w:color w:val="545A60"/>
          <w:sz w:val="21"/>
        </w:rPr>
        <w:t>How do these findings differ between groups?</w:t>
      </w:r>
      <w:bookmarkEnd w:id="160"/>
      <w:bookmarkEnd w:id="161"/>
      <w:bookmarkEnd w:id="162"/>
    </w:p>
    <w:p w14:paraId="3EA58723" w14:textId="77777777" w:rsidR="00EE41ED" w:rsidRPr="00875CCF" w:rsidRDefault="00EE41ED" w:rsidP="00EE41ED">
      <w:pPr>
        <w:spacing w:after="0"/>
        <w:rPr>
          <w:rFonts w:ascii="Roboto-Bold" w:eastAsia="Calibri" w:hAnsi="Roboto-Bold"/>
          <w:color w:val="5B626C"/>
        </w:rPr>
      </w:pPr>
      <w:r w:rsidRPr="00875CCF">
        <w:rPr>
          <w:rFonts w:ascii="Roboto-Bold" w:eastAsia="Calibri" w:hAnsi="Roboto-Bold"/>
          <w:color w:val="5B626C"/>
        </w:rPr>
        <w:t>Whole of population</w:t>
      </w:r>
    </w:p>
    <w:p w14:paraId="6F3E1E9B" w14:textId="77777777" w:rsidR="00EE41ED" w:rsidRDefault="00EE41ED" w:rsidP="00EE41ED">
      <w:pPr>
        <w:rPr>
          <w:rFonts w:eastAsia="Calibri"/>
        </w:rPr>
      </w:pPr>
      <w:r>
        <w:rPr>
          <w:rFonts w:eastAsia="Calibri"/>
          <w:lang w:val="en-AU"/>
        </w:rPr>
        <w:t xml:space="preserve">In 2019, 93.6% of males and 92.7% of females reported feeling a high sense of control. These proportions are </w:t>
      </w:r>
      <w:proofErr w:type="gramStart"/>
      <w:r>
        <w:rPr>
          <w:rFonts w:eastAsia="Calibri"/>
          <w:lang w:val="en-AU"/>
        </w:rPr>
        <w:t>similar to</w:t>
      </w:r>
      <w:proofErr w:type="gramEnd"/>
      <w:r>
        <w:rPr>
          <w:rFonts w:eastAsia="Calibri"/>
          <w:lang w:val="en-AU"/>
        </w:rPr>
        <w:t xml:space="preserve"> rates observed in 2011 (Males: 93.7%, Females: 93.2%) and 2015 (Males: 93.6%, Females: 93.3%) and show no significant differences between the sexes. </w:t>
      </w:r>
    </w:p>
    <w:p w14:paraId="3D2918CB" w14:textId="1E55781D" w:rsidR="00EE41ED" w:rsidRPr="002C3C5F" w:rsidRDefault="00EE41ED" w:rsidP="00EE41ED">
      <w:pPr>
        <w:rPr>
          <w:rFonts w:eastAsia="Calibri"/>
        </w:rPr>
      </w:pPr>
      <w:r>
        <w:rPr>
          <w:rFonts w:eastAsia="Calibri"/>
          <w:lang w:val="en-AU"/>
        </w:rPr>
        <w:t>In 2019, people</w:t>
      </w:r>
      <w:r w:rsidRPr="006801DB">
        <w:rPr>
          <w:rFonts w:eastAsia="Calibri"/>
          <w:lang w:val="en-AU"/>
        </w:rPr>
        <w:t xml:space="preserve"> aged 15</w:t>
      </w:r>
      <w:r>
        <w:rPr>
          <w:rFonts w:eastAsia="Calibri"/>
          <w:lang w:val="en-AU"/>
        </w:rPr>
        <w:t>-</w:t>
      </w:r>
      <w:r w:rsidRPr="006801DB">
        <w:rPr>
          <w:rFonts w:eastAsia="Calibri"/>
          <w:lang w:val="en-AU"/>
        </w:rPr>
        <w:t>34</w:t>
      </w:r>
      <w:r>
        <w:rPr>
          <w:rFonts w:eastAsia="Calibri"/>
          <w:lang w:val="en-AU"/>
        </w:rPr>
        <w:t xml:space="preserve"> years (95</w:t>
      </w:r>
      <w:r w:rsidR="0089577C">
        <w:rPr>
          <w:rFonts w:eastAsia="Calibri"/>
          <w:lang w:val="en-AU"/>
        </w:rPr>
        <w:t>.0</w:t>
      </w:r>
      <w:r>
        <w:rPr>
          <w:rFonts w:eastAsia="Calibri"/>
          <w:lang w:val="en-AU"/>
        </w:rPr>
        <w:t>%)</w:t>
      </w:r>
      <w:r w:rsidRPr="006801DB">
        <w:rPr>
          <w:rFonts w:eastAsia="Calibri"/>
          <w:lang w:val="en-AU"/>
        </w:rPr>
        <w:t xml:space="preserve"> and </w:t>
      </w:r>
      <w:r>
        <w:rPr>
          <w:rFonts w:eastAsia="Calibri"/>
          <w:lang w:val="en-AU"/>
        </w:rPr>
        <w:t>people</w:t>
      </w:r>
      <w:r w:rsidRPr="006801DB">
        <w:rPr>
          <w:rFonts w:eastAsia="Calibri"/>
          <w:lang w:val="en-AU"/>
        </w:rPr>
        <w:t xml:space="preserve"> aged</w:t>
      </w:r>
      <w:r>
        <w:rPr>
          <w:rFonts w:eastAsia="Calibri"/>
          <w:lang w:val="en-AU"/>
        </w:rPr>
        <w:t xml:space="preserve"> 35-64 years (92.7%) were more likely to report a high sense of control relative to people aged </w:t>
      </w:r>
      <w:r w:rsidRPr="006801DB">
        <w:rPr>
          <w:rFonts w:eastAsia="Calibri"/>
          <w:lang w:val="en-AU"/>
        </w:rPr>
        <w:t>65</w:t>
      </w:r>
      <w:r>
        <w:rPr>
          <w:rFonts w:eastAsia="Calibri"/>
          <w:lang w:val="en-AU"/>
        </w:rPr>
        <w:t xml:space="preserve"> years and over (90.6%). Similar findings were observed in 2011 (96.3%, 92.4% and 90.2%, respectively) and 2015 (95.1%, 93.2% and 90.7%, respectively). </w:t>
      </w:r>
    </w:p>
    <w:p w14:paraId="6CA90094" w14:textId="77777777" w:rsidR="00EE41ED" w:rsidRPr="00875CCF" w:rsidRDefault="00EE41ED" w:rsidP="00EE41ED">
      <w:pPr>
        <w:spacing w:after="0"/>
        <w:rPr>
          <w:rFonts w:ascii="Roboto-Bold" w:eastAsia="Calibri" w:hAnsi="Roboto-Bold"/>
          <w:color w:val="5B626C"/>
        </w:rPr>
      </w:pPr>
      <w:r w:rsidRPr="00875CCF">
        <w:rPr>
          <w:rFonts w:ascii="Roboto-Bold" w:eastAsia="Calibri" w:hAnsi="Roboto-Bold"/>
          <w:color w:val="5B626C"/>
        </w:rPr>
        <w:t>Lived Experience</w:t>
      </w:r>
    </w:p>
    <w:p w14:paraId="2A882FFE" w14:textId="77777777" w:rsidR="00EE41ED" w:rsidRDefault="00EE41ED" w:rsidP="00EE41ED">
      <w:pPr>
        <w:rPr>
          <w:rFonts w:eastAsia="Calibri"/>
        </w:rPr>
      </w:pPr>
      <w:r>
        <w:rPr>
          <w:rFonts w:eastAsia="Calibri"/>
        </w:rPr>
        <w:t xml:space="preserve">In 2019, among people with a long-term mental health condition, the proportion of people reporting a high sense of control did not significantly differ between males (72.7%) and females (75.3%). This is relatively consistent with findings from 2011 and 2015, where values for the two sexes ranged between 75.6% and 69.3%. </w:t>
      </w:r>
    </w:p>
    <w:p w14:paraId="45A5F16C" w14:textId="5355258F" w:rsidR="00EE41ED" w:rsidRDefault="00EE41ED" w:rsidP="00EE41ED">
      <w:pPr>
        <w:rPr>
          <w:rFonts w:eastAsia="Calibri"/>
        </w:rPr>
      </w:pPr>
      <w:r>
        <w:rPr>
          <w:rFonts w:eastAsia="Calibri"/>
        </w:rPr>
        <w:t>Among people with a long-term mental health condition, there were also no clear age group differences for the proportion of people reporting a high sense of control across all time points. In 2019, the largest proportion of people reporting a high sense of control was for people aged 15-34 years (77.4%), followed by people aged 35-64 years (73.9%) and 65</w:t>
      </w:r>
      <w:r w:rsidR="00432DE9">
        <w:rPr>
          <w:rFonts w:eastAsia="Calibri"/>
        </w:rPr>
        <w:t> </w:t>
      </w:r>
      <w:r>
        <w:rPr>
          <w:rFonts w:eastAsia="Calibri"/>
        </w:rPr>
        <w:t>years and over (</w:t>
      </w:r>
      <w:r w:rsidR="00997220">
        <w:rPr>
          <w:rFonts w:eastAsia="Calibri"/>
        </w:rPr>
        <w:t>72.2</w:t>
      </w:r>
      <w:r>
        <w:rPr>
          <w:rFonts w:eastAsia="Calibri"/>
        </w:rPr>
        <w:t xml:space="preserve">%). These findings are consistent with those from 2011 and 2015. </w:t>
      </w:r>
    </w:p>
    <w:p w14:paraId="47C12AB3" w14:textId="4FA4EEEA" w:rsidR="00EE41ED" w:rsidRPr="00755D97" w:rsidRDefault="00EE41ED" w:rsidP="00BD77E3">
      <w:pPr>
        <w:keepNext/>
        <w:keepLines/>
        <w:spacing w:before="480" w:after="60"/>
        <w:outlineLvl w:val="1"/>
        <w:rPr>
          <w:rFonts w:ascii="Roboto-Bold" w:eastAsia="Yu Gothic Light" w:hAnsi="Roboto-Bold" w:cs="Times New Roman"/>
          <w:color w:val="008143"/>
          <w:sz w:val="26"/>
          <w:szCs w:val="26"/>
        </w:rPr>
      </w:pPr>
      <w:bookmarkStart w:id="163" w:name="_Toc169018582"/>
      <w:bookmarkStart w:id="164" w:name="_Toc169189034"/>
      <w:bookmarkStart w:id="165" w:name="_Toc169692836"/>
      <w:r w:rsidRPr="00755D97">
        <w:rPr>
          <w:rFonts w:ascii="Roboto-Bold" w:eastAsia="Yu Gothic Light" w:hAnsi="Roboto-Bold" w:cs="Times New Roman"/>
          <w:color w:val="008143"/>
          <w:sz w:val="26"/>
          <w:szCs w:val="26"/>
        </w:rPr>
        <w:t>Technical information</w:t>
      </w:r>
      <w:bookmarkEnd w:id="163"/>
      <w:bookmarkEnd w:id="164"/>
      <w:bookmarkEnd w:id="165"/>
    </w:p>
    <w:p w14:paraId="588FF589" w14:textId="77777777" w:rsidR="00EE41ED" w:rsidRDefault="00EE41ED" w:rsidP="00EE41ED">
      <w:pPr>
        <w:keepNext/>
        <w:keepLines/>
        <w:spacing w:before="120" w:after="60"/>
        <w:outlineLvl w:val="2"/>
        <w:rPr>
          <w:rFonts w:ascii="Roboto" w:eastAsia="Yu Gothic Light" w:hAnsi="Roboto" w:cs="Times New Roman"/>
          <w:b/>
          <w:color w:val="545A60"/>
          <w:sz w:val="21"/>
        </w:rPr>
      </w:pPr>
      <w:bookmarkStart w:id="166" w:name="_Toc169018583"/>
      <w:bookmarkStart w:id="167" w:name="_Toc169189035"/>
      <w:bookmarkStart w:id="168" w:name="_Toc169692837"/>
      <w:r w:rsidRPr="00755D97">
        <w:rPr>
          <w:rFonts w:ascii="Roboto" w:eastAsia="Yu Gothic Light" w:hAnsi="Roboto" w:cs="Times New Roman"/>
          <w:b/>
          <w:color w:val="545A60"/>
          <w:sz w:val="21"/>
        </w:rPr>
        <w:t>Source</w:t>
      </w:r>
      <w:bookmarkEnd w:id="166"/>
      <w:bookmarkEnd w:id="167"/>
      <w:bookmarkEnd w:id="168"/>
    </w:p>
    <w:p w14:paraId="25CB60D0" w14:textId="048EB8CB" w:rsidR="00EE41ED" w:rsidRPr="002C3C5F" w:rsidRDefault="00EE41ED" w:rsidP="00C625D7">
      <w:pPr>
        <w:rPr>
          <w:rFonts w:eastAsia="Calibri"/>
        </w:rPr>
      </w:pPr>
      <w:r w:rsidRPr="002C3C5F">
        <w:rPr>
          <w:rFonts w:eastAsia="Calibri"/>
        </w:rPr>
        <w:t xml:space="preserve">Melbourne Institute </w:t>
      </w:r>
      <w:r w:rsidR="004B35B7">
        <w:rPr>
          <w:rFonts w:eastAsia="Calibri"/>
        </w:rPr>
        <w:t xml:space="preserve">of Applied Economic and Social Research. </w:t>
      </w:r>
      <w:r w:rsidRPr="007A18AE">
        <w:rPr>
          <w:rFonts w:eastAsia="Calibri"/>
          <w:i/>
        </w:rPr>
        <w:t>The Household, Income and Labour Dynamics in Australia Survey (HILDA), Wave 8, 12 and 17</w:t>
      </w:r>
    </w:p>
    <w:p w14:paraId="064DCF74" w14:textId="77777777" w:rsidR="00EE41ED" w:rsidRDefault="00EE41ED" w:rsidP="00EE41ED">
      <w:pPr>
        <w:keepNext/>
        <w:keepLines/>
        <w:spacing w:before="120" w:after="60"/>
        <w:outlineLvl w:val="2"/>
        <w:rPr>
          <w:rFonts w:ascii="Roboto" w:eastAsia="Yu Gothic Light" w:hAnsi="Roboto" w:cs="Times New Roman"/>
          <w:b/>
          <w:color w:val="545A60"/>
          <w:sz w:val="21"/>
        </w:rPr>
      </w:pPr>
      <w:bookmarkStart w:id="169" w:name="_Toc169018584"/>
      <w:bookmarkStart w:id="170" w:name="_Toc169189036"/>
      <w:bookmarkStart w:id="171" w:name="_Toc169692838"/>
      <w:r w:rsidRPr="00755D97">
        <w:rPr>
          <w:rFonts w:ascii="Roboto" w:eastAsia="Yu Gothic Light" w:hAnsi="Roboto" w:cs="Times New Roman"/>
          <w:b/>
          <w:color w:val="545A60"/>
          <w:sz w:val="21"/>
        </w:rPr>
        <w:t>Frequency of data collection</w:t>
      </w:r>
      <w:bookmarkEnd w:id="169"/>
      <w:bookmarkEnd w:id="170"/>
      <w:bookmarkEnd w:id="171"/>
    </w:p>
    <w:p w14:paraId="721C37FB" w14:textId="77777777" w:rsidR="00EE41ED" w:rsidRPr="00C625D7" w:rsidRDefault="00EE41ED" w:rsidP="00C625D7">
      <w:pPr>
        <w:rPr>
          <w:rFonts w:eastAsia="Calibri"/>
        </w:rPr>
      </w:pPr>
      <w:r w:rsidRPr="002C3C5F">
        <w:rPr>
          <w:rFonts w:eastAsia="Calibri"/>
        </w:rPr>
        <w:t>Annually. Relevant items only collected every 4 years</w:t>
      </w:r>
      <w:r w:rsidRPr="00C625D7">
        <w:rPr>
          <w:rFonts w:eastAsia="Calibri"/>
        </w:rPr>
        <w:t xml:space="preserve">. </w:t>
      </w:r>
    </w:p>
    <w:p w14:paraId="3F9C83C8" w14:textId="77777777" w:rsidR="00EE41ED" w:rsidRDefault="00EE41ED" w:rsidP="00EE41ED">
      <w:pPr>
        <w:keepNext/>
        <w:keepLines/>
        <w:spacing w:before="120" w:after="60"/>
        <w:outlineLvl w:val="2"/>
        <w:rPr>
          <w:rFonts w:ascii="Roboto" w:eastAsia="Yu Gothic Light" w:hAnsi="Roboto" w:cs="Times New Roman"/>
          <w:b/>
          <w:color w:val="545A60"/>
          <w:sz w:val="21"/>
        </w:rPr>
      </w:pPr>
      <w:bookmarkStart w:id="172" w:name="_Toc169018585"/>
      <w:bookmarkStart w:id="173" w:name="_Toc169189037"/>
      <w:bookmarkStart w:id="174" w:name="_Toc169692839"/>
      <w:r w:rsidRPr="00755D97">
        <w:rPr>
          <w:rFonts w:ascii="Roboto" w:eastAsia="Yu Gothic Light" w:hAnsi="Roboto" w:cs="Times New Roman"/>
          <w:b/>
          <w:color w:val="545A60"/>
          <w:sz w:val="21"/>
        </w:rPr>
        <w:lastRenderedPageBreak/>
        <w:t>Limitations</w:t>
      </w:r>
      <w:bookmarkEnd w:id="172"/>
      <w:bookmarkEnd w:id="173"/>
      <w:bookmarkEnd w:id="174"/>
    </w:p>
    <w:p w14:paraId="66564D7D" w14:textId="36C3C9E7" w:rsidR="00F9232A" w:rsidRPr="00DA3E37" w:rsidRDefault="007D74B0" w:rsidP="00DA3E37">
      <w:pPr>
        <w:pStyle w:val="ListParagraph"/>
        <w:numPr>
          <w:ilvl w:val="0"/>
          <w:numId w:val="50"/>
        </w:numPr>
        <w:rPr>
          <w:rFonts w:eastAsia="Calibri"/>
          <w:szCs w:val="18"/>
        </w:rPr>
      </w:pPr>
      <w:r w:rsidRPr="00DA3E37">
        <w:rPr>
          <w:rFonts w:eastAsia="Calibri"/>
          <w:szCs w:val="18"/>
        </w:rPr>
        <w:t>D</w:t>
      </w:r>
      <w:r w:rsidR="00EE41ED" w:rsidRPr="00DA3E37">
        <w:rPr>
          <w:rFonts w:eastAsia="Calibri"/>
          <w:szCs w:val="18"/>
        </w:rPr>
        <w:t>ata for this indicator</w:t>
      </w:r>
      <w:r w:rsidRPr="00DA3E37">
        <w:rPr>
          <w:rFonts w:eastAsia="Calibri"/>
          <w:szCs w:val="18"/>
        </w:rPr>
        <w:t xml:space="preserve"> relating to </w:t>
      </w:r>
      <w:r w:rsidR="00EE41ED" w:rsidRPr="00DA3E37">
        <w:rPr>
          <w:rFonts w:eastAsia="Calibri"/>
          <w:szCs w:val="18"/>
        </w:rPr>
        <w:t xml:space="preserve">people with a long-term mental health condition </w:t>
      </w:r>
      <w:r w:rsidR="00706CD0" w:rsidRPr="00DA3E37">
        <w:rPr>
          <w:rFonts w:eastAsia="Calibri"/>
          <w:szCs w:val="18"/>
        </w:rPr>
        <w:t>have</w:t>
      </w:r>
      <w:r w:rsidR="00EE41ED" w:rsidRPr="00DA3E37">
        <w:rPr>
          <w:rFonts w:eastAsia="Calibri"/>
          <w:szCs w:val="18"/>
        </w:rPr>
        <w:t xml:space="preserve"> relative standard error sizes that </w:t>
      </w:r>
      <w:r w:rsidR="002A65C7" w:rsidRPr="00DA3E37">
        <w:rPr>
          <w:rFonts w:eastAsia="Calibri"/>
          <w:szCs w:val="18"/>
        </w:rPr>
        <w:t>i</w:t>
      </w:r>
      <w:r w:rsidR="007A5FBB" w:rsidRPr="00DA3E37">
        <w:rPr>
          <w:rFonts w:eastAsia="Calibri"/>
          <w:szCs w:val="18"/>
        </w:rPr>
        <w:t>n</w:t>
      </w:r>
      <w:r w:rsidR="002A65C7" w:rsidRPr="00DA3E37">
        <w:rPr>
          <w:rFonts w:eastAsia="Calibri"/>
          <w:szCs w:val="18"/>
        </w:rPr>
        <w:t xml:space="preserve"> some cases </w:t>
      </w:r>
      <w:r w:rsidR="00EE41ED" w:rsidRPr="00DA3E37">
        <w:rPr>
          <w:rFonts w:eastAsia="Calibri"/>
          <w:szCs w:val="18"/>
        </w:rPr>
        <w:t>makes it difficult to detect statistical differences between groups</w:t>
      </w:r>
      <w:r w:rsidR="008E27E8" w:rsidRPr="00DA3E37">
        <w:rPr>
          <w:rFonts w:eastAsia="Calibri"/>
          <w:szCs w:val="18"/>
        </w:rPr>
        <w:t xml:space="preserve"> </w:t>
      </w:r>
      <w:r w:rsidR="00846201" w:rsidRPr="00DA3E37">
        <w:rPr>
          <w:rFonts w:eastAsia="Calibri"/>
          <w:szCs w:val="18"/>
        </w:rPr>
        <w:t>(</w:t>
      </w:r>
      <w:proofErr w:type="gramStart"/>
      <w:r w:rsidR="00846201" w:rsidRPr="00DA3E37">
        <w:rPr>
          <w:rFonts w:eastAsia="Calibri"/>
          <w:szCs w:val="18"/>
        </w:rPr>
        <w:t>e.g.</w:t>
      </w:r>
      <w:proofErr w:type="gramEnd"/>
      <w:r w:rsidR="00846201" w:rsidRPr="00DA3E37">
        <w:rPr>
          <w:rFonts w:eastAsia="Calibri"/>
          <w:szCs w:val="18"/>
        </w:rPr>
        <w:t xml:space="preserve"> some age groups)</w:t>
      </w:r>
      <w:r w:rsidR="00EE41ED" w:rsidRPr="00DA3E37">
        <w:rPr>
          <w:rFonts w:eastAsia="Calibri"/>
          <w:szCs w:val="18"/>
        </w:rPr>
        <w:t xml:space="preserve">. </w:t>
      </w:r>
    </w:p>
    <w:p w14:paraId="69CA2B7A" w14:textId="2BAFD000" w:rsidR="00A14408" w:rsidRPr="00A0524F" w:rsidRDefault="005E472F" w:rsidP="00A0524F">
      <w:pPr>
        <w:pStyle w:val="ListParagraph"/>
        <w:numPr>
          <w:ilvl w:val="0"/>
          <w:numId w:val="50"/>
        </w:numPr>
        <w:rPr>
          <w:rFonts w:eastAsia="Calibri"/>
          <w:szCs w:val="18"/>
        </w:rPr>
      </w:pPr>
      <w:r w:rsidRPr="00DA3E37">
        <w:rPr>
          <w:rFonts w:eastAsia="Calibri"/>
          <w:szCs w:val="18"/>
        </w:rPr>
        <w:t xml:space="preserve">The HILDA methodology has a number of limitations around survey attrition, response rates, questionnaire design and data collection for 'Sex' </w:t>
      </w:r>
      <w:r w:rsidR="001A077C" w:rsidRPr="00DA3E37">
        <w:rPr>
          <w:rFonts w:eastAsia="Calibri"/>
          <w:szCs w:val="18"/>
        </w:rPr>
        <w:t>(f</w:t>
      </w:r>
      <w:r w:rsidRPr="00DA3E37">
        <w:rPr>
          <w:rFonts w:eastAsia="Calibri"/>
          <w:szCs w:val="18"/>
        </w:rPr>
        <w:t>or further information, see the</w:t>
      </w:r>
      <w:r w:rsidR="00A0524F">
        <w:rPr>
          <w:rFonts w:eastAsia="Calibri"/>
          <w:szCs w:val="18"/>
        </w:rPr>
        <w:t xml:space="preserve"> </w:t>
      </w:r>
      <w:hyperlink r:id="rId46" w:history="1">
        <w:r w:rsidR="00A0524F" w:rsidRPr="00846E81">
          <w:rPr>
            <w:rStyle w:val="Hyperlink"/>
            <w:rFonts w:eastAsia="Calibri"/>
          </w:rPr>
          <w:t>HILDA Survey User Manual</w:t>
        </w:r>
      </w:hyperlink>
      <w:r w:rsidR="001A077C" w:rsidRPr="00A0524F">
        <w:rPr>
          <w:rFonts w:eastAsia="Calibri"/>
          <w:szCs w:val="18"/>
        </w:rPr>
        <w:t>).</w:t>
      </w:r>
      <w:r w:rsidRPr="00A0524F">
        <w:rPr>
          <w:rFonts w:eastAsia="Calibri"/>
          <w:szCs w:val="18"/>
        </w:rPr>
        <w:t xml:space="preserve"> These do not, however, significantly impact the data and analyses presented for this indicator.</w:t>
      </w:r>
      <w:r w:rsidRPr="00A0524F" w:rsidDel="005E472F">
        <w:rPr>
          <w:rFonts w:eastAsia="Calibri"/>
          <w:szCs w:val="18"/>
        </w:rPr>
        <w:t xml:space="preserve"> </w:t>
      </w:r>
    </w:p>
    <w:p w14:paraId="1DE865ED" w14:textId="77777777" w:rsidR="00EE41ED" w:rsidRDefault="00EE41ED" w:rsidP="00D50DDA">
      <w:pPr>
        <w:spacing w:before="120" w:after="60"/>
        <w:rPr>
          <w:rFonts w:ascii="Roboto" w:eastAsia="Yu Gothic Light" w:hAnsi="Roboto" w:cs="Times New Roman"/>
          <w:b/>
          <w:color w:val="545A60"/>
          <w:sz w:val="21"/>
        </w:rPr>
      </w:pPr>
      <w:bookmarkStart w:id="175" w:name="_Toc169018586"/>
      <w:bookmarkStart w:id="176" w:name="_Toc169189038"/>
      <w:bookmarkStart w:id="177" w:name="_Toc169692840"/>
      <w:r w:rsidRPr="00755D97">
        <w:rPr>
          <w:rFonts w:ascii="Roboto" w:eastAsia="Yu Gothic Light" w:hAnsi="Roboto" w:cs="Times New Roman"/>
          <w:b/>
          <w:color w:val="545A60"/>
          <w:sz w:val="21"/>
        </w:rPr>
        <w:t>Additional notes</w:t>
      </w:r>
      <w:bookmarkEnd w:id="175"/>
      <w:bookmarkEnd w:id="176"/>
      <w:bookmarkEnd w:id="177"/>
    </w:p>
    <w:p w14:paraId="5CDD09D4" w14:textId="0D78A69B" w:rsidR="005B4E7A" w:rsidRPr="00A0524F" w:rsidRDefault="00EE41ED" w:rsidP="00A0524F">
      <w:pPr>
        <w:pStyle w:val="ListParagraph"/>
        <w:numPr>
          <w:ilvl w:val="0"/>
          <w:numId w:val="50"/>
        </w:numPr>
        <w:rPr>
          <w:rFonts w:eastAsia="Calibri"/>
          <w:szCs w:val="18"/>
        </w:rPr>
      </w:pPr>
      <w:r w:rsidRPr="00A0524F">
        <w:rPr>
          <w:rFonts w:eastAsia="Calibri"/>
          <w:szCs w:val="18"/>
        </w:rPr>
        <w:t xml:space="preserve">Sense of control is calculated through seven items from the </w:t>
      </w:r>
      <w:proofErr w:type="spellStart"/>
      <w:r w:rsidRPr="00A0524F">
        <w:rPr>
          <w:rFonts w:eastAsia="Calibri"/>
          <w:szCs w:val="18"/>
        </w:rPr>
        <w:t>Pearlin</w:t>
      </w:r>
      <w:proofErr w:type="spellEnd"/>
      <w:r w:rsidRPr="00A0524F">
        <w:rPr>
          <w:rFonts w:eastAsia="Calibri"/>
          <w:szCs w:val="18"/>
        </w:rPr>
        <w:t xml:space="preserve"> and Schooler’s (1978)</w:t>
      </w:r>
      <w:r w:rsidRPr="00A0524F">
        <w:rPr>
          <w:rFonts w:eastAsia="Calibri"/>
          <w:szCs w:val="18"/>
        </w:rPr>
        <w:footnoteReference w:id="7"/>
      </w:r>
      <w:r w:rsidRPr="00A0524F">
        <w:rPr>
          <w:rFonts w:eastAsia="Calibri"/>
          <w:szCs w:val="18"/>
        </w:rPr>
        <w:t xml:space="preserve"> Mastery Scale, which measures the “extent to which one regards one’s life chances as being under one’s own control”. </w:t>
      </w:r>
      <w:r w:rsidR="00582B1E" w:rsidRPr="00A0524F">
        <w:rPr>
          <w:rFonts w:eastAsia="Calibri"/>
          <w:szCs w:val="18"/>
        </w:rPr>
        <w:t>I</w:t>
      </w:r>
      <w:r w:rsidRPr="00A0524F">
        <w:rPr>
          <w:rFonts w:eastAsia="Calibri"/>
          <w:szCs w:val="18"/>
        </w:rPr>
        <w:t xml:space="preserve">ndividuals indicate how much they agree with the statements on a scale from 1 (’strongly disagree’) to 7 (‘strongly agree’). The </w:t>
      </w:r>
      <w:r w:rsidR="00D66645" w:rsidRPr="00A0524F">
        <w:rPr>
          <w:rFonts w:eastAsia="Calibri"/>
          <w:szCs w:val="18"/>
        </w:rPr>
        <w:t>Mastery S</w:t>
      </w:r>
      <w:r w:rsidRPr="00A0524F">
        <w:rPr>
          <w:rFonts w:eastAsia="Calibri"/>
          <w:szCs w:val="18"/>
        </w:rPr>
        <w:t xml:space="preserve">cale includes </w:t>
      </w:r>
      <w:r w:rsidR="00C241C3" w:rsidRPr="00A0524F">
        <w:rPr>
          <w:rFonts w:eastAsia="Calibri"/>
          <w:szCs w:val="18"/>
        </w:rPr>
        <w:t xml:space="preserve">seven </w:t>
      </w:r>
      <w:r w:rsidR="00775A05" w:rsidRPr="00A0524F">
        <w:rPr>
          <w:rFonts w:eastAsia="Calibri"/>
          <w:szCs w:val="18"/>
        </w:rPr>
        <w:t>items</w:t>
      </w:r>
      <w:r w:rsidR="00C241C3" w:rsidRPr="00A0524F">
        <w:rPr>
          <w:rFonts w:eastAsia="Calibri"/>
          <w:szCs w:val="18"/>
        </w:rPr>
        <w:t xml:space="preserve"> – </w:t>
      </w:r>
      <w:r w:rsidR="00C625D7" w:rsidRPr="00A0524F">
        <w:rPr>
          <w:rFonts w:eastAsia="Calibri"/>
          <w:szCs w:val="18"/>
        </w:rPr>
        <w:t xml:space="preserve">two </w:t>
      </w:r>
      <w:r w:rsidR="00C625D7" w:rsidRPr="00A0524F" w:rsidDel="0096206F">
        <w:rPr>
          <w:rFonts w:eastAsia="Calibri"/>
          <w:szCs w:val="18"/>
        </w:rPr>
        <w:t>items</w:t>
      </w:r>
      <w:r w:rsidRPr="00A0524F">
        <w:rPr>
          <w:rFonts w:eastAsia="Calibri"/>
          <w:szCs w:val="18"/>
        </w:rPr>
        <w:t xml:space="preserve"> measuring personal mastery and five items measuring perceived constraints. The perceived constraint items are reverse-</w:t>
      </w:r>
      <w:proofErr w:type="gramStart"/>
      <w:r w:rsidRPr="00A0524F">
        <w:rPr>
          <w:rFonts w:eastAsia="Calibri"/>
          <w:szCs w:val="18"/>
        </w:rPr>
        <w:t>scored</w:t>
      </w:r>
      <w:proofErr w:type="gramEnd"/>
      <w:r w:rsidRPr="00A0524F">
        <w:rPr>
          <w:rFonts w:eastAsia="Calibri"/>
          <w:szCs w:val="18"/>
        </w:rPr>
        <w:t xml:space="preserve"> and the mean of the items is computed for respondents who have valid </w:t>
      </w:r>
      <w:r w:rsidR="00EA65D8" w:rsidRPr="00A0524F">
        <w:rPr>
          <w:rFonts w:eastAsia="Calibri"/>
          <w:szCs w:val="18"/>
        </w:rPr>
        <w:t xml:space="preserve">responses </w:t>
      </w:r>
      <w:r w:rsidRPr="00A0524F">
        <w:rPr>
          <w:rFonts w:eastAsia="Calibri"/>
          <w:szCs w:val="18"/>
        </w:rPr>
        <w:t>for all of the items on the scale.</w:t>
      </w:r>
      <w:r w:rsidR="00CA6E3C" w:rsidRPr="00A0524F">
        <w:rPr>
          <w:szCs w:val="18"/>
        </w:rPr>
        <w:footnoteReference w:id="8"/>
      </w:r>
      <w:r w:rsidRPr="00A0524F">
        <w:rPr>
          <w:rFonts w:eastAsia="Calibri"/>
          <w:szCs w:val="18"/>
        </w:rPr>
        <w:t xml:space="preserve"> A higher score indicates a higher sense of control.</w:t>
      </w:r>
    </w:p>
    <w:p w14:paraId="7CAB8FEA" w14:textId="77777777" w:rsidR="00EE41ED" w:rsidRPr="00A0524F" w:rsidRDefault="00EE41ED" w:rsidP="00A0524F">
      <w:pPr>
        <w:pStyle w:val="ListParagraph"/>
        <w:numPr>
          <w:ilvl w:val="0"/>
          <w:numId w:val="50"/>
        </w:numPr>
        <w:rPr>
          <w:rFonts w:eastAsia="Calibri"/>
          <w:szCs w:val="18"/>
        </w:rPr>
      </w:pPr>
      <w:r w:rsidRPr="00A0524F">
        <w:rPr>
          <w:rFonts w:eastAsia="Calibri"/>
          <w:szCs w:val="18"/>
        </w:rPr>
        <w:t>For the purposes of this indicator, individuals who score higher than 4.5 fall under the category of ‘High sense of control’, while people who score lower to or equal to 4.5 fall under the category ‘Low sense of control’.</w:t>
      </w:r>
    </w:p>
    <w:p w14:paraId="5CBD0748" w14:textId="77777777" w:rsidR="00EE41ED" w:rsidRPr="00A0524F" w:rsidRDefault="00EE41ED" w:rsidP="00A0524F">
      <w:pPr>
        <w:pStyle w:val="ListParagraph"/>
        <w:numPr>
          <w:ilvl w:val="0"/>
          <w:numId w:val="50"/>
        </w:numPr>
        <w:rPr>
          <w:rFonts w:eastAsia="Calibri"/>
          <w:szCs w:val="18"/>
        </w:rPr>
      </w:pPr>
      <w:r w:rsidRPr="00A0524F">
        <w:rPr>
          <w:rFonts w:eastAsia="Calibri"/>
          <w:szCs w:val="18"/>
        </w:rPr>
        <w:t xml:space="preserve">In the HILDA survey, the term ‘long-term health condition’ is used to describe any long-term health condition, </w:t>
      </w:r>
      <w:proofErr w:type="gramStart"/>
      <w:r w:rsidRPr="00A0524F">
        <w:rPr>
          <w:rFonts w:eastAsia="Calibri"/>
          <w:szCs w:val="18"/>
        </w:rPr>
        <w:t>impairment</w:t>
      </w:r>
      <w:proofErr w:type="gramEnd"/>
      <w:r w:rsidRPr="00A0524F">
        <w:rPr>
          <w:rFonts w:eastAsia="Calibri"/>
          <w:szCs w:val="18"/>
        </w:rPr>
        <w:t xml:space="preserve"> or disability that a respondent says restricts them in their everyday activities, and which has lasted or is likely to last for six months or more. People with a long-term mental health condition refers to respondents who indicated they had a nervous or emotional condition that requires treatment and/or any mental illness that requires help or supervision.</w:t>
      </w:r>
    </w:p>
    <w:p w14:paraId="5ACD37FC" w14:textId="77777777" w:rsidR="00EE41ED" w:rsidRPr="00A0524F" w:rsidRDefault="00EE41ED" w:rsidP="00A0524F">
      <w:pPr>
        <w:pStyle w:val="ListParagraph"/>
        <w:numPr>
          <w:ilvl w:val="0"/>
          <w:numId w:val="50"/>
        </w:numPr>
        <w:rPr>
          <w:rFonts w:eastAsia="Calibri"/>
          <w:szCs w:val="18"/>
        </w:rPr>
      </w:pPr>
      <w:r w:rsidRPr="00A0524F">
        <w:rPr>
          <w:rFonts w:eastAsia="Calibri"/>
          <w:szCs w:val="18"/>
        </w:rPr>
        <w:t>Some proportions may not add up to 100% due to number perturbation implemented by the data source owner.</w:t>
      </w:r>
    </w:p>
    <w:p w14:paraId="0DE9AECB" w14:textId="77777777" w:rsidR="00EE41ED" w:rsidRDefault="00EE41ED" w:rsidP="00EE41ED">
      <w:pPr>
        <w:rPr>
          <w:rFonts w:eastAsia="Calibri"/>
        </w:rPr>
      </w:pPr>
      <w:r>
        <w:rPr>
          <w:rFonts w:eastAsia="Calibri"/>
        </w:rPr>
        <w:br w:type="page"/>
      </w:r>
    </w:p>
    <w:p w14:paraId="58E358F8" w14:textId="77777777" w:rsidR="00EE41ED" w:rsidRPr="00755D97" w:rsidRDefault="00EE41ED" w:rsidP="00D15CD9">
      <w:pPr>
        <w:pStyle w:val="Heading1"/>
        <w:rPr>
          <w:rFonts w:eastAsia="Yu Gothic Light" w:cs="Times New Roman"/>
        </w:rPr>
      </w:pPr>
      <w:bookmarkStart w:id="178" w:name="_Toc169692841"/>
      <w:bookmarkStart w:id="179" w:name="_Toc169868016"/>
      <w:r>
        <w:rPr>
          <w:rFonts w:eastAsia="Yu Gothic Light"/>
        </w:rPr>
        <w:lastRenderedPageBreak/>
        <w:t>CI 5</w:t>
      </w:r>
      <w:r w:rsidRPr="00755D97">
        <w:rPr>
          <w:rFonts w:eastAsia="Yu Gothic Light" w:cs="Times New Roman"/>
        </w:rPr>
        <w:t>: Proportion of children developmentally vulnerable</w:t>
      </w:r>
      <w:bookmarkEnd w:id="178"/>
      <w:bookmarkEnd w:id="179"/>
      <w:r w:rsidRPr="00755D97">
        <w:rPr>
          <w:rFonts w:eastAsia="Yu Gothic Light" w:cs="Times New Roman"/>
        </w:rPr>
        <w:t xml:space="preserve"> </w:t>
      </w:r>
    </w:p>
    <w:p w14:paraId="24D8F6EA" w14:textId="77777777" w:rsidR="00EE41ED" w:rsidRPr="00755D97" w:rsidRDefault="00EE41ED" w:rsidP="00EE41ED">
      <w:pPr>
        <w:keepNext/>
        <w:keepLines/>
        <w:spacing w:before="60" w:after="60"/>
        <w:outlineLvl w:val="1"/>
        <w:rPr>
          <w:rFonts w:ascii="Roboto-Bold" w:eastAsia="Yu Gothic Light" w:hAnsi="Roboto-Bold" w:cs="Times New Roman"/>
          <w:color w:val="008143"/>
          <w:sz w:val="26"/>
          <w:szCs w:val="26"/>
        </w:rPr>
      </w:pPr>
      <w:bookmarkStart w:id="180" w:name="_Toc169018588"/>
      <w:bookmarkStart w:id="181" w:name="_Toc169189040"/>
      <w:bookmarkStart w:id="182" w:name="_Toc169692842"/>
      <w:r w:rsidRPr="00755D97">
        <w:rPr>
          <w:rFonts w:ascii="Roboto-Bold" w:eastAsia="Yu Gothic Light" w:hAnsi="Roboto-Bold" w:cs="Times New Roman"/>
          <w:color w:val="008143"/>
          <w:sz w:val="26"/>
          <w:szCs w:val="26"/>
        </w:rPr>
        <w:t>What we are tracking (and why)</w:t>
      </w:r>
      <w:bookmarkEnd w:id="180"/>
      <w:bookmarkEnd w:id="181"/>
      <w:bookmarkEnd w:id="182"/>
    </w:p>
    <w:p w14:paraId="32853A29" w14:textId="77777777" w:rsidR="00EE41ED" w:rsidRPr="00755D97" w:rsidRDefault="00EE41ED" w:rsidP="00EE41ED">
      <w:pPr>
        <w:tabs>
          <w:tab w:val="num" w:pos="720"/>
        </w:tabs>
        <w:rPr>
          <w:rFonts w:eastAsia="Calibri"/>
          <w:lang w:val="en-AU"/>
        </w:rPr>
      </w:pPr>
      <w:r w:rsidRPr="00C625D7">
        <w:rPr>
          <w:rFonts w:eastAsia="Calibri"/>
          <w:lang w:val="en-AU"/>
        </w:rPr>
        <w:t xml:space="preserve">This indicator tracks the proportion of children considered developmentally vulnerable in the Australian Early Development Census (AEDC). In the AEDC, children are designated a score across five domains of early childhood development: physical health and wellbeing; social competence; emotional maturity; language and cognitive skills; and communication skills. </w:t>
      </w:r>
      <w:r w:rsidRPr="00755D97">
        <w:rPr>
          <w:rFonts w:eastAsia="Calibri"/>
          <w:lang w:val="en-AU"/>
        </w:rPr>
        <w:t>This indicator</w:t>
      </w:r>
      <w:r w:rsidRPr="00755D97" w:rsidDel="009205C5">
        <w:rPr>
          <w:rFonts w:eastAsia="Calibri"/>
          <w:lang w:val="en-AU"/>
        </w:rPr>
        <w:t xml:space="preserve"> </w:t>
      </w:r>
      <w:r>
        <w:rPr>
          <w:rFonts w:eastAsia="Calibri"/>
          <w:lang w:val="en-AU"/>
        </w:rPr>
        <w:t>examines</w:t>
      </w:r>
      <w:r w:rsidRPr="00755D97">
        <w:rPr>
          <w:rFonts w:eastAsia="Calibri"/>
          <w:lang w:val="en-AU"/>
        </w:rPr>
        <w:t xml:space="preserve"> the proportion of children considered vulnerable </w:t>
      </w:r>
      <w:r>
        <w:rPr>
          <w:rFonts w:eastAsia="Calibri"/>
          <w:lang w:val="en-AU"/>
        </w:rPr>
        <w:t>on</w:t>
      </w:r>
      <w:r w:rsidRPr="00755D97">
        <w:rPr>
          <w:rFonts w:eastAsia="Calibri"/>
          <w:lang w:val="en-AU"/>
        </w:rPr>
        <w:t xml:space="preserve"> one </w:t>
      </w:r>
      <w:r>
        <w:rPr>
          <w:rFonts w:eastAsia="Calibri"/>
          <w:lang w:val="en-AU"/>
        </w:rPr>
        <w:t>or</w:t>
      </w:r>
      <w:r w:rsidRPr="00755D97">
        <w:rPr>
          <w:rFonts w:eastAsia="Calibri"/>
          <w:lang w:val="en-AU"/>
        </w:rPr>
        <w:t xml:space="preserve"> more of the domains</w:t>
      </w:r>
      <w:r>
        <w:rPr>
          <w:rFonts w:eastAsia="Calibri"/>
          <w:lang w:val="en-AU"/>
        </w:rPr>
        <w:t xml:space="preserve"> and</w:t>
      </w:r>
      <w:r w:rsidRPr="00755D97">
        <w:rPr>
          <w:rFonts w:eastAsia="Calibri"/>
          <w:lang w:val="en-AU"/>
        </w:rPr>
        <w:t xml:space="preserve"> </w:t>
      </w:r>
      <w:r>
        <w:rPr>
          <w:rFonts w:eastAsia="Calibri"/>
          <w:lang w:val="en-AU"/>
        </w:rPr>
        <w:t xml:space="preserve">on </w:t>
      </w:r>
      <w:r w:rsidRPr="00755D97">
        <w:rPr>
          <w:rFonts w:eastAsia="Calibri"/>
          <w:lang w:val="en-AU"/>
        </w:rPr>
        <w:t>two or more of the domain</w:t>
      </w:r>
      <w:r>
        <w:rPr>
          <w:rFonts w:eastAsia="Calibri"/>
          <w:lang w:val="en-AU"/>
        </w:rPr>
        <w:t>s</w:t>
      </w:r>
      <w:r w:rsidRPr="00755D97">
        <w:rPr>
          <w:rFonts w:eastAsia="Calibri"/>
          <w:lang w:val="en-AU"/>
        </w:rPr>
        <w:t>.</w:t>
      </w:r>
    </w:p>
    <w:p w14:paraId="3C1517DA" w14:textId="77777777" w:rsidR="00EE41ED" w:rsidRPr="00755D97" w:rsidRDefault="00EE41ED" w:rsidP="00EE41ED">
      <w:pPr>
        <w:tabs>
          <w:tab w:val="num" w:pos="720"/>
        </w:tabs>
        <w:rPr>
          <w:rFonts w:eastAsia="Calibri"/>
          <w:lang w:val="en-AU"/>
        </w:rPr>
      </w:pPr>
      <w:r>
        <w:rPr>
          <w:rFonts w:eastAsia="Calibri"/>
          <w:lang w:val="en-AU"/>
        </w:rPr>
        <w:t>Children</w:t>
      </w:r>
      <w:r w:rsidRPr="00755D97">
        <w:rPr>
          <w:rFonts w:eastAsia="Calibri"/>
          <w:lang w:val="en-AU"/>
        </w:rPr>
        <w:t xml:space="preserve"> who </w:t>
      </w:r>
      <w:proofErr w:type="gramStart"/>
      <w:r w:rsidRPr="00755D97">
        <w:rPr>
          <w:rFonts w:eastAsia="Calibri"/>
          <w:lang w:val="en-AU"/>
        </w:rPr>
        <w:t>lag behind</w:t>
      </w:r>
      <w:proofErr w:type="gramEnd"/>
      <w:r w:rsidRPr="00755D97">
        <w:rPr>
          <w:rFonts w:eastAsia="Calibri"/>
          <w:lang w:val="en-AU"/>
        </w:rPr>
        <w:t xml:space="preserve"> their peers during early school years may face significant difficulties completing their primary and secondary education, putting them at risk of poorer social, financial and health outcomes. </w:t>
      </w:r>
      <w:r>
        <w:rPr>
          <w:rFonts w:eastAsia="Calibri"/>
          <w:lang w:val="en-AU"/>
        </w:rPr>
        <w:t>Research also shows</w:t>
      </w:r>
      <w:r w:rsidRPr="00755D97">
        <w:rPr>
          <w:rFonts w:eastAsia="Calibri"/>
          <w:lang w:val="en-AU"/>
        </w:rPr>
        <w:t xml:space="preserve"> children who are developmentally vulnerable may face poorer mental health outcomes directly or indirectly</w:t>
      </w:r>
      <w:r>
        <w:rPr>
          <w:rFonts w:eastAsia="Calibri"/>
          <w:lang w:val="en-AU"/>
        </w:rPr>
        <w:t>.</w:t>
      </w:r>
      <w:r>
        <w:rPr>
          <w:rStyle w:val="FootnoteReference"/>
          <w:rFonts w:eastAsia="Calibri"/>
          <w:lang w:val="en-AU"/>
        </w:rPr>
        <w:footnoteReference w:id="9"/>
      </w:r>
      <w:r w:rsidRPr="00755D97">
        <w:rPr>
          <w:rFonts w:eastAsia="Calibri"/>
          <w:lang w:val="en-AU"/>
        </w:rPr>
        <w:t xml:space="preserve"> A </w:t>
      </w:r>
      <w:r>
        <w:rPr>
          <w:rFonts w:eastAsia="Calibri"/>
          <w:lang w:val="en-AU"/>
        </w:rPr>
        <w:t>reduction</w:t>
      </w:r>
      <w:r w:rsidRPr="00755D97">
        <w:rPr>
          <w:rFonts w:eastAsia="Calibri"/>
          <w:lang w:val="en-AU"/>
        </w:rPr>
        <w:t xml:space="preserve"> in the proportion of children who are developmentally vulnerable may </w:t>
      </w:r>
      <w:r>
        <w:rPr>
          <w:rFonts w:eastAsia="Calibri"/>
          <w:lang w:val="en-AU"/>
        </w:rPr>
        <w:t>forecast</w:t>
      </w:r>
      <w:r w:rsidRPr="00755D97">
        <w:rPr>
          <w:rFonts w:eastAsia="Calibri"/>
          <w:lang w:val="en-AU"/>
        </w:rPr>
        <w:t xml:space="preserve"> </w:t>
      </w:r>
      <w:r>
        <w:rPr>
          <w:rFonts w:eastAsia="Calibri"/>
          <w:lang w:val="en-AU"/>
        </w:rPr>
        <w:t>future</w:t>
      </w:r>
      <w:r w:rsidRPr="00755D97">
        <w:rPr>
          <w:rFonts w:eastAsia="Calibri"/>
          <w:lang w:val="en-AU"/>
        </w:rPr>
        <w:t xml:space="preserve"> </w:t>
      </w:r>
      <w:r>
        <w:rPr>
          <w:rFonts w:eastAsia="Calibri"/>
          <w:lang w:val="en-AU"/>
        </w:rPr>
        <w:t xml:space="preserve">improvements in </w:t>
      </w:r>
      <w:r w:rsidRPr="00755D97">
        <w:rPr>
          <w:rFonts w:eastAsia="Calibri"/>
          <w:lang w:val="en-AU"/>
        </w:rPr>
        <w:t xml:space="preserve">mental health </w:t>
      </w:r>
      <w:r>
        <w:rPr>
          <w:rFonts w:eastAsia="Calibri"/>
          <w:lang w:val="en-AU"/>
        </w:rPr>
        <w:t>and wellbeing</w:t>
      </w:r>
      <w:r w:rsidRPr="00755D97">
        <w:rPr>
          <w:rFonts w:eastAsia="Calibri"/>
          <w:lang w:val="en-AU"/>
        </w:rPr>
        <w:t xml:space="preserve"> outcome</w:t>
      </w:r>
      <w:r>
        <w:rPr>
          <w:rFonts w:eastAsia="Calibri"/>
          <w:lang w:val="en-AU"/>
        </w:rPr>
        <w:t>s</w:t>
      </w:r>
      <w:r w:rsidRPr="00755D97">
        <w:rPr>
          <w:rFonts w:eastAsia="Calibri"/>
          <w:lang w:val="en-AU"/>
        </w:rPr>
        <w:t xml:space="preserve"> as children transition into adulthood. </w:t>
      </w:r>
    </w:p>
    <w:p w14:paraId="1040E1B0" w14:textId="77777777" w:rsidR="00EE41ED" w:rsidRPr="00755D97" w:rsidRDefault="00EE41ED" w:rsidP="00EE41ED">
      <w:pPr>
        <w:keepNext/>
        <w:keepLines/>
        <w:spacing w:before="60" w:after="60"/>
        <w:outlineLvl w:val="1"/>
        <w:rPr>
          <w:rFonts w:ascii="Roboto-Bold" w:eastAsia="Yu Gothic Light" w:hAnsi="Roboto-Bold" w:cs="Times New Roman"/>
          <w:color w:val="008143"/>
          <w:sz w:val="26"/>
          <w:szCs w:val="26"/>
        </w:rPr>
      </w:pPr>
      <w:bookmarkStart w:id="183" w:name="_Toc169018589"/>
      <w:bookmarkStart w:id="184" w:name="_Toc169189041"/>
      <w:bookmarkStart w:id="185" w:name="_Toc169692843"/>
      <w:r w:rsidRPr="00755D97">
        <w:rPr>
          <w:rFonts w:ascii="Roboto-Bold" w:eastAsia="Yu Gothic Light" w:hAnsi="Roboto-Bold" w:cs="Times New Roman"/>
          <w:color w:val="008143"/>
          <w:sz w:val="26"/>
          <w:szCs w:val="26"/>
        </w:rPr>
        <w:t>What the data tells us</w:t>
      </w:r>
      <w:bookmarkEnd w:id="183"/>
      <w:bookmarkEnd w:id="184"/>
      <w:bookmarkEnd w:id="185"/>
    </w:p>
    <w:p w14:paraId="241EC819" w14:textId="77777777" w:rsidR="00EE41ED" w:rsidRPr="00755D97" w:rsidRDefault="00EE41ED" w:rsidP="00EE41ED">
      <w:pPr>
        <w:keepNext/>
        <w:keepLines/>
        <w:spacing w:before="60" w:after="60"/>
        <w:outlineLvl w:val="2"/>
        <w:rPr>
          <w:rFonts w:ascii="Roboto" w:eastAsia="Yu Gothic Light" w:hAnsi="Roboto" w:cs="Times New Roman"/>
          <w:b/>
          <w:color w:val="545A60"/>
          <w:sz w:val="21"/>
        </w:rPr>
      </w:pPr>
      <w:bookmarkStart w:id="186" w:name="_Toc169018590"/>
      <w:bookmarkStart w:id="187" w:name="_Toc169189042"/>
      <w:bookmarkStart w:id="188" w:name="_Toc169692844"/>
      <w:r w:rsidRPr="00755D97">
        <w:rPr>
          <w:rFonts w:ascii="Roboto" w:eastAsia="Yu Gothic Light" w:hAnsi="Roboto" w:cs="Times New Roman"/>
          <w:b/>
          <w:color w:val="545A60"/>
          <w:sz w:val="21"/>
        </w:rPr>
        <w:t xml:space="preserve">Indicator </w:t>
      </w:r>
      <w:r>
        <w:rPr>
          <w:rFonts w:ascii="Roboto" w:eastAsia="Yu Gothic Light" w:hAnsi="Roboto" w:cs="Times New Roman"/>
          <w:b/>
          <w:color w:val="545A60"/>
          <w:sz w:val="21"/>
        </w:rPr>
        <w:t>f</w:t>
      </w:r>
      <w:r w:rsidRPr="00755D97">
        <w:rPr>
          <w:rFonts w:ascii="Roboto" w:eastAsia="Yu Gothic Light" w:hAnsi="Roboto" w:cs="Times New Roman"/>
          <w:b/>
          <w:color w:val="545A60"/>
          <w:sz w:val="21"/>
        </w:rPr>
        <w:t>indings</w:t>
      </w:r>
      <w:bookmarkEnd w:id="186"/>
      <w:bookmarkEnd w:id="187"/>
      <w:bookmarkEnd w:id="188"/>
    </w:p>
    <w:p w14:paraId="4BEF3289" w14:textId="77777777" w:rsidR="00EE41ED" w:rsidRPr="00755D97" w:rsidRDefault="00EE41ED" w:rsidP="00EE41ED">
      <w:pPr>
        <w:rPr>
          <w:rFonts w:eastAsia="Calibri"/>
        </w:rPr>
      </w:pPr>
      <w:r w:rsidRPr="00755D97">
        <w:rPr>
          <w:rFonts w:eastAsia="Calibri"/>
        </w:rPr>
        <w:t xml:space="preserve">As shown in </w:t>
      </w:r>
      <w:r>
        <w:rPr>
          <w:rFonts w:eastAsia="Calibri"/>
        </w:rPr>
        <w:t>F</w:t>
      </w:r>
      <w:r w:rsidRPr="00755D97">
        <w:rPr>
          <w:rFonts w:eastAsia="Calibri"/>
        </w:rPr>
        <w:t xml:space="preserve">igure </w:t>
      </w:r>
      <w:r>
        <w:rPr>
          <w:rFonts w:eastAsia="Calibri"/>
        </w:rPr>
        <w:t>A5</w:t>
      </w:r>
      <w:r w:rsidRPr="00755D97">
        <w:rPr>
          <w:rFonts w:eastAsia="Calibri"/>
        </w:rPr>
        <w:t>,</w:t>
      </w:r>
      <w:r>
        <w:rPr>
          <w:rFonts w:eastAsia="Calibri"/>
        </w:rPr>
        <w:t xml:space="preserve"> </w:t>
      </w:r>
      <w:r w:rsidRPr="00755D97">
        <w:rPr>
          <w:rFonts w:eastAsia="Calibri"/>
        </w:rPr>
        <w:t xml:space="preserve">the proportion of children in Australia who were developmentally vulnerable </w:t>
      </w:r>
      <w:r>
        <w:rPr>
          <w:rFonts w:eastAsia="Calibri"/>
        </w:rPr>
        <w:t>on</w:t>
      </w:r>
      <w:r w:rsidRPr="00755D97">
        <w:rPr>
          <w:rFonts w:eastAsia="Calibri"/>
        </w:rPr>
        <w:t xml:space="preserve"> one or more </w:t>
      </w:r>
      <w:r>
        <w:rPr>
          <w:rFonts w:eastAsia="Calibri"/>
        </w:rPr>
        <w:t xml:space="preserve">AEDC </w:t>
      </w:r>
      <w:r w:rsidRPr="00755D97">
        <w:rPr>
          <w:rFonts w:eastAsia="Calibri"/>
        </w:rPr>
        <w:t xml:space="preserve">domain(s) </w:t>
      </w:r>
      <w:r>
        <w:rPr>
          <w:rFonts w:eastAsia="Calibri"/>
        </w:rPr>
        <w:t>has decreased since 2009. However, there was small but significant</w:t>
      </w:r>
      <w:r w:rsidRPr="00755D97">
        <w:rPr>
          <w:rFonts w:eastAsia="Calibri"/>
        </w:rPr>
        <w:t xml:space="preserve"> </w:t>
      </w:r>
      <w:r>
        <w:rPr>
          <w:rFonts w:eastAsia="Calibri"/>
        </w:rPr>
        <w:t>increase</w:t>
      </w:r>
      <w:r w:rsidRPr="00755D97">
        <w:rPr>
          <w:rFonts w:eastAsia="Calibri"/>
        </w:rPr>
        <w:t xml:space="preserve"> </w:t>
      </w:r>
      <w:r>
        <w:rPr>
          <w:rFonts w:eastAsia="Calibri"/>
        </w:rPr>
        <w:t>in the proportion of children considered developmentally vulnerable on one or more domains between 2018 and 2021. The percentage of children who were developmentally vulnerable on two or more domains also significantly increased between 2018 and 2021.</w:t>
      </w:r>
      <w:r w:rsidRPr="00755D97">
        <w:rPr>
          <w:rFonts w:eastAsia="Calibri"/>
        </w:rPr>
        <w:t xml:space="preserve"> </w:t>
      </w:r>
    </w:p>
    <w:p w14:paraId="3272883D" w14:textId="77777777" w:rsidR="00EE41ED" w:rsidRPr="00755D97" w:rsidRDefault="00EE41ED" w:rsidP="00F15C3B">
      <w:pPr>
        <w:spacing w:after="120"/>
        <w:outlineLvl w:val="3"/>
        <w:rPr>
          <w:rFonts w:ascii="Roboto" w:eastAsia="Calibri" w:hAnsi="Roboto"/>
          <w:color w:val="5B626C"/>
        </w:rPr>
      </w:pPr>
      <w:r w:rsidRPr="00755D97">
        <w:rPr>
          <w:rFonts w:ascii="Roboto" w:eastAsia="Calibri" w:hAnsi="Roboto"/>
          <w:color w:val="008143"/>
        </w:rPr>
        <w:t xml:space="preserve">Figure </w:t>
      </w:r>
      <w:r>
        <w:rPr>
          <w:rFonts w:ascii="Roboto" w:eastAsia="Calibri" w:hAnsi="Roboto"/>
          <w:color w:val="008143"/>
        </w:rPr>
        <w:t>A5</w:t>
      </w:r>
      <w:r w:rsidRPr="00755D97">
        <w:rPr>
          <w:rFonts w:ascii="Roboto" w:eastAsia="Calibri" w:hAnsi="Roboto"/>
          <w:color w:val="008143"/>
        </w:rPr>
        <w:t xml:space="preserve">. </w:t>
      </w:r>
      <w:r>
        <w:rPr>
          <w:rFonts w:ascii="Roboto" w:eastAsia="Calibri" w:hAnsi="Roboto"/>
          <w:color w:val="5B626C"/>
        </w:rPr>
        <w:t>Proportion</w:t>
      </w:r>
      <w:r w:rsidRPr="00755D97">
        <w:rPr>
          <w:rFonts w:ascii="Roboto" w:eastAsia="Calibri" w:hAnsi="Roboto"/>
          <w:color w:val="5B626C"/>
        </w:rPr>
        <w:t xml:space="preserve"> of children considered</w:t>
      </w:r>
      <w:r>
        <w:rPr>
          <w:rFonts w:ascii="Roboto" w:eastAsia="Calibri" w:hAnsi="Roboto"/>
          <w:color w:val="5B626C"/>
        </w:rPr>
        <w:t xml:space="preserve"> developmentally vulnerable on one or more domains, developmentally vulnerable on two or more domains, and developmentally on track on five domains</w:t>
      </w:r>
      <w:r w:rsidRPr="00755D97">
        <w:rPr>
          <w:rFonts w:ascii="Roboto" w:eastAsia="Calibri" w:hAnsi="Roboto"/>
          <w:color w:val="5B626C"/>
        </w:rPr>
        <w:t>, 2009-2021</w:t>
      </w:r>
    </w:p>
    <w:p w14:paraId="6EE15729" w14:textId="5E9C7391" w:rsidR="00EE41ED" w:rsidRPr="00755D97" w:rsidRDefault="002D6F97" w:rsidP="00EE41ED">
      <w:pPr>
        <w:outlineLvl w:val="3"/>
        <w:rPr>
          <w:rFonts w:eastAsia="Calibri"/>
        </w:rPr>
      </w:pPr>
      <w:r>
        <w:rPr>
          <w:noProof/>
        </w:rPr>
        <w:drawing>
          <wp:inline distT="0" distB="0" distL="0" distR="0" wp14:anchorId="0EC9B748" wp14:editId="30F811AD">
            <wp:extent cx="6115050" cy="3171825"/>
            <wp:effectExtent l="0" t="0" r="0" b="9525"/>
            <wp:docPr id="1" name="Graphic 1" descr="The content of this figure is described in the text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he content of this figure is described in the text above. "/>
                    <pic:cNvPicPr/>
                  </pic:nvPicPr>
                  <pic:blipFill>
                    <a:blip r:embed="rId47">
                      <a:extLst>
                        <a:ext uri="{96DAC541-7B7A-43D3-8B79-37D633B846F1}">
                          <asvg:svgBlip xmlns:asvg="http://schemas.microsoft.com/office/drawing/2016/SVG/main" r:embed="rId48"/>
                        </a:ext>
                      </a:extLst>
                    </a:blip>
                    <a:stretch>
                      <a:fillRect/>
                    </a:stretch>
                  </pic:blipFill>
                  <pic:spPr>
                    <a:xfrm>
                      <a:off x="0" y="0"/>
                      <a:ext cx="6115050" cy="3171825"/>
                    </a:xfrm>
                    <a:prstGeom prst="rect">
                      <a:avLst/>
                    </a:prstGeom>
                  </pic:spPr>
                </pic:pic>
              </a:graphicData>
            </a:graphic>
          </wp:inline>
        </w:drawing>
      </w:r>
    </w:p>
    <w:p w14:paraId="221689EA" w14:textId="77777777" w:rsidR="008A0E3E" w:rsidRDefault="00EE41ED" w:rsidP="00EE41ED">
      <w:pPr>
        <w:rPr>
          <w:rFonts w:eastAsia="Calibri"/>
        </w:rPr>
      </w:pPr>
      <w:r>
        <w:rPr>
          <w:rFonts w:eastAsia="Calibri"/>
        </w:rPr>
        <w:lastRenderedPageBreak/>
        <w:t>In 2021, the majority (54.8%)</w:t>
      </w:r>
      <w:r w:rsidRPr="00755D97">
        <w:rPr>
          <w:rFonts w:eastAsia="Calibri"/>
        </w:rPr>
        <w:t xml:space="preserve"> of children were considered developmentally on track </w:t>
      </w:r>
      <w:r>
        <w:rPr>
          <w:rFonts w:eastAsia="Calibri"/>
        </w:rPr>
        <w:t>on</w:t>
      </w:r>
      <w:r w:rsidRPr="00755D97">
        <w:rPr>
          <w:rFonts w:eastAsia="Calibri"/>
        </w:rPr>
        <w:t xml:space="preserve"> all five </w:t>
      </w:r>
      <w:r>
        <w:rPr>
          <w:rFonts w:eastAsia="Calibri"/>
        </w:rPr>
        <w:t xml:space="preserve">AEDC </w:t>
      </w:r>
      <w:r w:rsidRPr="00755D97">
        <w:rPr>
          <w:rFonts w:eastAsia="Calibri"/>
        </w:rPr>
        <w:t>domains.</w:t>
      </w:r>
      <w:r>
        <w:rPr>
          <w:rFonts w:eastAsia="Calibri"/>
        </w:rPr>
        <w:t xml:space="preserve"> While this was significantly higher than the rate observed in 2009 (50.7%),</w:t>
      </w:r>
      <w:r w:rsidRPr="00755D97">
        <w:rPr>
          <w:rFonts w:eastAsia="Calibri"/>
        </w:rPr>
        <w:t xml:space="preserve"> </w:t>
      </w:r>
      <w:r>
        <w:rPr>
          <w:rFonts w:eastAsia="Calibri"/>
        </w:rPr>
        <w:t xml:space="preserve">it represents a slight (and significant) decrease compared to 2018 (55.4%). </w:t>
      </w:r>
    </w:p>
    <w:p w14:paraId="5E4B4F8D" w14:textId="2F8AA0BE" w:rsidR="008A0E3E" w:rsidRPr="00755D97" w:rsidRDefault="008A0E3E" w:rsidP="008A0E3E">
      <w:pPr>
        <w:keepNext/>
        <w:keepLines/>
        <w:spacing w:before="60" w:after="60"/>
        <w:outlineLvl w:val="2"/>
        <w:rPr>
          <w:rFonts w:ascii="Roboto" w:eastAsia="Yu Gothic Light" w:hAnsi="Roboto" w:cs="Times New Roman"/>
          <w:b/>
          <w:color w:val="545A60"/>
          <w:sz w:val="21"/>
        </w:rPr>
      </w:pPr>
      <w:r w:rsidRPr="00755D97">
        <w:rPr>
          <w:rFonts w:ascii="Roboto" w:eastAsia="Yu Gothic Light" w:hAnsi="Roboto" w:cs="Times New Roman"/>
          <w:b/>
          <w:color w:val="545A60"/>
          <w:sz w:val="21"/>
        </w:rPr>
        <w:t>How do these findings differ between groups?</w:t>
      </w:r>
    </w:p>
    <w:p w14:paraId="55D9B947" w14:textId="39B3AA26" w:rsidR="00EE41ED" w:rsidRPr="00755D97" w:rsidRDefault="0091531F" w:rsidP="00EE41ED">
      <w:pPr>
        <w:rPr>
          <w:rFonts w:eastAsia="Calibri"/>
        </w:rPr>
      </w:pPr>
      <w:r>
        <w:rPr>
          <w:rFonts w:eastAsia="Calibri"/>
        </w:rPr>
        <w:t xml:space="preserve">Detailed group analyses were not conducted for the purpose of this report. However, it </w:t>
      </w:r>
      <w:r w:rsidR="00C233CC">
        <w:rPr>
          <w:rFonts w:eastAsia="Calibri"/>
        </w:rPr>
        <w:t>should be noted that the 2021 AEDC report</w:t>
      </w:r>
      <w:r w:rsidR="00AE15DF">
        <w:rPr>
          <w:rStyle w:val="FootnoteReference"/>
          <w:rFonts w:eastAsia="Calibri"/>
        </w:rPr>
        <w:footnoteReference w:id="10"/>
      </w:r>
      <w:r w:rsidR="00AE15DF">
        <w:rPr>
          <w:rFonts w:eastAsia="Calibri"/>
        </w:rPr>
        <w:t xml:space="preserve"> </w:t>
      </w:r>
      <w:r w:rsidR="00B109C1">
        <w:rPr>
          <w:rFonts w:eastAsia="Calibri"/>
        </w:rPr>
        <w:t>found that the proportion of children who were</w:t>
      </w:r>
      <w:r w:rsidR="009817FD">
        <w:rPr>
          <w:rFonts w:eastAsia="Calibri"/>
        </w:rPr>
        <w:t xml:space="preserve"> considered vulnerable in one or more</w:t>
      </w:r>
      <w:r w:rsidR="00586A30">
        <w:rPr>
          <w:rFonts w:eastAsia="Calibri"/>
        </w:rPr>
        <w:t xml:space="preserve"> </w:t>
      </w:r>
      <w:r w:rsidR="00AF73BD">
        <w:rPr>
          <w:rFonts w:eastAsia="Calibri"/>
        </w:rPr>
        <w:t>domain</w:t>
      </w:r>
      <w:r w:rsidR="005C54EE">
        <w:rPr>
          <w:rFonts w:eastAsia="Calibri"/>
        </w:rPr>
        <w:t xml:space="preserve"> was higher for children l</w:t>
      </w:r>
      <w:r w:rsidR="00A20510">
        <w:rPr>
          <w:rFonts w:eastAsia="Calibri"/>
        </w:rPr>
        <w:t xml:space="preserve">iving in socio-economically disadvantaged communities. This may have been exacerbated by interruptions </w:t>
      </w:r>
      <w:r w:rsidR="00C80DBA">
        <w:rPr>
          <w:rFonts w:eastAsia="Calibri"/>
        </w:rPr>
        <w:t>to early learning</w:t>
      </w:r>
      <w:r w:rsidR="00316AD5">
        <w:rPr>
          <w:rFonts w:eastAsia="Calibri"/>
        </w:rPr>
        <w:t xml:space="preserve"> and impacts on household stress caused by COVID-19.</w:t>
      </w:r>
    </w:p>
    <w:p w14:paraId="1CA5BC86" w14:textId="77777777" w:rsidR="00EE41ED" w:rsidRPr="00755D97" w:rsidRDefault="00EE41ED" w:rsidP="00BD77E3">
      <w:pPr>
        <w:keepNext/>
        <w:keepLines/>
        <w:spacing w:before="480" w:after="60"/>
        <w:outlineLvl w:val="1"/>
        <w:rPr>
          <w:rFonts w:ascii="Roboto-Bold" w:eastAsia="Yu Gothic Light" w:hAnsi="Roboto-Bold" w:cs="Times New Roman"/>
          <w:color w:val="008143"/>
          <w:sz w:val="26"/>
          <w:szCs w:val="26"/>
        </w:rPr>
      </w:pPr>
      <w:bookmarkStart w:id="189" w:name="_Toc169018591"/>
      <w:bookmarkStart w:id="190" w:name="_Toc169189043"/>
      <w:bookmarkStart w:id="191" w:name="_Toc169692845"/>
      <w:r w:rsidRPr="00755D97">
        <w:rPr>
          <w:rFonts w:ascii="Roboto-Bold" w:eastAsia="Yu Gothic Light" w:hAnsi="Roboto-Bold" w:cs="Times New Roman"/>
          <w:color w:val="008143"/>
          <w:sz w:val="26"/>
          <w:szCs w:val="26"/>
        </w:rPr>
        <w:t>Technical information</w:t>
      </w:r>
      <w:bookmarkEnd w:id="189"/>
      <w:bookmarkEnd w:id="190"/>
      <w:bookmarkEnd w:id="191"/>
    </w:p>
    <w:p w14:paraId="1D3E3174" w14:textId="77777777" w:rsidR="00EE41ED" w:rsidRDefault="00EE41ED" w:rsidP="00EE41ED">
      <w:pPr>
        <w:keepNext/>
        <w:keepLines/>
        <w:spacing w:before="120" w:after="60"/>
        <w:outlineLvl w:val="2"/>
        <w:rPr>
          <w:rFonts w:ascii="Roboto" w:eastAsia="Yu Gothic Light" w:hAnsi="Roboto" w:cs="Times New Roman"/>
          <w:b/>
          <w:color w:val="545A60"/>
          <w:sz w:val="21"/>
        </w:rPr>
      </w:pPr>
      <w:bookmarkStart w:id="192" w:name="_Toc169018592"/>
      <w:bookmarkStart w:id="193" w:name="_Toc169189044"/>
      <w:bookmarkStart w:id="194" w:name="_Toc169692846"/>
      <w:r w:rsidRPr="00755D97">
        <w:rPr>
          <w:rFonts w:ascii="Roboto" w:eastAsia="Yu Gothic Light" w:hAnsi="Roboto" w:cs="Times New Roman"/>
          <w:b/>
          <w:color w:val="545A60"/>
          <w:sz w:val="21"/>
        </w:rPr>
        <w:t>Source</w:t>
      </w:r>
      <w:bookmarkEnd w:id="192"/>
      <w:bookmarkEnd w:id="193"/>
      <w:bookmarkEnd w:id="194"/>
    </w:p>
    <w:p w14:paraId="75FC01A2" w14:textId="289ADD8E" w:rsidR="00EE41ED" w:rsidRPr="00C625D7" w:rsidRDefault="00EE41ED" w:rsidP="00C625D7">
      <w:pPr>
        <w:rPr>
          <w:rFonts w:eastAsia="Calibri"/>
        </w:rPr>
      </w:pPr>
      <w:r w:rsidRPr="00C625D7">
        <w:rPr>
          <w:rFonts w:eastAsia="Calibri"/>
        </w:rPr>
        <w:t xml:space="preserve">Australian Government. Department of Education, </w:t>
      </w:r>
      <w:proofErr w:type="gramStart"/>
      <w:r w:rsidRPr="00C625D7">
        <w:rPr>
          <w:rFonts w:eastAsia="Calibri"/>
        </w:rPr>
        <w:t>Skills</w:t>
      </w:r>
      <w:proofErr w:type="gramEnd"/>
      <w:r w:rsidRPr="00C625D7">
        <w:rPr>
          <w:rFonts w:eastAsia="Calibri"/>
        </w:rPr>
        <w:t xml:space="preserve"> and Employment </w:t>
      </w:r>
      <w:r w:rsidRPr="007A18AE">
        <w:rPr>
          <w:rFonts w:eastAsia="Calibri"/>
          <w:i/>
        </w:rPr>
        <w:t>Australian Early Development Census, 2021</w:t>
      </w:r>
      <w:r w:rsidRPr="00C625D7">
        <w:rPr>
          <w:rFonts w:eastAsia="Calibri"/>
        </w:rPr>
        <w:t xml:space="preserve"> </w:t>
      </w:r>
    </w:p>
    <w:p w14:paraId="5FD7A387" w14:textId="77777777" w:rsidR="00EE41ED" w:rsidRDefault="00EE41ED" w:rsidP="00EE41ED">
      <w:pPr>
        <w:keepNext/>
        <w:keepLines/>
        <w:spacing w:before="120" w:after="60"/>
        <w:outlineLvl w:val="2"/>
        <w:rPr>
          <w:rFonts w:ascii="Roboto" w:eastAsia="Yu Gothic Light" w:hAnsi="Roboto" w:cs="Times New Roman"/>
          <w:b/>
          <w:color w:val="545A60"/>
          <w:sz w:val="21"/>
        </w:rPr>
      </w:pPr>
      <w:bookmarkStart w:id="195" w:name="_Toc169018593"/>
      <w:bookmarkStart w:id="196" w:name="_Toc169189045"/>
      <w:bookmarkStart w:id="197" w:name="_Toc169692847"/>
      <w:r w:rsidRPr="00755D97">
        <w:rPr>
          <w:rFonts w:ascii="Roboto" w:eastAsia="Yu Gothic Light" w:hAnsi="Roboto" w:cs="Times New Roman"/>
          <w:b/>
          <w:color w:val="545A60"/>
          <w:sz w:val="21"/>
        </w:rPr>
        <w:t>Frequency of data collection</w:t>
      </w:r>
      <w:bookmarkEnd w:id="195"/>
      <w:bookmarkEnd w:id="196"/>
      <w:bookmarkEnd w:id="197"/>
    </w:p>
    <w:p w14:paraId="6EA95FA9" w14:textId="77777777" w:rsidR="00EE41ED" w:rsidRPr="00C625D7" w:rsidRDefault="00EE41ED" w:rsidP="00C625D7">
      <w:pPr>
        <w:rPr>
          <w:rFonts w:eastAsia="Calibri"/>
        </w:rPr>
      </w:pPr>
      <w:r w:rsidRPr="00C625D7">
        <w:rPr>
          <w:rFonts w:eastAsia="Calibri"/>
        </w:rPr>
        <w:t>Every three years.</w:t>
      </w:r>
    </w:p>
    <w:p w14:paraId="72C7CCA1" w14:textId="77777777" w:rsidR="00EE41ED" w:rsidRDefault="00EE41ED" w:rsidP="00EE41ED">
      <w:pPr>
        <w:keepNext/>
        <w:keepLines/>
        <w:spacing w:before="120" w:after="60"/>
        <w:outlineLvl w:val="2"/>
        <w:rPr>
          <w:rFonts w:ascii="Roboto" w:eastAsia="Yu Gothic Light" w:hAnsi="Roboto" w:cs="Times New Roman"/>
          <w:b/>
          <w:color w:val="545A60"/>
          <w:sz w:val="21"/>
        </w:rPr>
      </w:pPr>
      <w:bookmarkStart w:id="198" w:name="_Toc169018594"/>
      <w:bookmarkStart w:id="199" w:name="_Toc169189046"/>
      <w:bookmarkStart w:id="200" w:name="_Toc169692848"/>
      <w:r w:rsidRPr="00755D97">
        <w:rPr>
          <w:rFonts w:ascii="Roboto" w:eastAsia="Yu Gothic Light" w:hAnsi="Roboto" w:cs="Times New Roman"/>
          <w:b/>
          <w:color w:val="545A60"/>
          <w:sz w:val="21"/>
        </w:rPr>
        <w:t>Limitations</w:t>
      </w:r>
      <w:bookmarkEnd w:id="198"/>
      <w:bookmarkEnd w:id="199"/>
      <w:bookmarkEnd w:id="200"/>
    </w:p>
    <w:p w14:paraId="76022E9A" w14:textId="77777777" w:rsidR="00EE41ED" w:rsidRPr="00C625D7" w:rsidRDefault="00EE41ED" w:rsidP="00D50DDA">
      <w:pPr>
        <w:pStyle w:val="ListParagraph"/>
        <w:numPr>
          <w:ilvl w:val="0"/>
          <w:numId w:val="53"/>
        </w:numPr>
        <w:rPr>
          <w:rFonts w:eastAsia="Calibri"/>
        </w:rPr>
      </w:pPr>
      <w:r w:rsidRPr="00C625D7">
        <w:rPr>
          <w:rFonts w:eastAsia="Calibri"/>
        </w:rPr>
        <w:t>Data on developmental vulnerability does not speak to the cause of the developmental vulnerability, whether it relates to the child’s mental health, or whether the child has previously received or is currently receiving additional supports.</w:t>
      </w:r>
    </w:p>
    <w:p w14:paraId="4CC2BC5C" w14:textId="77777777" w:rsidR="00EE41ED" w:rsidRPr="00755D97" w:rsidRDefault="00EE41ED" w:rsidP="00EE41ED">
      <w:pPr>
        <w:keepNext/>
        <w:keepLines/>
        <w:spacing w:before="120" w:after="60"/>
        <w:outlineLvl w:val="2"/>
        <w:rPr>
          <w:rFonts w:ascii="Roboto" w:eastAsia="Yu Gothic Light" w:hAnsi="Roboto" w:cs="Times New Roman"/>
          <w:b/>
          <w:color w:val="545A60"/>
          <w:sz w:val="21"/>
        </w:rPr>
      </w:pPr>
      <w:bookmarkStart w:id="201" w:name="_Toc169018595"/>
      <w:bookmarkStart w:id="202" w:name="_Toc169189047"/>
      <w:bookmarkStart w:id="203" w:name="_Toc169692849"/>
      <w:r w:rsidRPr="00755D97">
        <w:rPr>
          <w:rFonts w:ascii="Roboto" w:eastAsia="Yu Gothic Light" w:hAnsi="Roboto" w:cs="Times New Roman"/>
          <w:b/>
          <w:color w:val="545A60"/>
          <w:sz w:val="21"/>
        </w:rPr>
        <w:t>Additional notes</w:t>
      </w:r>
      <w:bookmarkEnd w:id="201"/>
      <w:bookmarkEnd w:id="202"/>
      <w:bookmarkEnd w:id="203"/>
    </w:p>
    <w:p w14:paraId="29D946AE" w14:textId="77777777" w:rsidR="00F11FA4" w:rsidRPr="00DE4BAC" w:rsidRDefault="00EE41ED" w:rsidP="00D50DDA">
      <w:pPr>
        <w:pStyle w:val="ListParagraph"/>
        <w:numPr>
          <w:ilvl w:val="0"/>
          <w:numId w:val="54"/>
        </w:numPr>
        <w:rPr>
          <w:rFonts w:eastAsia="Calibri"/>
        </w:rPr>
      </w:pPr>
      <w:r w:rsidRPr="00DE4BAC">
        <w:rPr>
          <w:rFonts w:eastAsia="Calibri"/>
        </w:rPr>
        <w:t xml:space="preserve">Scores on the AEDC are teacher-rated. </w:t>
      </w:r>
    </w:p>
    <w:p w14:paraId="17B7F523" w14:textId="5E211883" w:rsidR="00F11FA4" w:rsidRPr="00DE4BAC" w:rsidRDefault="00EE41ED" w:rsidP="00D50DDA">
      <w:pPr>
        <w:pStyle w:val="ListParagraph"/>
        <w:numPr>
          <w:ilvl w:val="0"/>
          <w:numId w:val="54"/>
        </w:numPr>
        <w:rPr>
          <w:rFonts w:eastAsia="Calibri"/>
        </w:rPr>
      </w:pPr>
      <w:r w:rsidRPr="00DE4BAC">
        <w:rPr>
          <w:rFonts w:eastAsia="Calibri"/>
        </w:rPr>
        <w:t>Children who score in the top 75% of the national AEDC population are classified as ‘on track’, while children who score in the lowest 10% are classified as ‘vulnerable’. Furthermore, children who are developmentally vulnerable in two or more domains are included in both developmentally vulnerable categories. As such the sum of the percentage of on track and developmentally vulnerable children does not add to 100%</w:t>
      </w:r>
      <w:r w:rsidR="00B621AD">
        <w:rPr>
          <w:rFonts w:eastAsia="Calibri"/>
        </w:rPr>
        <w:t>.</w:t>
      </w:r>
    </w:p>
    <w:p w14:paraId="441CF9B3" w14:textId="77777777" w:rsidR="00F11FA4" w:rsidRPr="00DE4BAC" w:rsidRDefault="00EE41ED" w:rsidP="00D50DDA">
      <w:pPr>
        <w:pStyle w:val="ListParagraph"/>
        <w:numPr>
          <w:ilvl w:val="0"/>
          <w:numId w:val="54"/>
        </w:numPr>
        <w:rPr>
          <w:rFonts w:eastAsia="Calibri"/>
        </w:rPr>
      </w:pPr>
      <w:r w:rsidRPr="00DE4BAC">
        <w:rPr>
          <w:rFonts w:eastAsia="Calibri"/>
        </w:rPr>
        <w:t xml:space="preserve">AEDC results are not reported for children with special needs at a national level. </w:t>
      </w:r>
    </w:p>
    <w:p w14:paraId="52222607" w14:textId="623737E8" w:rsidR="00EE41ED" w:rsidRPr="00755D97" w:rsidRDefault="00EE41ED" w:rsidP="00D50DDA">
      <w:pPr>
        <w:pStyle w:val="ListParagraph"/>
        <w:numPr>
          <w:ilvl w:val="0"/>
          <w:numId w:val="54"/>
        </w:numPr>
      </w:pPr>
      <w:r w:rsidRPr="00DE4BAC">
        <w:rPr>
          <w:rFonts w:eastAsia="Calibri"/>
        </w:rPr>
        <w:t>Detailed information on the methodology is available on</w:t>
      </w:r>
      <w:r w:rsidRPr="00C625D7">
        <w:t xml:space="preserve"> the </w:t>
      </w:r>
      <w:hyperlink r:id="rId49" w:history="1">
        <w:r w:rsidRPr="00DE4BAC">
          <w:rPr>
            <w:rFonts w:eastAsia="Yu Gothic Light" w:cs="Times New Roman"/>
            <w:color w:val="008143"/>
            <w:u w:val="single"/>
          </w:rPr>
          <w:t>AEDC website</w:t>
        </w:r>
      </w:hyperlink>
      <w:r w:rsidRPr="00DE4BAC">
        <w:rPr>
          <w:rFonts w:eastAsia="Yu Gothic Light" w:cs="Times New Roman"/>
          <w:color w:val="545A60"/>
        </w:rPr>
        <w:t xml:space="preserve">.  </w:t>
      </w:r>
    </w:p>
    <w:p w14:paraId="0319C2C6" w14:textId="77777777" w:rsidR="00EE41ED" w:rsidRPr="00755D97" w:rsidRDefault="00EE41ED" w:rsidP="00D15CD9">
      <w:pPr>
        <w:pStyle w:val="Heading1"/>
        <w:rPr>
          <w:rFonts w:eastAsia="Yu Gothic Light" w:cs="Times New Roman"/>
        </w:rPr>
      </w:pPr>
      <w:r>
        <w:rPr>
          <w:rFonts w:eastAsia="Calibri"/>
          <w:szCs w:val="18"/>
        </w:rPr>
        <w:br w:type="page"/>
      </w:r>
      <w:bookmarkStart w:id="204" w:name="_Toc169692850"/>
      <w:bookmarkStart w:id="205" w:name="_Toc169868017"/>
      <w:r>
        <w:rPr>
          <w:rFonts w:eastAsia="Yu Gothic Light" w:cs="Times New Roman"/>
        </w:rPr>
        <w:lastRenderedPageBreak/>
        <w:t>CI 6</w:t>
      </w:r>
      <w:r w:rsidRPr="00755D97">
        <w:rPr>
          <w:rFonts w:eastAsia="Yu Gothic Light" w:cs="Times New Roman"/>
        </w:rPr>
        <w:t>: Housing security</w:t>
      </w:r>
      <w:r>
        <w:rPr>
          <w:rFonts w:eastAsia="Yu Gothic Light" w:cs="Times New Roman"/>
        </w:rPr>
        <w:t xml:space="preserve"> (homelessness)</w:t>
      </w:r>
      <w:bookmarkEnd w:id="204"/>
      <w:bookmarkEnd w:id="205"/>
    </w:p>
    <w:p w14:paraId="0E51CC72" w14:textId="77777777" w:rsidR="00EE41ED" w:rsidRPr="00755D97" w:rsidRDefault="00EE41ED" w:rsidP="00EE41ED">
      <w:pPr>
        <w:keepNext/>
        <w:keepLines/>
        <w:spacing w:before="60" w:after="60"/>
        <w:outlineLvl w:val="1"/>
        <w:rPr>
          <w:rFonts w:ascii="Roboto-Bold" w:eastAsia="Yu Gothic Light" w:hAnsi="Roboto-Bold" w:cs="Times New Roman"/>
          <w:color w:val="008143"/>
          <w:sz w:val="26"/>
          <w:szCs w:val="26"/>
        </w:rPr>
      </w:pPr>
      <w:bookmarkStart w:id="206" w:name="_Toc169018597"/>
      <w:bookmarkStart w:id="207" w:name="_Toc169189049"/>
      <w:bookmarkStart w:id="208" w:name="_Toc169692851"/>
      <w:r w:rsidRPr="00755D97">
        <w:rPr>
          <w:rFonts w:ascii="Roboto-Bold" w:eastAsia="Yu Gothic Light" w:hAnsi="Roboto-Bold" w:cs="Times New Roman"/>
          <w:color w:val="008143"/>
          <w:sz w:val="26"/>
          <w:szCs w:val="26"/>
        </w:rPr>
        <w:t>What we are tracking (and why)</w:t>
      </w:r>
      <w:bookmarkEnd w:id="206"/>
      <w:bookmarkEnd w:id="207"/>
      <w:bookmarkEnd w:id="208"/>
    </w:p>
    <w:p w14:paraId="731CF2D3" w14:textId="77777777" w:rsidR="00EE41ED" w:rsidRPr="00755D97" w:rsidRDefault="00EE41ED" w:rsidP="00EE41ED">
      <w:pPr>
        <w:rPr>
          <w:rFonts w:eastAsia="Calibri"/>
        </w:rPr>
      </w:pPr>
      <w:r>
        <w:rPr>
          <w:rFonts w:eastAsia="Calibri"/>
        </w:rPr>
        <w:t>This indicator tracks</w:t>
      </w:r>
      <w:r w:rsidRPr="00755D97">
        <w:rPr>
          <w:rFonts w:eastAsia="Calibri"/>
        </w:rPr>
        <w:t xml:space="preserve"> people in Australia aged 16-85 </w:t>
      </w:r>
      <w:r>
        <w:rPr>
          <w:rFonts w:eastAsia="Calibri"/>
        </w:rPr>
        <w:t>years</w:t>
      </w:r>
      <w:r w:rsidRPr="00755D97">
        <w:rPr>
          <w:rFonts w:eastAsia="Calibri"/>
        </w:rPr>
        <w:t xml:space="preserve"> who have ever been without a permanent place to live</w:t>
      </w:r>
      <w:r>
        <w:rPr>
          <w:rFonts w:eastAsia="Calibri"/>
        </w:rPr>
        <w:t xml:space="preserve"> in their lifetime as measured by the National Study of Mental Health and Wellbeing (NSMHW)</w:t>
      </w:r>
      <w:r w:rsidRPr="00755D97">
        <w:rPr>
          <w:rFonts w:eastAsia="Calibri"/>
        </w:rPr>
        <w:t xml:space="preserve">. </w:t>
      </w:r>
      <w:r>
        <w:rPr>
          <w:rFonts w:eastAsia="Calibri"/>
        </w:rPr>
        <w:t xml:space="preserve">While various data sources measure current and lifetime rates of homelessness across the population, the NSMHW provides insights into the mental health status of people who have experienced homelessness in their lifetime using diagnostic criteria. </w:t>
      </w:r>
    </w:p>
    <w:p w14:paraId="389C8F73" w14:textId="77777777" w:rsidR="00EE41ED" w:rsidRPr="00755D97" w:rsidRDefault="00EE41ED" w:rsidP="00EE41ED">
      <w:pPr>
        <w:rPr>
          <w:rFonts w:eastAsia="Calibri"/>
        </w:rPr>
      </w:pPr>
      <w:r>
        <w:rPr>
          <w:rFonts w:eastAsia="Calibri"/>
        </w:rPr>
        <w:t>People</w:t>
      </w:r>
      <w:r w:rsidRPr="00755D97">
        <w:rPr>
          <w:rFonts w:eastAsia="Calibri"/>
        </w:rPr>
        <w:t xml:space="preserve"> who are without a permanent place to live and experience homelessness </w:t>
      </w:r>
      <w:r>
        <w:rPr>
          <w:rFonts w:eastAsia="Calibri"/>
        </w:rPr>
        <w:t>have</w:t>
      </w:r>
      <w:r w:rsidRPr="00755D97">
        <w:rPr>
          <w:rFonts w:eastAsia="Calibri"/>
        </w:rPr>
        <w:t xml:space="preserve"> poorer health outcomes and significant disadvantage across a wide range of social determinants</w:t>
      </w:r>
      <w:r>
        <w:rPr>
          <w:rFonts w:eastAsia="Calibri"/>
        </w:rPr>
        <w:t>.</w:t>
      </w:r>
      <w:r>
        <w:rPr>
          <w:rStyle w:val="FootnoteReference"/>
          <w:rFonts w:eastAsia="Calibri"/>
        </w:rPr>
        <w:footnoteReference w:id="11"/>
      </w:r>
      <w:r w:rsidRPr="00755D97">
        <w:rPr>
          <w:rFonts w:eastAsia="Calibri"/>
        </w:rPr>
        <w:t xml:space="preserve"> Health-related issues include chronic and acute physical conditions, as well as mental health conditions like anxiety, </w:t>
      </w:r>
      <w:proofErr w:type="gramStart"/>
      <w:r w:rsidRPr="00755D97">
        <w:rPr>
          <w:rFonts w:eastAsia="Calibri"/>
        </w:rPr>
        <w:t>depression</w:t>
      </w:r>
      <w:proofErr w:type="gramEnd"/>
      <w:r w:rsidRPr="00755D97">
        <w:rPr>
          <w:rFonts w:eastAsia="Calibri"/>
        </w:rPr>
        <w:t xml:space="preserve"> and substance use disorders</w:t>
      </w:r>
      <w:r>
        <w:rPr>
          <w:rFonts w:eastAsia="Calibri"/>
        </w:rPr>
        <w:t>.</w:t>
      </w:r>
      <w:r>
        <w:rPr>
          <w:rStyle w:val="FootnoteReference"/>
          <w:rFonts w:eastAsia="Calibri"/>
        </w:rPr>
        <w:footnoteReference w:id="12"/>
      </w:r>
      <w:r w:rsidRPr="00755D97">
        <w:rPr>
          <w:rFonts w:eastAsia="Calibri"/>
        </w:rPr>
        <w:t xml:space="preserve"> </w:t>
      </w:r>
      <w:r>
        <w:rPr>
          <w:rFonts w:eastAsia="Calibri"/>
        </w:rPr>
        <w:t>By contrast</w:t>
      </w:r>
      <w:r w:rsidRPr="00755D97">
        <w:rPr>
          <w:rFonts w:eastAsia="Calibri"/>
        </w:rPr>
        <w:t xml:space="preserve">, access to secure housing is associated with improved mental health and wellbeing. As such, </w:t>
      </w:r>
      <w:r>
        <w:rPr>
          <w:rFonts w:eastAsia="Calibri"/>
        </w:rPr>
        <w:t>a decrease</w:t>
      </w:r>
      <w:r w:rsidRPr="00755D97">
        <w:rPr>
          <w:rFonts w:eastAsia="Calibri"/>
        </w:rPr>
        <w:t xml:space="preserve"> in</w:t>
      </w:r>
      <w:r>
        <w:rPr>
          <w:rFonts w:eastAsia="Calibri"/>
        </w:rPr>
        <w:t xml:space="preserve"> the</w:t>
      </w:r>
      <w:r w:rsidRPr="00755D97">
        <w:rPr>
          <w:rFonts w:eastAsia="Calibri"/>
        </w:rPr>
        <w:t xml:space="preserve"> </w:t>
      </w:r>
      <w:r>
        <w:rPr>
          <w:rFonts w:eastAsia="Calibri"/>
        </w:rPr>
        <w:t>rate of</w:t>
      </w:r>
      <w:r w:rsidRPr="00755D97">
        <w:rPr>
          <w:rFonts w:eastAsia="Calibri"/>
        </w:rPr>
        <w:t xml:space="preserve"> lifetime homelessness may</w:t>
      </w:r>
      <w:r>
        <w:rPr>
          <w:rFonts w:eastAsia="Calibri"/>
        </w:rPr>
        <w:t xml:space="preserve"> forecast</w:t>
      </w:r>
      <w:r w:rsidRPr="00755D97">
        <w:rPr>
          <w:rFonts w:eastAsia="Calibri"/>
        </w:rPr>
        <w:t xml:space="preserve"> improvements in mental health and a range of other social determinants like financial distress and employment.  </w:t>
      </w:r>
    </w:p>
    <w:p w14:paraId="6937FFEC" w14:textId="77777777" w:rsidR="00EE41ED" w:rsidRPr="00755D97" w:rsidRDefault="00EE41ED" w:rsidP="00EE41ED">
      <w:pPr>
        <w:keepNext/>
        <w:keepLines/>
        <w:spacing w:before="60" w:after="60"/>
        <w:outlineLvl w:val="1"/>
        <w:rPr>
          <w:rFonts w:ascii="Roboto-Bold" w:eastAsia="Yu Gothic Light" w:hAnsi="Roboto-Bold" w:cs="Times New Roman"/>
          <w:color w:val="008143"/>
          <w:sz w:val="26"/>
          <w:szCs w:val="26"/>
        </w:rPr>
      </w:pPr>
      <w:bookmarkStart w:id="209" w:name="_Toc169018598"/>
      <w:bookmarkStart w:id="210" w:name="_Toc169189050"/>
      <w:bookmarkStart w:id="211" w:name="_Toc169692852"/>
      <w:r w:rsidRPr="00755D97">
        <w:rPr>
          <w:rFonts w:ascii="Roboto-Bold" w:eastAsia="Yu Gothic Light" w:hAnsi="Roboto-Bold" w:cs="Times New Roman"/>
          <w:color w:val="008143"/>
          <w:sz w:val="26"/>
          <w:szCs w:val="26"/>
        </w:rPr>
        <w:t>What the data tells us</w:t>
      </w:r>
      <w:bookmarkEnd w:id="209"/>
      <w:bookmarkEnd w:id="210"/>
      <w:bookmarkEnd w:id="211"/>
    </w:p>
    <w:p w14:paraId="2461F613" w14:textId="77777777" w:rsidR="00EE41ED" w:rsidRPr="00755D97" w:rsidRDefault="00EE41ED" w:rsidP="00EE41ED">
      <w:pPr>
        <w:keepNext/>
        <w:keepLines/>
        <w:spacing w:before="60" w:after="60"/>
        <w:outlineLvl w:val="2"/>
        <w:rPr>
          <w:rFonts w:ascii="Roboto" w:eastAsia="Yu Gothic Light" w:hAnsi="Roboto" w:cs="Times New Roman"/>
          <w:b/>
          <w:color w:val="545A60"/>
          <w:sz w:val="21"/>
        </w:rPr>
      </w:pPr>
      <w:bookmarkStart w:id="212" w:name="_Toc169018599"/>
      <w:bookmarkStart w:id="213" w:name="_Toc169189051"/>
      <w:bookmarkStart w:id="214" w:name="_Toc169692853"/>
      <w:r w:rsidRPr="00755D97">
        <w:rPr>
          <w:rFonts w:ascii="Roboto" w:eastAsia="Yu Gothic Light" w:hAnsi="Roboto" w:cs="Times New Roman"/>
          <w:b/>
          <w:color w:val="545A60"/>
          <w:sz w:val="21"/>
        </w:rPr>
        <w:t xml:space="preserve">Indicator </w:t>
      </w:r>
      <w:r>
        <w:rPr>
          <w:rFonts w:ascii="Roboto" w:eastAsia="Yu Gothic Light" w:hAnsi="Roboto" w:cs="Times New Roman"/>
          <w:b/>
          <w:color w:val="545A60"/>
          <w:sz w:val="21"/>
        </w:rPr>
        <w:t>f</w:t>
      </w:r>
      <w:r w:rsidRPr="00755D97">
        <w:rPr>
          <w:rFonts w:ascii="Roboto" w:eastAsia="Yu Gothic Light" w:hAnsi="Roboto" w:cs="Times New Roman"/>
          <w:b/>
          <w:color w:val="545A60"/>
          <w:sz w:val="21"/>
        </w:rPr>
        <w:t>indings</w:t>
      </w:r>
      <w:bookmarkEnd w:id="212"/>
      <w:bookmarkEnd w:id="213"/>
      <w:bookmarkEnd w:id="214"/>
    </w:p>
    <w:p w14:paraId="5D29FB9C" w14:textId="77777777" w:rsidR="00EE41ED" w:rsidRDefault="00EE41ED" w:rsidP="00EE41ED">
      <w:pPr>
        <w:spacing w:after="0"/>
        <w:rPr>
          <w:rFonts w:ascii="Roboto-Bold" w:eastAsia="Calibri" w:hAnsi="Roboto-Bold"/>
          <w:color w:val="5B626C"/>
        </w:rPr>
      </w:pPr>
      <w:r w:rsidRPr="00875CCF">
        <w:rPr>
          <w:rFonts w:ascii="Roboto-Bold" w:eastAsia="Calibri" w:hAnsi="Roboto-Bold"/>
          <w:color w:val="5B626C"/>
        </w:rPr>
        <w:t>Whole of population</w:t>
      </w:r>
    </w:p>
    <w:p w14:paraId="2EA67F2B" w14:textId="24E1DF22" w:rsidR="00EE41ED" w:rsidRPr="00F11FA4" w:rsidRDefault="00EE41ED" w:rsidP="00EE41ED">
      <w:pPr>
        <w:rPr>
          <w:rFonts w:eastAsia="Calibri"/>
        </w:rPr>
      </w:pPr>
      <w:r w:rsidRPr="00F11FA4">
        <w:rPr>
          <w:rFonts w:eastAsia="Calibri"/>
        </w:rPr>
        <w:t xml:space="preserve">In 2020-2022, 9.8% (1.9 million) of people in Australia </w:t>
      </w:r>
      <w:r w:rsidR="00B05A28">
        <w:rPr>
          <w:rFonts w:eastAsia="Calibri"/>
        </w:rPr>
        <w:t xml:space="preserve">aged 16-85 years </w:t>
      </w:r>
      <w:r w:rsidRPr="00F11FA4">
        <w:rPr>
          <w:rFonts w:eastAsia="Calibri"/>
        </w:rPr>
        <w:t xml:space="preserve">had been without a permanent place to live in their lifetime. </w:t>
      </w:r>
    </w:p>
    <w:p w14:paraId="446952E3" w14:textId="5926BE85" w:rsidR="00EE41ED" w:rsidRPr="00875CCF" w:rsidRDefault="00EE41ED" w:rsidP="00EE41ED">
      <w:pPr>
        <w:spacing w:after="0"/>
        <w:rPr>
          <w:rFonts w:ascii="Roboto-Bold" w:eastAsia="Calibri" w:hAnsi="Roboto-Bold"/>
          <w:color w:val="5B626C"/>
        </w:rPr>
      </w:pPr>
      <w:r>
        <w:rPr>
          <w:rFonts w:ascii="Roboto-Bold" w:eastAsia="Calibri" w:hAnsi="Roboto-Bold"/>
          <w:color w:val="5B626C"/>
        </w:rPr>
        <w:t xml:space="preserve">Lived </w:t>
      </w:r>
      <w:r w:rsidR="0034584F">
        <w:rPr>
          <w:rFonts w:ascii="Roboto-Bold" w:eastAsia="Calibri" w:hAnsi="Roboto-Bold"/>
          <w:color w:val="5B626C"/>
        </w:rPr>
        <w:t>E</w:t>
      </w:r>
      <w:r>
        <w:rPr>
          <w:rFonts w:ascii="Roboto-Bold" w:eastAsia="Calibri" w:hAnsi="Roboto-Bold"/>
          <w:color w:val="5B626C"/>
        </w:rPr>
        <w:t>xperience</w:t>
      </w:r>
    </w:p>
    <w:p w14:paraId="179DA622" w14:textId="500D975B" w:rsidR="00EE41ED" w:rsidRPr="00755D97" w:rsidRDefault="00EE41ED" w:rsidP="00EE41ED">
      <w:pPr>
        <w:rPr>
          <w:rFonts w:ascii="Roboto" w:eastAsia="Calibri" w:hAnsi="Roboto"/>
          <w:color w:val="5B626C"/>
        </w:rPr>
      </w:pPr>
      <w:r w:rsidRPr="00755D97">
        <w:rPr>
          <w:rFonts w:eastAsia="Calibri"/>
        </w:rPr>
        <w:t xml:space="preserve">In 2020-2022, 17.7% (756,000) </w:t>
      </w:r>
      <w:r>
        <w:rPr>
          <w:rFonts w:eastAsia="Calibri"/>
        </w:rPr>
        <w:t xml:space="preserve">of </w:t>
      </w:r>
      <w:r w:rsidRPr="00755D97">
        <w:rPr>
          <w:rFonts w:eastAsia="Calibri"/>
        </w:rPr>
        <w:t xml:space="preserve">people in Australia with a 12-month mental disorder had been without a </w:t>
      </w:r>
      <w:r>
        <w:rPr>
          <w:rFonts w:eastAsia="Calibri"/>
        </w:rPr>
        <w:t xml:space="preserve">permanent </w:t>
      </w:r>
      <w:r w:rsidRPr="00755D97">
        <w:rPr>
          <w:rFonts w:eastAsia="Calibri"/>
        </w:rPr>
        <w:t>place to live</w:t>
      </w:r>
      <w:r>
        <w:rPr>
          <w:rFonts w:eastAsia="Calibri"/>
        </w:rPr>
        <w:t xml:space="preserve"> in their lifetime</w:t>
      </w:r>
      <w:r w:rsidRPr="00755D97">
        <w:rPr>
          <w:rFonts w:eastAsia="Calibri"/>
        </w:rPr>
        <w:t xml:space="preserve">. This was significantly higher than the proportion of </w:t>
      </w:r>
      <w:r>
        <w:rPr>
          <w:rFonts w:eastAsia="Calibri"/>
        </w:rPr>
        <w:t>people</w:t>
      </w:r>
      <w:r w:rsidRPr="00755D97">
        <w:rPr>
          <w:rFonts w:eastAsia="Calibri"/>
        </w:rPr>
        <w:t xml:space="preserve"> without a 12</w:t>
      </w:r>
      <w:r>
        <w:rPr>
          <w:rFonts w:eastAsia="Calibri"/>
        </w:rPr>
        <w:noBreakHyphen/>
      </w:r>
      <w:r w:rsidRPr="00755D97">
        <w:rPr>
          <w:rFonts w:eastAsia="Calibri"/>
        </w:rPr>
        <w:t xml:space="preserve">month mental disorder </w:t>
      </w:r>
      <w:r>
        <w:rPr>
          <w:rFonts w:eastAsia="Calibri"/>
        </w:rPr>
        <w:t>(7.6% or an estimated 1.2 million people)</w:t>
      </w:r>
      <w:r w:rsidRPr="00755D97">
        <w:rPr>
          <w:rFonts w:eastAsia="Calibri"/>
        </w:rPr>
        <w:t xml:space="preserve">. </w:t>
      </w:r>
    </w:p>
    <w:p w14:paraId="15FB2DC3" w14:textId="77777777" w:rsidR="00EE41ED" w:rsidRPr="00755D97" w:rsidRDefault="00EE41ED" w:rsidP="00EE41ED">
      <w:pPr>
        <w:keepNext/>
        <w:keepLines/>
        <w:spacing w:before="60" w:after="60"/>
        <w:outlineLvl w:val="2"/>
        <w:rPr>
          <w:rFonts w:ascii="Roboto" w:eastAsia="Yu Gothic Light" w:hAnsi="Roboto" w:cs="Times New Roman"/>
          <w:b/>
          <w:color w:val="545A60"/>
          <w:sz w:val="21"/>
        </w:rPr>
      </w:pPr>
      <w:bookmarkStart w:id="215" w:name="_Toc169018600"/>
      <w:bookmarkStart w:id="216" w:name="_Toc169189052"/>
      <w:bookmarkStart w:id="217" w:name="_Toc169692854"/>
      <w:r w:rsidRPr="00755D97">
        <w:rPr>
          <w:rFonts w:ascii="Roboto" w:eastAsia="Yu Gothic Light" w:hAnsi="Roboto" w:cs="Times New Roman"/>
          <w:b/>
          <w:color w:val="545A60"/>
          <w:sz w:val="21"/>
        </w:rPr>
        <w:t>How do these findings differ between groups?</w:t>
      </w:r>
      <w:bookmarkEnd w:id="215"/>
      <w:bookmarkEnd w:id="216"/>
      <w:bookmarkEnd w:id="217"/>
    </w:p>
    <w:p w14:paraId="60174949" w14:textId="77777777" w:rsidR="00EE41ED" w:rsidRDefault="00EE41ED" w:rsidP="00EE41ED">
      <w:pPr>
        <w:spacing w:after="0"/>
        <w:rPr>
          <w:rFonts w:ascii="Roboto-Bold" w:eastAsia="Calibri" w:hAnsi="Roboto-Bold"/>
          <w:color w:val="5B626C"/>
        </w:rPr>
      </w:pPr>
      <w:r w:rsidRPr="00875CCF">
        <w:rPr>
          <w:rFonts w:ascii="Roboto-Bold" w:eastAsia="Calibri" w:hAnsi="Roboto-Bold"/>
          <w:color w:val="5B626C"/>
        </w:rPr>
        <w:t>Whole of population</w:t>
      </w:r>
    </w:p>
    <w:p w14:paraId="78635F3D" w14:textId="0F4EFDA7" w:rsidR="00EE41ED" w:rsidRDefault="00EE41ED" w:rsidP="00EE41ED">
      <w:pPr>
        <w:rPr>
          <w:rFonts w:eastAsia="Calibri"/>
        </w:rPr>
      </w:pPr>
      <w:r>
        <w:rPr>
          <w:rFonts w:eastAsia="Calibri"/>
        </w:rPr>
        <w:t>In 2020-2022, across the whole population, a significantly larger proportion of males (10.5%) had ever been without a permanent place to live when compared to females (9.1%). Furthermore, a significantly lower proportion of people aged 65-85 years (7.2%) had ever been without a permanent place to live compared to people aged 16-34 (9.9%) and 35</w:t>
      </w:r>
      <w:r w:rsidR="008C4100">
        <w:rPr>
          <w:rFonts w:eastAsia="Calibri"/>
        </w:rPr>
        <w:noBreakHyphen/>
      </w:r>
      <w:r>
        <w:rPr>
          <w:rFonts w:eastAsia="Calibri"/>
        </w:rPr>
        <w:t>64</w:t>
      </w:r>
      <w:r w:rsidR="00011B38">
        <w:rPr>
          <w:rFonts w:eastAsia="Calibri"/>
        </w:rPr>
        <w:t> </w:t>
      </w:r>
      <w:r>
        <w:rPr>
          <w:rFonts w:eastAsia="Calibri"/>
        </w:rPr>
        <w:t xml:space="preserve">(10.7%) years. </w:t>
      </w:r>
    </w:p>
    <w:p w14:paraId="1749B2AE" w14:textId="77777777" w:rsidR="00EE41ED" w:rsidRDefault="00EE41ED" w:rsidP="00EE41ED">
      <w:pPr>
        <w:rPr>
          <w:rFonts w:ascii="Roboto-Bold" w:eastAsia="Calibri" w:hAnsi="Roboto-Bold"/>
          <w:color w:val="5B626C"/>
        </w:rPr>
      </w:pPr>
      <w:r>
        <w:rPr>
          <w:rFonts w:eastAsia="Calibri"/>
        </w:rPr>
        <w:t>Among people aged 16-34 years and 35-64 years, there were no significant differences between males and females. However, among people aged 65-85 years, males were significantly more likely to have been without a permanent place to live in their lifetime (9.8%) compared to females (5.1%).</w:t>
      </w:r>
    </w:p>
    <w:p w14:paraId="01587915" w14:textId="30B596AF" w:rsidR="00EE41ED" w:rsidRDefault="00EE41ED" w:rsidP="00EE41ED">
      <w:pPr>
        <w:spacing w:after="0"/>
        <w:rPr>
          <w:rFonts w:ascii="Roboto-Bold" w:eastAsia="Calibri" w:hAnsi="Roboto-Bold"/>
          <w:color w:val="5B626C"/>
        </w:rPr>
      </w:pPr>
      <w:r>
        <w:rPr>
          <w:rFonts w:ascii="Roboto-Bold" w:eastAsia="Calibri" w:hAnsi="Roboto-Bold"/>
          <w:color w:val="5B626C"/>
        </w:rPr>
        <w:t xml:space="preserve">Lived </w:t>
      </w:r>
      <w:r w:rsidR="0034584F">
        <w:rPr>
          <w:rFonts w:ascii="Roboto-Bold" w:eastAsia="Calibri" w:hAnsi="Roboto-Bold"/>
          <w:color w:val="5B626C"/>
        </w:rPr>
        <w:t>E</w:t>
      </w:r>
      <w:r>
        <w:rPr>
          <w:rFonts w:ascii="Roboto-Bold" w:eastAsia="Calibri" w:hAnsi="Roboto-Bold"/>
          <w:color w:val="5B626C"/>
        </w:rPr>
        <w:t>xperience</w:t>
      </w:r>
    </w:p>
    <w:p w14:paraId="3A29D320" w14:textId="77777777" w:rsidR="00EE41ED" w:rsidRPr="00755D97" w:rsidRDefault="00EE41ED" w:rsidP="00EE41ED">
      <w:pPr>
        <w:rPr>
          <w:rFonts w:eastAsia="Calibri"/>
        </w:rPr>
      </w:pPr>
      <w:r>
        <w:rPr>
          <w:rFonts w:eastAsia="Calibri"/>
        </w:rPr>
        <w:t>In 2020-2022, the</w:t>
      </w:r>
      <w:r w:rsidRPr="00755D97">
        <w:rPr>
          <w:rFonts w:eastAsia="Calibri"/>
        </w:rPr>
        <w:t xml:space="preserve"> proportion of </w:t>
      </w:r>
      <w:r>
        <w:rPr>
          <w:rFonts w:eastAsia="Calibri"/>
        </w:rPr>
        <w:t xml:space="preserve">people with a 12-month mental disorder </w:t>
      </w:r>
      <w:r w:rsidRPr="00755D97">
        <w:rPr>
          <w:rFonts w:eastAsia="Calibri"/>
        </w:rPr>
        <w:t xml:space="preserve">who had ever been without a permanent place to live </w:t>
      </w:r>
      <w:r>
        <w:rPr>
          <w:rFonts w:eastAsia="Calibri"/>
        </w:rPr>
        <w:t xml:space="preserve">did </w:t>
      </w:r>
      <w:r w:rsidRPr="00755D97">
        <w:rPr>
          <w:rFonts w:eastAsia="Calibri"/>
        </w:rPr>
        <w:t>no</w:t>
      </w:r>
      <w:r>
        <w:rPr>
          <w:rFonts w:eastAsia="Calibri"/>
        </w:rPr>
        <w:t>t</w:t>
      </w:r>
      <w:r w:rsidRPr="00755D97">
        <w:rPr>
          <w:rFonts w:eastAsia="Calibri"/>
        </w:rPr>
        <w:t xml:space="preserve"> significant</w:t>
      </w:r>
      <w:r>
        <w:rPr>
          <w:rFonts w:eastAsia="Calibri"/>
        </w:rPr>
        <w:t>ly</w:t>
      </w:r>
      <w:r w:rsidRPr="00755D97">
        <w:rPr>
          <w:rFonts w:eastAsia="Calibri"/>
        </w:rPr>
        <w:t xml:space="preserve"> differ between males (17.3%) and females (17.9%). However, </w:t>
      </w:r>
      <w:r>
        <w:rPr>
          <w:rFonts w:eastAsia="Calibri"/>
        </w:rPr>
        <w:t>among</w:t>
      </w:r>
      <w:r w:rsidRPr="00755D97" w:rsidDel="004014D8">
        <w:rPr>
          <w:rFonts w:eastAsia="Calibri"/>
        </w:rPr>
        <w:t xml:space="preserve"> </w:t>
      </w:r>
      <w:r>
        <w:rPr>
          <w:rFonts w:eastAsia="Calibri"/>
        </w:rPr>
        <w:t>people</w:t>
      </w:r>
      <w:r w:rsidRPr="00755D97">
        <w:rPr>
          <w:rFonts w:eastAsia="Calibri"/>
        </w:rPr>
        <w:t xml:space="preserve"> without a 12-month mental disorder</w:t>
      </w:r>
      <w:r>
        <w:rPr>
          <w:rFonts w:eastAsia="Calibri"/>
        </w:rPr>
        <w:t>,</w:t>
      </w:r>
      <w:r w:rsidRPr="00755D97">
        <w:rPr>
          <w:rFonts w:eastAsia="Calibri"/>
        </w:rPr>
        <w:t xml:space="preserve"> a higher proportion of males (8.9%) had ever been without a permanent place to live compared to females (6.2%).</w:t>
      </w:r>
    </w:p>
    <w:p w14:paraId="71954AD0" w14:textId="77777777" w:rsidR="00EE41ED" w:rsidRPr="00755D97" w:rsidRDefault="00EE41ED" w:rsidP="00EE41ED">
      <w:pPr>
        <w:rPr>
          <w:rFonts w:eastAsia="Calibri"/>
        </w:rPr>
      </w:pPr>
      <w:r>
        <w:rPr>
          <w:rFonts w:eastAsia="Calibri"/>
        </w:rPr>
        <w:lastRenderedPageBreak/>
        <w:t xml:space="preserve">Among people with a 12-month mental disorder, the </w:t>
      </w:r>
      <w:r w:rsidRPr="00755D97">
        <w:rPr>
          <w:rFonts w:eastAsia="Calibri"/>
        </w:rPr>
        <w:t xml:space="preserve">proportion of </w:t>
      </w:r>
      <w:r>
        <w:rPr>
          <w:rFonts w:eastAsia="Calibri"/>
        </w:rPr>
        <w:t>people</w:t>
      </w:r>
      <w:r w:rsidRPr="00755D97">
        <w:rPr>
          <w:rFonts w:eastAsia="Calibri"/>
        </w:rPr>
        <w:t xml:space="preserve"> who had ever been without a permanent place to live</w:t>
      </w:r>
      <w:r>
        <w:rPr>
          <w:rFonts w:eastAsia="Calibri"/>
        </w:rPr>
        <w:t xml:space="preserve"> differed slightly across age groups</w:t>
      </w:r>
      <w:r w:rsidRPr="00755D97">
        <w:rPr>
          <w:rFonts w:eastAsia="Calibri"/>
        </w:rPr>
        <w:t xml:space="preserve">. </w:t>
      </w:r>
      <w:r>
        <w:rPr>
          <w:rFonts w:eastAsia="Calibri"/>
        </w:rPr>
        <w:t>The proportion was highest for people</w:t>
      </w:r>
      <w:r w:rsidRPr="00755D97">
        <w:rPr>
          <w:rFonts w:eastAsia="Calibri"/>
        </w:rPr>
        <w:t xml:space="preserve"> aged 35</w:t>
      </w:r>
      <w:r>
        <w:rPr>
          <w:rFonts w:eastAsia="Calibri"/>
        </w:rPr>
        <w:noBreakHyphen/>
      </w:r>
      <w:r w:rsidRPr="00755D97">
        <w:rPr>
          <w:rFonts w:eastAsia="Calibri"/>
        </w:rPr>
        <w:t>64</w:t>
      </w:r>
      <w:r>
        <w:rPr>
          <w:rFonts w:eastAsia="Calibri"/>
        </w:rPr>
        <w:t> years</w:t>
      </w:r>
      <w:r w:rsidRPr="00755D97">
        <w:rPr>
          <w:rFonts w:eastAsia="Calibri"/>
        </w:rPr>
        <w:t xml:space="preserve"> </w:t>
      </w:r>
      <w:r>
        <w:rPr>
          <w:rFonts w:eastAsia="Calibri"/>
        </w:rPr>
        <w:t>(</w:t>
      </w:r>
      <w:r w:rsidRPr="00755D97">
        <w:rPr>
          <w:rFonts w:eastAsia="Calibri"/>
        </w:rPr>
        <w:t>19.9%</w:t>
      </w:r>
      <w:r>
        <w:rPr>
          <w:rFonts w:eastAsia="Calibri"/>
        </w:rPr>
        <w:t>)</w:t>
      </w:r>
      <w:r w:rsidRPr="00755D97">
        <w:rPr>
          <w:rFonts w:eastAsia="Calibri"/>
        </w:rPr>
        <w:t xml:space="preserve">, followed by </w:t>
      </w:r>
      <w:r>
        <w:rPr>
          <w:rFonts w:eastAsia="Calibri"/>
        </w:rPr>
        <w:t>people aged 16-34 years (</w:t>
      </w:r>
      <w:r w:rsidRPr="00755D97">
        <w:rPr>
          <w:rFonts w:eastAsia="Calibri"/>
        </w:rPr>
        <w:t>16.8%</w:t>
      </w:r>
      <w:r>
        <w:rPr>
          <w:rFonts w:eastAsia="Calibri"/>
        </w:rPr>
        <w:t>) and 65-85 years (</w:t>
      </w:r>
      <w:r w:rsidRPr="00755D97">
        <w:rPr>
          <w:rFonts w:eastAsia="Calibri"/>
        </w:rPr>
        <w:t>12.4%</w:t>
      </w:r>
      <w:r>
        <w:rPr>
          <w:rFonts w:eastAsia="Calibri"/>
        </w:rPr>
        <w:t>)</w:t>
      </w:r>
      <w:r w:rsidRPr="00755D97">
        <w:rPr>
          <w:rFonts w:eastAsia="Calibri"/>
        </w:rPr>
        <w:t xml:space="preserve">. Similar age group trends </w:t>
      </w:r>
      <w:r>
        <w:rPr>
          <w:rFonts w:eastAsia="Calibri"/>
        </w:rPr>
        <w:t>were</w:t>
      </w:r>
      <w:r w:rsidRPr="00755D97">
        <w:rPr>
          <w:rFonts w:eastAsia="Calibri"/>
        </w:rPr>
        <w:t xml:space="preserve"> observed for </w:t>
      </w:r>
      <w:r>
        <w:rPr>
          <w:rFonts w:eastAsia="Calibri"/>
        </w:rPr>
        <w:t>people</w:t>
      </w:r>
      <w:r w:rsidRPr="00755D97">
        <w:rPr>
          <w:rFonts w:eastAsia="Calibri"/>
        </w:rPr>
        <w:t xml:space="preserve"> without a 12-month mental disorder, albeit at a smaller scale. </w:t>
      </w:r>
    </w:p>
    <w:p w14:paraId="07641137" w14:textId="77777777" w:rsidR="00EE41ED" w:rsidRPr="00755D97" w:rsidRDefault="00EE41ED" w:rsidP="00EE41ED">
      <w:pPr>
        <w:rPr>
          <w:rFonts w:eastAsia="Calibri"/>
        </w:rPr>
      </w:pPr>
      <w:r w:rsidRPr="00755D97">
        <w:rPr>
          <w:rFonts w:eastAsia="Calibri"/>
        </w:rPr>
        <w:t>As s</w:t>
      </w:r>
      <w:r>
        <w:rPr>
          <w:rFonts w:eastAsia="Calibri"/>
        </w:rPr>
        <w:t>hown</w:t>
      </w:r>
      <w:r w:rsidRPr="00755D97">
        <w:rPr>
          <w:rFonts w:eastAsia="Calibri"/>
        </w:rPr>
        <w:t xml:space="preserve"> in Figure </w:t>
      </w:r>
      <w:r>
        <w:rPr>
          <w:rFonts w:eastAsia="Calibri"/>
        </w:rPr>
        <w:t>A6,</w:t>
      </w:r>
      <w:r w:rsidRPr="00755D97">
        <w:rPr>
          <w:rFonts w:eastAsia="Calibri"/>
        </w:rPr>
        <w:t xml:space="preserve"> </w:t>
      </w:r>
      <w:r>
        <w:rPr>
          <w:rFonts w:eastAsia="Calibri"/>
        </w:rPr>
        <w:t>the disparity between people with a 12-month disorder and people without is seen across age groups and sexes.</w:t>
      </w:r>
      <w:r w:rsidRPr="00755D97">
        <w:rPr>
          <w:rFonts w:eastAsia="Calibri"/>
        </w:rPr>
        <w:t xml:space="preserve"> Th</w:t>
      </w:r>
      <w:r>
        <w:rPr>
          <w:rFonts w:eastAsia="Calibri"/>
        </w:rPr>
        <w:t>e largest</w:t>
      </w:r>
      <w:r w:rsidRPr="00755D97">
        <w:rPr>
          <w:rFonts w:eastAsia="Calibri"/>
        </w:rPr>
        <w:t xml:space="preserve"> </w:t>
      </w:r>
      <w:r>
        <w:rPr>
          <w:rFonts w:eastAsia="Calibri"/>
        </w:rPr>
        <w:t>gap was for females aged 35-64 years (</w:t>
      </w:r>
      <w:r w:rsidRPr="00755D97">
        <w:rPr>
          <w:rFonts w:eastAsia="Calibri"/>
        </w:rPr>
        <w:t>12.1</w:t>
      </w:r>
      <w:r>
        <w:rPr>
          <w:rFonts w:eastAsia="Calibri"/>
        </w:rPr>
        <w:t> </w:t>
      </w:r>
      <w:r w:rsidRPr="00755D97">
        <w:rPr>
          <w:rFonts w:eastAsia="Calibri"/>
        </w:rPr>
        <w:t>percentage points</w:t>
      </w:r>
      <w:r>
        <w:rPr>
          <w:rFonts w:eastAsia="Calibri"/>
        </w:rPr>
        <w:t xml:space="preserve">) and the smallest gap was for males aged 65-85 years (2.5 percentage points). </w:t>
      </w:r>
      <w:r w:rsidRPr="00755D97">
        <w:rPr>
          <w:rFonts w:eastAsia="Calibri"/>
        </w:rPr>
        <w:t xml:space="preserve"> </w:t>
      </w:r>
    </w:p>
    <w:p w14:paraId="371A9BAF" w14:textId="347454AD" w:rsidR="00EE41ED" w:rsidRDefault="00EE41ED" w:rsidP="008F07C3">
      <w:pPr>
        <w:spacing w:after="120"/>
        <w:outlineLvl w:val="3"/>
        <w:rPr>
          <w:rFonts w:eastAsia="Calibri"/>
        </w:rPr>
      </w:pPr>
      <w:r w:rsidRPr="00755D97">
        <w:rPr>
          <w:rFonts w:ascii="Roboto" w:eastAsia="Calibri" w:hAnsi="Roboto"/>
          <w:color w:val="008143"/>
        </w:rPr>
        <w:t xml:space="preserve">Figure </w:t>
      </w:r>
      <w:r>
        <w:rPr>
          <w:rFonts w:ascii="Roboto" w:eastAsia="Calibri" w:hAnsi="Roboto"/>
          <w:color w:val="008143"/>
        </w:rPr>
        <w:t>A6</w:t>
      </w:r>
      <w:r w:rsidRPr="00755D97">
        <w:rPr>
          <w:rFonts w:ascii="Roboto" w:eastAsia="Calibri" w:hAnsi="Roboto"/>
          <w:color w:val="008143"/>
        </w:rPr>
        <w:t xml:space="preserve">. </w:t>
      </w:r>
      <w:r w:rsidRPr="00755D97">
        <w:rPr>
          <w:rFonts w:ascii="Roboto" w:eastAsia="Calibri" w:hAnsi="Roboto"/>
          <w:color w:val="5B626C"/>
        </w:rPr>
        <w:t xml:space="preserve">Proportion of people in Australia aged 16-85 </w:t>
      </w:r>
      <w:r>
        <w:rPr>
          <w:rFonts w:ascii="Roboto" w:eastAsia="Calibri" w:hAnsi="Roboto"/>
          <w:color w:val="5B626C"/>
        </w:rPr>
        <w:t>years</w:t>
      </w:r>
      <w:r w:rsidRPr="00755D97">
        <w:rPr>
          <w:rFonts w:ascii="Roboto" w:eastAsia="Calibri" w:hAnsi="Roboto"/>
          <w:color w:val="5B626C"/>
        </w:rPr>
        <w:t xml:space="preserve"> who have ever been without a permanent place to live by 12-month mental disorder status, age group, and sex, 2020-2022</w:t>
      </w:r>
    </w:p>
    <w:p w14:paraId="12D353F5" w14:textId="1FCE893D" w:rsidR="00EE41ED" w:rsidRPr="00755D97" w:rsidRDefault="00F053E1" w:rsidP="00EB08BA">
      <w:pPr>
        <w:spacing w:after="720"/>
        <w:rPr>
          <w:rFonts w:eastAsia="Calibri"/>
        </w:rPr>
      </w:pPr>
      <w:r>
        <w:rPr>
          <w:noProof/>
        </w:rPr>
        <w:drawing>
          <wp:inline distT="0" distB="0" distL="0" distR="0" wp14:anchorId="04A11ADF" wp14:editId="03DA617E">
            <wp:extent cx="6115050" cy="3524250"/>
            <wp:effectExtent l="0" t="0" r="0" b="0"/>
            <wp:docPr id="1620931269" name="Graphic 1620931269" descr="The content of this figure is described in the text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931269" name="Graphic 1620931269" descr="The content of this figure is described in the text above. "/>
                    <pic:cNvPicPr/>
                  </pic:nvPicPr>
                  <pic:blipFill>
                    <a:blip r:embed="rId50">
                      <a:extLst>
                        <a:ext uri="{96DAC541-7B7A-43D3-8B79-37D633B846F1}">
                          <asvg:svgBlip xmlns:asvg="http://schemas.microsoft.com/office/drawing/2016/SVG/main" r:embed="rId51"/>
                        </a:ext>
                      </a:extLst>
                    </a:blip>
                    <a:stretch>
                      <a:fillRect/>
                    </a:stretch>
                  </pic:blipFill>
                  <pic:spPr>
                    <a:xfrm>
                      <a:off x="0" y="0"/>
                      <a:ext cx="6115050" cy="3524250"/>
                    </a:xfrm>
                    <a:prstGeom prst="rect">
                      <a:avLst/>
                    </a:prstGeom>
                  </pic:spPr>
                </pic:pic>
              </a:graphicData>
            </a:graphic>
          </wp:inline>
        </w:drawing>
      </w:r>
    </w:p>
    <w:p w14:paraId="50488724" w14:textId="77777777" w:rsidR="00EE41ED" w:rsidRPr="00755D97" w:rsidRDefault="00EE41ED" w:rsidP="00BD77E3">
      <w:pPr>
        <w:keepLines/>
        <w:spacing w:before="480" w:after="60"/>
        <w:outlineLvl w:val="1"/>
        <w:rPr>
          <w:rFonts w:ascii="Roboto-Bold" w:eastAsia="Yu Gothic Light" w:hAnsi="Roboto-Bold" w:cs="Times New Roman"/>
          <w:color w:val="008143"/>
          <w:sz w:val="26"/>
          <w:szCs w:val="26"/>
        </w:rPr>
      </w:pPr>
      <w:bookmarkStart w:id="218" w:name="_Toc169018601"/>
      <w:bookmarkStart w:id="219" w:name="_Toc169189053"/>
      <w:bookmarkStart w:id="220" w:name="_Toc169692855"/>
      <w:r w:rsidRPr="00755D97">
        <w:rPr>
          <w:rFonts w:ascii="Roboto-Bold" w:eastAsia="Yu Gothic Light" w:hAnsi="Roboto-Bold" w:cs="Times New Roman"/>
          <w:color w:val="008143"/>
          <w:sz w:val="26"/>
          <w:szCs w:val="26"/>
        </w:rPr>
        <w:t>Technical information</w:t>
      </w:r>
      <w:bookmarkEnd w:id="218"/>
      <w:bookmarkEnd w:id="219"/>
      <w:bookmarkEnd w:id="220"/>
    </w:p>
    <w:p w14:paraId="09753F35" w14:textId="77777777" w:rsidR="00EE41ED" w:rsidRDefault="00EE41ED" w:rsidP="00F11FA4">
      <w:pPr>
        <w:keepLines/>
        <w:spacing w:before="120" w:after="60"/>
        <w:outlineLvl w:val="2"/>
        <w:rPr>
          <w:rFonts w:ascii="Roboto" w:eastAsia="Yu Gothic Light" w:hAnsi="Roboto" w:cs="Times New Roman"/>
          <w:color w:val="545A60"/>
          <w:sz w:val="21"/>
        </w:rPr>
      </w:pPr>
      <w:bookmarkStart w:id="221" w:name="_Toc169018602"/>
      <w:bookmarkStart w:id="222" w:name="_Toc169189054"/>
      <w:bookmarkStart w:id="223" w:name="_Toc169692856"/>
      <w:r w:rsidRPr="00755D97">
        <w:rPr>
          <w:rFonts w:ascii="Roboto" w:eastAsia="Yu Gothic Light" w:hAnsi="Roboto" w:cs="Times New Roman"/>
          <w:b/>
          <w:color w:val="545A60"/>
          <w:sz w:val="21"/>
        </w:rPr>
        <w:t>Source</w:t>
      </w:r>
      <w:bookmarkEnd w:id="221"/>
      <w:bookmarkEnd w:id="222"/>
      <w:bookmarkEnd w:id="223"/>
      <w:r w:rsidRPr="00755D97">
        <w:rPr>
          <w:rFonts w:ascii="Roboto" w:eastAsia="Yu Gothic Light" w:hAnsi="Roboto" w:cs="Times New Roman"/>
          <w:color w:val="545A60"/>
          <w:sz w:val="21"/>
        </w:rPr>
        <w:t xml:space="preserve"> </w:t>
      </w:r>
    </w:p>
    <w:p w14:paraId="72068089" w14:textId="77777777" w:rsidR="00EE41ED" w:rsidRPr="00F11FA4" w:rsidRDefault="00EE41ED" w:rsidP="00F11FA4">
      <w:pPr>
        <w:rPr>
          <w:rFonts w:eastAsia="Calibri"/>
        </w:rPr>
      </w:pPr>
      <w:r w:rsidRPr="00F11FA4">
        <w:rPr>
          <w:rFonts w:eastAsia="Calibri"/>
        </w:rPr>
        <w:t xml:space="preserve">Australian Bureau of Statistics </w:t>
      </w:r>
      <w:r w:rsidRPr="007A18AE">
        <w:rPr>
          <w:rFonts w:eastAsia="Calibri"/>
          <w:i/>
        </w:rPr>
        <w:t>National Study of Mental Health and Wellbeing, 2020-2022</w:t>
      </w:r>
      <w:r w:rsidRPr="00F11FA4">
        <w:rPr>
          <w:rFonts w:eastAsia="Calibri"/>
        </w:rPr>
        <w:t>.</w:t>
      </w:r>
    </w:p>
    <w:p w14:paraId="7E7DEF04" w14:textId="77777777" w:rsidR="00EE41ED" w:rsidRDefault="00EE41ED" w:rsidP="00F11FA4">
      <w:pPr>
        <w:keepLines/>
        <w:spacing w:before="120" w:after="60"/>
        <w:outlineLvl w:val="2"/>
        <w:rPr>
          <w:rFonts w:ascii="Roboto" w:eastAsia="Yu Gothic Light" w:hAnsi="Roboto" w:cs="Times New Roman"/>
          <w:color w:val="545A60"/>
          <w:sz w:val="21"/>
        </w:rPr>
      </w:pPr>
      <w:bookmarkStart w:id="224" w:name="_Toc169018603"/>
      <w:bookmarkStart w:id="225" w:name="_Toc169189055"/>
      <w:bookmarkStart w:id="226" w:name="_Toc169692857"/>
      <w:r w:rsidRPr="00755D97">
        <w:rPr>
          <w:rFonts w:ascii="Roboto" w:eastAsia="Yu Gothic Light" w:hAnsi="Roboto" w:cs="Times New Roman"/>
          <w:b/>
          <w:color w:val="545A60"/>
          <w:sz w:val="21"/>
        </w:rPr>
        <w:t>Frequency of data collection</w:t>
      </w:r>
      <w:bookmarkEnd w:id="224"/>
      <w:bookmarkEnd w:id="225"/>
      <w:bookmarkEnd w:id="226"/>
    </w:p>
    <w:p w14:paraId="40477858" w14:textId="77777777" w:rsidR="00EE41ED" w:rsidRPr="00F11FA4" w:rsidRDefault="00EE41ED" w:rsidP="00F11FA4">
      <w:pPr>
        <w:rPr>
          <w:rFonts w:eastAsia="Calibri"/>
        </w:rPr>
      </w:pPr>
      <w:r w:rsidRPr="00F11FA4">
        <w:rPr>
          <w:rFonts w:eastAsia="Calibri"/>
        </w:rPr>
        <w:t xml:space="preserve">Irregular. No future date of publication </w:t>
      </w:r>
      <w:proofErr w:type="gramStart"/>
      <w:r w:rsidRPr="00F11FA4">
        <w:rPr>
          <w:rFonts w:eastAsia="Calibri"/>
        </w:rPr>
        <w:t>at this time</w:t>
      </w:r>
      <w:proofErr w:type="gramEnd"/>
      <w:r w:rsidRPr="00F11FA4">
        <w:rPr>
          <w:rFonts w:eastAsia="Calibri"/>
        </w:rPr>
        <w:t>.</w:t>
      </w:r>
    </w:p>
    <w:p w14:paraId="10E0A69B" w14:textId="77777777" w:rsidR="00EE41ED" w:rsidRDefault="00EE41ED" w:rsidP="00F11FA4">
      <w:pPr>
        <w:keepLines/>
        <w:spacing w:before="120" w:after="60"/>
        <w:outlineLvl w:val="2"/>
        <w:rPr>
          <w:rFonts w:ascii="Roboto" w:eastAsia="Yu Gothic Light" w:hAnsi="Roboto" w:cs="Times New Roman"/>
          <w:color w:val="545A60"/>
          <w:sz w:val="21"/>
        </w:rPr>
      </w:pPr>
      <w:bookmarkStart w:id="227" w:name="_Toc169018604"/>
      <w:bookmarkStart w:id="228" w:name="_Toc169189056"/>
      <w:bookmarkStart w:id="229" w:name="_Toc169692858"/>
      <w:r w:rsidRPr="00755D97">
        <w:rPr>
          <w:rFonts w:ascii="Roboto" w:eastAsia="Yu Gothic Light" w:hAnsi="Roboto" w:cs="Times New Roman"/>
          <w:b/>
          <w:color w:val="545A60"/>
          <w:sz w:val="21"/>
        </w:rPr>
        <w:t>Limitations</w:t>
      </w:r>
      <w:bookmarkEnd w:id="227"/>
      <w:bookmarkEnd w:id="228"/>
      <w:bookmarkEnd w:id="229"/>
    </w:p>
    <w:p w14:paraId="15644B99" w14:textId="4BD2B708" w:rsidR="00EE41ED" w:rsidRPr="00D35222" w:rsidRDefault="00EE41ED" w:rsidP="00D35222">
      <w:pPr>
        <w:pStyle w:val="ListParagraph"/>
        <w:numPr>
          <w:ilvl w:val="0"/>
          <w:numId w:val="35"/>
        </w:numPr>
        <w:rPr>
          <w:rFonts w:eastAsia="Calibri"/>
        </w:rPr>
      </w:pPr>
      <w:r w:rsidRPr="00D35222">
        <w:rPr>
          <w:rFonts w:eastAsia="Calibri"/>
        </w:rPr>
        <w:t>The NSMHW assesses whether a person has ever been without a permanent place to live, as opposed to current living arrangement</w:t>
      </w:r>
      <w:r w:rsidR="002054B8">
        <w:rPr>
          <w:rFonts w:eastAsia="Calibri"/>
        </w:rPr>
        <w:t>s</w:t>
      </w:r>
      <w:r w:rsidRPr="00D35222">
        <w:rPr>
          <w:rFonts w:eastAsia="Calibri"/>
        </w:rPr>
        <w:t xml:space="preserve">. Findings therefore do not represent current rates of homelessness across the population, or among people with a mental disorder. Information on current estimates of homelessness from the latest Census is available at the </w:t>
      </w:r>
      <w:hyperlink r:id="rId52" w:history="1">
        <w:r w:rsidRPr="00D35222">
          <w:rPr>
            <w:rFonts w:eastAsia="Yu Gothic Light" w:cs="Times New Roman"/>
            <w:color w:val="008143"/>
            <w:u w:val="single"/>
          </w:rPr>
          <w:t>ABS website</w:t>
        </w:r>
      </w:hyperlink>
      <w:r w:rsidRPr="00D35222">
        <w:rPr>
          <w:rFonts w:eastAsia="Calibri"/>
        </w:rPr>
        <w:t xml:space="preserve">. </w:t>
      </w:r>
    </w:p>
    <w:p w14:paraId="43B4E467" w14:textId="43F1A1F9" w:rsidR="00EE41ED" w:rsidRPr="00D35222" w:rsidRDefault="00EE41ED" w:rsidP="009A697C">
      <w:pPr>
        <w:pStyle w:val="ListParagraph"/>
        <w:numPr>
          <w:ilvl w:val="0"/>
          <w:numId w:val="35"/>
        </w:numPr>
        <w:spacing w:after="360"/>
        <w:rPr>
          <w:rFonts w:eastAsia="Calibri"/>
        </w:rPr>
      </w:pPr>
      <w:r w:rsidRPr="00D35222">
        <w:rPr>
          <w:rFonts w:eastAsia="Calibri"/>
        </w:rPr>
        <w:t>Detailed information on the methodology is available at the</w:t>
      </w:r>
      <w:r w:rsidR="003C28C3">
        <w:rPr>
          <w:rFonts w:eastAsia="Calibri"/>
        </w:rPr>
        <w:t xml:space="preserve"> </w:t>
      </w:r>
      <w:hyperlink r:id="rId53" w:history="1">
        <w:r w:rsidR="003C28C3" w:rsidRPr="00D35222">
          <w:rPr>
            <w:rFonts w:eastAsia="Yu Gothic Light" w:cs="Times New Roman"/>
            <w:color w:val="008143"/>
            <w:u w:val="single"/>
          </w:rPr>
          <w:t>ABS website</w:t>
        </w:r>
      </w:hyperlink>
      <w:r w:rsidRPr="00D35222">
        <w:rPr>
          <w:rFonts w:eastAsia="Calibri"/>
        </w:rPr>
        <w:t>.</w:t>
      </w:r>
    </w:p>
    <w:p w14:paraId="0DAB29A0" w14:textId="77777777" w:rsidR="00EE41ED" w:rsidRDefault="00EE41ED" w:rsidP="00F11FA4">
      <w:pPr>
        <w:keepLines/>
        <w:spacing w:before="120" w:after="60"/>
        <w:outlineLvl w:val="2"/>
        <w:rPr>
          <w:rFonts w:ascii="Roboto" w:eastAsia="Yu Gothic Light" w:hAnsi="Roboto" w:cs="Times New Roman"/>
          <w:b/>
          <w:color w:val="545A60"/>
          <w:sz w:val="21"/>
        </w:rPr>
      </w:pPr>
      <w:bookmarkStart w:id="230" w:name="_Toc169018605"/>
      <w:bookmarkStart w:id="231" w:name="_Toc169189057"/>
      <w:bookmarkStart w:id="232" w:name="_Toc169692859"/>
      <w:r w:rsidRPr="00755D97">
        <w:rPr>
          <w:rFonts w:ascii="Roboto" w:eastAsia="Yu Gothic Light" w:hAnsi="Roboto" w:cs="Times New Roman"/>
          <w:b/>
          <w:color w:val="545A60"/>
          <w:sz w:val="21"/>
        </w:rPr>
        <w:lastRenderedPageBreak/>
        <w:t>Additional notes</w:t>
      </w:r>
      <w:bookmarkEnd w:id="230"/>
      <w:bookmarkEnd w:id="231"/>
      <w:bookmarkEnd w:id="232"/>
    </w:p>
    <w:p w14:paraId="7A68894E" w14:textId="77777777" w:rsidR="00EE41ED" w:rsidRPr="00D35222" w:rsidRDefault="00EE41ED" w:rsidP="00D35222">
      <w:pPr>
        <w:pStyle w:val="ListParagraph"/>
        <w:numPr>
          <w:ilvl w:val="0"/>
          <w:numId w:val="36"/>
        </w:numPr>
        <w:rPr>
          <w:rFonts w:eastAsia="Calibri"/>
        </w:rPr>
      </w:pPr>
      <w:r w:rsidRPr="00D35222">
        <w:rPr>
          <w:rFonts w:eastAsia="Calibri"/>
        </w:rPr>
        <w:t xml:space="preserve">Comparisons between males and females are based on sex recorded at birth (i.e., what was determined by sex characteristics observed at birth or infancy). </w:t>
      </w:r>
    </w:p>
    <w:p w14:paraId="17687FA8" w14:textId="77777777" w:rsidR="00EE41ED" w:rsidRPr="00D35222" w:rsidRDefault="00EE41ED" w:rsidP="00D35222">
      <w:pPr>
        <w:pStyle w:val="ListParagraph"/>
        <w:numPr>
          <w:ilvl w:val="0"/>
          <w:numId w:val="36"/>
        </w:numPr>
        <w:rPr>
          <w:rFonts w:eastAsia="Calibri"/>
        </w:rPr>
      </w:pPr>
      <w:r w:rsidRPr="00D35222">
        <w:rPr>
          <w:rFonts w:eastAsia="Calibri"/>
        </w:rPr>
        <w:t>People who had ever been without a place to live in their lifetime includes ‘sleeping rough, staying in a crisis or homeless shelter, staying in a refuge, staying with friends or relatives, staying in support/transitional accommodation, staying in a boarding house, staying in other’.</w:t>
      </w:r>
    </w:p>
    <w:p w14:paraId="1EF60F7F" w14:textId="51EDE60F" w:rsidR="00EE41ED" w:rsidRPr="00D35222" w:rsidRDefault="00523406" w:rsidP="00D35222">
      <w:pPr>
        <w:pStyle w:val="ListParagraph"/>
        <w:numPr>
          <w:ilvl w:val="0"/>
          <w:numId w:val="36"/>
        </w:numPr>
        <w:rPr>
          <w:rFonts w:eastAsia="Calibri"/>
        </w:rPr>
      </w:pPr>
      <w:r w:rsidRPr="00EE41ED">
        <w:rPr>
          <w:rFonts w:eastAsia="Calibri"/>
          <w:szCs w:val="18"/>
        </w:rPr>
        <w:t>A 12-month mental disorder refers to people who met the diagnostic criteria for having a mental disorder at some time in their life and had sufficient symptoms of that disorder in the 12 months prior to completing the survey. A person may have more than one 12-month mental disorder.</w:t>
      </w:r>
    </w:p>
    <w:p w14:paraId="60BD4F34" w14:textId="77777777" w:rsidR="00EE41ED" w:rsidRPr="00D35222" w:rsidRDefault="00EE41ED" w:rsidP="00D35222">
      <w:pPr>
        <w:pStyle w:val="ListParagraph"/>
        <w:numPr>
          <w:ilvl w:val="0"/>
          <w:numId w:val="36"/>
        </w:numPr>
        <w:rPr>
          <w:rFonts w:eastAsia="Calibri"/>
        </w:rPr>
      </w:pPr>
      <w:r w:rsidRPr="00D35222">
        <w:rPr>
          <w:rFonts w:eastAsia="Calibri"/>
        </w:rPr>
        <w:t>Some proportions may not add up to 100% due to number perturbation implemented by the data source owner.</w:t>
      </w:r>
    </w:p>
    <w:p w14:paraId="59947673" w14:textId="77777777" w:rsidR="00EE41ED" w:rsidRPr="00755D97" w:rsidRDefault="00EE41ED" w:rsidP="00D15CD9">
      <w:pPr>
        <w:pStyle w:val="Heading1"/>
        <w:rPr>
          <w:rFonts w:eastAsia="Yu Gothic Light" w:cs="Times New Roman"/>
        </w:rPr>
      </w:pPr>
      <w:r w:rsidRPr="00755D97">
        <w:rPr>
          <w:rFonts w:eastAsia="Calibri"/>
        </w:rPr>
        <w:br w:type="page"/>
      </w:r>
      <w:bookmarkStart w:id="233" w:name="_Toc169692860"/>
      <w:bookmarkStart w:id="234" w:name="_Toc169868018"/>
      <w:r>
        <w:rPr>
          <w:rFonts w:eastAsia="Yu Gothic Light" w:cs="Times New Roman"/>
        </w:rPr>
        <w:lastRenderedPageBreak/>
        <w:t>CI 7</w:t>
      </w:r>
      <w:r w:rsidRPr="00755D97">
        <w:rPr>
          <w:rFonts w:eastAsia="Yu Gothic Light" w:cs="Times New Roman"/>
        </w:rPr>
        <w:t xml:space="preserve">: Financial stress </w:t>
      </w:r>
      <w:bookmarkEnd w:id="233"/>
      <w:bookmarkEnd w:id="234"/>
    </w:p>
    <w:p w14:paraId="2F90FD95" w14:textId="77777777" w:rsidR="00EE41ED" w:rsidRPr="00755D97" w:rsidRDefault="00EE41ED" w:rsidP="00EE41ED">
      <w:pPr>
        <w:keepNext/>
        <w:keepLines/>
        <w:spacing w:before="60" w:after="60"/>
        <w:outlineLvl w:val="1"/>
        <w:rPr>
          <w:rFonts w:ascii="Roboto-Bold" w:eastAsia="Yu Gothic Light" w:hAnsi="Roboto-Bold" w:cs="Times New Roman"/>
          <w:color w:val="008143"/>
          <w:sz w:val="26"/>
          <w:szCs w:val="26"/>
        </w:rPr>
      </w:pPr>
      <w:bookmarkStart w:id="235" w:name="_Toc169018607"/>
      <w:bookmarkStart w:id="236" w:name="_Toc169189059"/>
      <w:bookmarkStart w:id="237" w:name="_Toc169692861"/>
      <w:r w:rsidRPr="00755D97">
        <w:rPr>
          <w:rFonts w:ascii="Roboto-Bold" w:eastAsia="Yu Gothic Light" w:hAnsi="Roboto-Bold" w:cs="Times New Roman"/>
          <w:color w:val="008143"/>
          <w:sz w:val="26"/>
          <w:szCs w:val="26"/>
        </w:rPr>
        <w:t>What we are tracking (and why)</w:t>
      </w:r>
      <w:bookmarkEnd w:id="235"/>
      <w:bookmarkEnd w:id="236"/>
      <w:bookmarkEnd w:id="237"/>
    </w:p>
    <w:p w14:paraId="685D14DE" w14:textId="77777777" w:rsidR="00EE41ED" w:rsidRDefault="00EE41ED" w:rsidP="00EE41ED">
      <w:pPr>
        <w:rPr>
          <w:rFonts w:eastAsia="Calibri"/>
          <w:szCs w:val="18"/>
        </w:rPr>
      </w:pPr>
      <w:r>
        <w:rPr>
          <w:rFonts w:eastAsia="Calibri"/>
          <w:szCs w:val="18"/>
        </w:rPr>
        <w:t>This indicator tracks</w:t>
      </w:r>
      <w:r w:rsidRPr="00755D97">
        <w:rPr>
          <w:rFonts w:eastAsia="Calibri"/>
          <w:szCs w:val="18"/>
        </w:rPr>
        <w:t xml:space="preserve"> the proportion of households </w:t>
      </w:r>
      <w:r>
        <w:rPr>
          <w:rFonts w:eastAsia="Calibri"/>
          <w:szCs w:val="18"/>
        </w:rPr>
        <w:t>in Australia</w:t>
      </w:r>
      <w:r w:rsidRPr="00755D97">
        <w:rPr>
          <w:rFonts w:eastAsia="Calibri"/>
          <w:szCs w:val="18"/>
        </w:rPr>
        <w:t xml:space="preserve"> that are unable to raise $2,000 within a week for something important. </w:t>
      </w:r>
      <w:r>
        <w:rPr>
          <w:rFonts w:eastAsia="Calibri"/>
          <w:szCs w:val="18"/>
        </w:rPr>
        <w:t xml:space="preserve">This measure does not prescribe how those funds would be raised, and so </w:t>
      </w:r>
      <w:r w:rsidRPr="00755D97">
        <w:rPr>
          <w:rFonts w:eastAsia="Calibri"/>
          <w:szCs w:val="18"/>
        </w:rPr>
        <w:t xml:space="preserve">accounts for the diversity of </w:t>
      </w:r>
      <w:r>
        <w:rPr>
          <w:rFonts w:eastAsia="Calibri"/>
          <w:szCs w:val="18"/>
        </w:rPr>
        <w:t xml:space="preserve">resources that </w:t>
      </w:r>
      <w:r w:rsidRPr="00755D97">
        <w:rPr>
          <w:rFonts w:eastAsia="Calibri"/>
          <w:szCs w:val="18"/>
        </w:rPr>
        <w:t xml:space="preserve">households </w:t>
      </w:r>
      <w:r>
        <w:rPr>
          <w:rFonts w:eastAsia="Calibri"/>
          <w:szCs w:val="18"/>
        </w:rPr>
        <w:t xml:space="preserve">might draw on, such as </w:t>
      </w:r>
      <w:r w:rsidRPr="00755D97">
        <w:rPr>
          <w:rFonts w:eastAsia="Calibri"/>
          <w:szCs w:val="18"/>
        </w:rPr>
        <w:t xml:space="preserve">from savings, loans from family or friends, </w:t>
      </w:r>
      <w:r>
        <w:rPr>
          <w:rFonts w:eastAsia="Calibri"/>
          <w:szCs w:val="18"/>
        </w:rPr>
        <w:t xml:space="preserve">or </w:t>
      </w:r>
      <w:r w:rsidRPr="00755D97">
        <w:rPr>
          <w:rFonts w:eastAsia="Calibri"/>
          <w:szCs w:val="18"/>
        </w:rPr>
        <w:t>sell</w:t>
      </w:r>
      <w:r>
        <w:rPr>
          <w:rFonts w:eastAsia="Calibri"/>
          <w:szCs w:val="18"/>
        </w:rPr>
        <w:t>ing</w:t>
      </w:r>
      <w:r w:rsidRPr="00755D97">
        <w:rPr>
          <w:rFonts w:eastAsia="Calibri"/>
          <w:szCs w:val="18"/>
        </w:rPr>
        <w:t xml:space="preserve"> belongings.</w:t>
      </w:r>
    </w:p>
    <w:p w14:paraId="55F67D63" w14:textId="7BAFC4BF" w:rsidR="00EE41ED" w:rsidRPr="00755D97" w:rsidRDefault="00EE41ED" w:rsidP="00EE41ED">
      <w:pPr>
        <w:rPr>
          <w:rFonts w:eastAsia="Calibri"/>
          <w:szCs w:val="18"/>
        </w:rPr>
      </w:pPr>
      <w:r w:rsidRPr="00755D97">
        <w:rPr>
          <w:rFonts w:eastAsia="Calibri"/>
          <w:szCs w:val="18"/>
        </w:rPr>
        <w:t xml:space="preserve">Financial stress is a significant risk factor for </w:t>
      </w:r>
      <w:r>
        <w:rPr>
          <w:rFonts w:eastAsia="Calibri"/>
          <w:szCs w:val="18"/>
        </w:rPr>
        <w:t xml:space="preserve">poor </w:t>
      </w:r>
      <w:r w:rsidRPr="00755D97">
        <w:rPr>
          <w:rFonts w:eastAsia="Calibri"/>
          <w:szCs w:val="18"/>
        </w:rPr>
        <w:t xml:space="preserve">mental health and can cause or worsen psychological distress, anxiety, </w:t>
      </w:r>
      <w:proofErr w:type="gramStart"/>
      <w:r w:rsidRPr="00755D97">
        <w:rPr>
          <w:rFonts w:eastAsia="Calibri"/>
          <w:szCs w:val="18"/>
        </w:rPr>
        <w:t>depression</w:t>
      </w:r>
      <w:proofErr w:type="gramEnd"/>
      <w:r w:rsidRPr="00755D97">
        <w:rPr>
          <w:rFonts w:eastAsia="Calibri"/>
          <w:szCs w:val="18"/>
        </w:rPr>
        <w:t xml:space="preserve"> or suicidal thoughts. While mechanisms for how this occur</w:t>
      </w:r>
      <w:r>
        <w:rPr>
          <w:rFonts w:eastAsia="Calibri"/>
          <w:szCs w:val="18"/>
        </w:rPr>
        <w:t>s</w:t>
      </w:r>
      <w:r w:rsidRPr="00755D97">
        <w:rPr>
          <w:rFonts w:eastAsia="Calibri"/>
          <w:szCs w:val="18"/>
        </w:rPr>
        <w:t xml:space="preserve"> is complex, financial stress may </w:t>
      </w:r>
      <w:r w:rsidRPr="00F11FA4">
        <w:rPr>
          <w:rFonts w:eastAsia="Calibri"/>
          <w:szCs w:val="18"/>
        </w:rPr>
        <w:t>be due to exposure to</w:t>
      </w:r>
      <w:r w:rsidRPr="00755D97">
        <w:rPr>
          <w:rFonts w:eastAsia="Calibri"/>
          <w:szCs w:val="18"/>
        </w:rPr>
        <w:t xml:space="preserve"> worse living conditions, unhealthy lifestyles, social isolation, or negative life events</w:t>
      </w:r>
      <w:r w:rsidR="00FF76D5">
        <w:rPr>
          <w:rFonts w:eastAsia="Calibri"/>
          <w:szCs w:val="18"/>
        </w:rPr>
        <w:t>.</w:t>
      </w:r>
      <w:r w:rsidRPr="00F11FA4">
        <w:rPr>
          <w:vertAlign w:val="superscript"/>
        </w:rPr>
        <w:footnoteReference w:id="13"/>
      </w:r>
      <w:r w:rsidRPr="00F11FA4">
        <w:rPr>
          <w:rFonts w:eastAsia="Calibri"/>
          <w:szCs w:val="18"/>
          <w:vertAlign w:val="superscript"/>
        </w:rPr>
        <w:t>,</w:t>
      </w:r>
      <w:r w:rsidRPr="00F11FA4">
        <w:rPr>
          <w:vertAlign w:val="superscript"/>
        </w:rPr>
        <w:footnoteReference w:id="14"/>
      </w:r>
      <w:r w:rsidRPr="00755D97">
        <w:rPr>
          <w:rFonts w:eastAsia="Calibri"/>
          <w:szCs w:val="18"/>
        </w:rPr>
        <w:t xml:space="preserve"> Increases in financial stress may forecast poorer mental health across the population</w:t>
      </w:r>
      <w:r>
        <w:rPr>
          <w:rFonts w:eastAsia="Calibri"/>
          <w:szCs w:val="18"/>
        </w:rPr>
        <w:t xml:space="preserve"> in future</w:t>
      </w:r>
      <w:r w:rsidRPr="00755D97">
        <w:rPr>
          <w:rFonts w:eastAsia="Calibri"/>
          <w:szCs w:val="18"/>
        </w:rPr>
        <w:t>, or increased pressure and reliance on mental health services.</w:t>
      </w:r>
    </w:p>
    <w:p w14:paraId="6C3518A7" w14:textId="77777777" w:rsidR="00EE41ED" w:rsidRPr="00755D97" w:rsidRDefault="00EE41ED" w:rsidP="00EE41ED">
      <w:pPr>
        <w:keepNext/>
        <w:keepLines/>
        <w:spacing w:before="60" w:after="60"/>
        <w:outlineLvl w:val="1"/>
        <w:rPr>
          <w:rFonts w:ascii="Roboto-Bold" w:eastAsia="Yu Gothic Light" w:hAnsi="Roboto-Bold" w:cs="Times New Roman"/>
          <w:color w:val="008143"/>
          <w:sz w:val="26"/>
          <w:szCs w:val="26"/>
        </w:rPr>
      </w:pPr>
      <w:bookmarkStart w:id="238" w:name="_Toc169018608"/>
      <w:bookmarkStart w:id="239" w:name="_Toc169189060"/>
      <w:bookmarkStart w:id="240" w:name="_Toc169692862"/>
      <w:r w:rsidRPr="00755D97">
        <w:rPr>
          <w:rFonts w:ascii="Roboto-Bold" w:eastAsia="Yu Gothic Light" w:hAnsi="Roboto-Bold" w:cs="Times New Roman"/>
          <w:color w:val="008143"/>
          <w:sz w:val="26"/>
          <w:szCs w:val="26"/>
        </w:rPr>
        <w:t>What the data tells us</w:t>
      </w:r>
      <w:bookmarkEnd w:id="238"/>
      <w:bookmarkEnd w:id="239"/>
      <w:bookmarkEnd w:id="240"/>
    </w:p>
    <w:p w14:paraId="4BFFA8C4" w14:textId="77777777" w:rsidR="00EE41ED" w:rsidRPr="00755D97" w:rsidRDefault="00EE41ED" w:rsidP="00EE41ED">
      <w:pPr>
        <w:keepNext/>
        <w:keepLines/>
        <w:spacing w:before="60" w:after="60"/>
        <w:outlineLvl w:val="2"/>
        <w:rPr>
          <w:rFonts w:ascii="Roboto" w:eastAsia="Yu Gothic Light" w:hAnsi="Roboto" w:cs="Times New Roman"/>
          <w:b/>
          <w:color w:val="545A60"/>
          <w:sz w:val="21"/>
        </w:rPr>
      </w:pPr>
      <w:bookmarkStart w:id="241" w:name="_Toc169018609"/>
      <w:bookmarkStart w:id="242" w:name="_Toc169189061"/>
      <w:bookmarkStart w:id="243" w:name="_Toc169692863"/>
      <w:r w:rsidRPr="00755D97">
        <w:rPr>
          <w:rFonts w:ascii="Roboto" w:eastAsia="Yu Gothic Light" w:hAnsi="Roboto" w:cs="Times New Roman"/>
          <w:b/>
          <w:color w:val="545A60"/>
          <w:sz w:val="21"/>
        </w:rPr>
        <w:t xml:space="preserve">Indicator </w:t>
      </w:r>
      <w:r>
        <w:rPr>
          <w:rFonts w:ascii="Roboto" w:eastAsia="Yu Gothic Light" w:hAnsi="Roboto" w:cs="Times New Roman"/>
          <w:b/>
          <w:color w:val="545A60"/>
          <w:sz w:val="21"/>
        </w:rPr>
        <w:t>f</w:t>
      </w:r>
      <w:r w:rsidRPr="00755D97">
        <w:rPr>
          <w:rFonts w:ascii="Roboto" w:eastAsia="Yu Gothic Light" w:hAnsi="Roboto" w:cs="Times New Roman"/>
          <w:b/>
          <w:color w:val="545A60"/>
          <w:sz w:val="21"/>
        </w:rPr>
        <w:t>indings</w:t>
      </w:r>
      <w:bookmarkEnd w:id="241"/>
      <w:bookmarkEnd w:id="242"/>
      <w:bookmarkEnd w:id="243"/>
    </w:p>
    <w:p w14:paraId="29FA48D6" w14:textId="77777777" w:rsidR="00EE41ED" w:rsidRPr="00F11FA4" w:rsidRDefault="00EE41ED" w:rsidP="00F11FA4">
      <w:pPr>
        <w:rPr>
          <w:rFonts w:eastAsia="Calibri"/>
          <w:szCs w:val="18"/>
        </w:rPr>
      </w:pPr>
      <w:r w:rsidRPr="00F11FA4">
        <w:rPr>
          <w:rFonts w:eastAsia="Calibri"/>
          <w:szCs w:val="18"/>
        </w:rPr>
        <w:t>In 2020, almost one in five (18.7%) of households in Australia were unable to raise $2,000 within a week for something important. As seen in Figure A7, proportions remained relatively stable from 2006 to 2014, before jumping significantly in 2019, and remaining stable through to 2020. Financial stress data is not currently available for the 2021-2023 period.</w:t>
      </w:r>
    </w:p>
    <w:p w14:paraId="2D04479F" w14:textId="77777777" w:rsidR="001576B3" w:rsidRPr="00F11FA4" w:rsidRDefault="001576B3" w:rsidP="001576B3">
      <w:pPr>
        <w:rPr>
          <w:rFonts w:eastAsia="Calibri"/>
          <w:szCs w:val="18"/>
        </w:rPr>
      </w:pPr>
      <w:r w:rsidRPr="00F11FA4">
        <w:rPr>
          <w:rFonts w:eastAsia="Calibri"/>
          <w:szCs w:val="18"/>
        </w:rPr>
        <w:t>Importantly, data for the ability to raise $2,000 is not adjusted for inflation. The purchasing power of $2,000 was less in 2020 compared to 2006, yet a higher proportion of people were unable to raise $2,000 in 2020. The observed increase over time for this measure may therefore under-represent the actual rise in financial stress across the population.</w:t>
      </w:r>
    </w:p>
    <w:p w14:paraId="3E3EB701" w14:textId="1B518735" w:rsidR="00674B2F" w:rsidRPr="00755D97" w:rsidRDefault="00EE41ED" w:rsidP="008F07C3">
      <w:pPr>
        <w:spacing w:after="120"/>
        <w:outlineLvl w:val="3"/>
        <w:rPr>
          <w:rFonts w:ascii="Roboto" w:eastAsia="Calibri" w:hAnsi="Roboto"/>
          <w:color w:val="5B626C"/>
        </w:rPr>
      </w:pPr>
      <w:r w:rsidRPr="00755D97">
        <w:rPr>
          <w:rFonts w:ascii="Roboto" w:eastAsia="Calibri" w:hAnsi="Roboto"/>
          <w:color w:val="008143"/>
        </w:rPr>
        <w:t xml:space="preserve">Figure </w:t>
      </w:r>
      <w:r>
        <w:rPr>
          <w:rFonts w:ascii="Roboto" w:eastAsia="Calibri" w:hAnsi="Roboto"/>
          <w:color w:val="008143"/>
        </w:rPr>
        <w:t>A7</w:t>
      </w:r>
      <w:r w:rsidRPr="00755D97">
        <w:rPr>
          <w:rFonts w:ascii="Roboto" w:eastAsia="Calibri" w:hAnsi="Roboto"/>
          <w:color w:val="008143"/>
        </w:rPr>
        <w:t xml:space="preserve">. </w:t>
      </w:r>
      <w:r w:rsidRPr="00755D97">
        <w:rPr>
          <w:rFonts w:ascii="Roboto" w:eastAsia="Calibri" w:hAnsi="Roboto"/>
          <w:color w:val="5B626C"/>
        </w:rPr>
        <w:t>Proportion of</w:t>
      </w:r>
      <w:r>
        <w:rPr>
          <w:rFonts w:ascii="Roboto" w:eastAsia="Calibri" w:hAnsi="Roboto"/>
          <w:color w:val="5B626C"/>
        </w:rPr>
        <w:t xml:space="preserve"> </w:t>
      </w:r>
      <w:r w:rsidRPr="00755D97">
        <w:rPr>
          <w:rFonts w:ascii="Roboto" w:eastAsia="Calibri" w:hAnsi="Roboto"/>
          <w:color w:val="5B626C"/>
        </w:rPr>
        <w:t xml:space="preserve">households </w:t>
      </w:r>
      <w:r>
        <w:rPr>
          <w:rFonts w:ascii="Roboto" w:eastAsia="Calibri" w:hAnsi="Roboto"/>
          <w:color w:val="5B626C"/>
        </w:rPr>
        <w:t xml:space="preserve">in Australia </w:t>
      </w:r>
      <w:r w:rsidRPr="00755D97">
        <w:rPr>
          <w:rFonts w:ascii="Roboto" w:eastAsia="Calibri" w:hAnsi="Roboto"/>
          <w:color w:val="5B626C"/>
        </w:rPr>
        <w:t>who were unable to raise $2,000 within a week for something important over time, 2006-2020</w:t>
      </w:r>
      <w:r w:rsidR="00444EF1">
        <w:rPr>
          <w:noProof/>
        </w:rPr>
        <w:drawing>
          <wp:inline distT="0" distB="0" distL="0" distR="0" wp14:anchorId="6B56C6F4" wp14:editId="473BF657">
            <wp:extent cx="6115050" cy="3057525"/>
            <wp:effectExtent l="0" t="0" r="0" b="9525"/>
            <wp:docPr id="1620931270" name="Graphic 1620931270" descr="The content of this figure is described in the text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931270" name="Graphic 1620931270" descr="The content of this figure is described in the text above. "/>
                    <pic:cNvPicPr/>
                  </pic:nvPicPr>
                  <pic:blipFill>
                    <a:blip r:embed="rId54">
                      <a:extLst>
                        <a:ext uri="{96DAC541-7B7A-43D3-8B79-37D633B846F1}">
                          <asvg:svgBlip xmlns:asvg="http://schemas.microsoft.com/office/drawing/2016/SVG/main" r:embed="rId55"/>
                        </a:ext>
                      </a:extLst>
                    </a:blip>
                    <a:stretch>
                      <a:fillRect/>
                    </a:stretch>
                  </pic:blipFill>
                  <pic:spPr>
                    <a:xfrm>
                      <a:off x="0" y="0"/>
                      <a:ext cx="6115050" cy="3057525"/>
                    </a:xfrm>
                    <a:prstGeom prst="rect">
                      <a:avLst/>
                    </a:prstGeom>
                  </pic:spPr>
                </pic:pic>
              </a:graphicData>
            </a:graphic>
          </wp:inline>
        </w:drawing>
      </w:r>
    </w:p>
    <w:p w14:paraId="67B25EE4" w14:textId="77777777" w:rsidR="00EE41ED" w:rsidRPr="00755D97" w:rsidRDefault="00EE41ED" w:rsidP="00BD77E3">
      <w:pPr>
        <w:keepNext/>
        <w:keepLines/>
        <w:spacing w:before="480" w:after="60"/>
        <w:outlineLvl w:val="1"/>
        <w:rPr>
          <w:rFonts w:ascii="Roboto-Bold" w:eastAsia="Yu Gothic Light" w:hAnsi="Roboto-Bold" w:cs="Times New Roman"/>
          <w:color w:val="008143"/>
          <w:sz w:val="26"/>
          <w:szCs w:val="26"/>
        </w:rPr>
      </w:pPr>
      <w:bookmarkStart w:id="244" w:name="_Toc169018610"/>
      <w:bookmarkStart w:id="245" w:name="_Toc169189062"/>
      <w:bookmarkStart w:id="246" w:name="_Toc169692864"/>
      <w:r w:rsidRPr="00755D97">
        <w:rPr>
          <w:rFonts w:ascii="Roboto-Bold" w:eastAsia="Yu Gothic Light" w:hAnsi="Roboto-Bold" w:cs="Times New Roman"/>
          <w:color w:val="008143"/>
          <w:sz w:val="26"/>
          <w:szCs w:val="26"/>
        </w:rPr>
        <w:lastRenderedPageBreak/>
        <w:t>Technical information</w:t>
      </w:r>
      <w:bookmarkEnd w:id="244"/>
      <w:bookmarkEnd w:id="245"/>
      <w:bookmarkEnd w:id="246"/>
    </w:p>
    <w:p w14:paraId="40EF3682" w14:textId="77777777" w:rsidR="00EE41ED" w:rsidRDefault="00EE41ED" w:rsidP="00EE41ED">
      <w:pPr>
        <w:keepNext/>
        <w:keepLines/>
        <w:spacing w:before="120" w:after="60"/>
        <w:outlineLvl w:val="2"/>
        <w:rPr>
          <w:rFonts w:ascii="Roboto" w:eastAsia="Yu Gothic Light" w:hAnsi="Roboto" w:cs="Times New Roman"/>
          <w:b/>
          <w:color w:val="545A60"/>
          <w:sz w:val="21"/>
        </w:rPr>
      </w:pPr>
      <w:bookmarkStart w:id="247" w:name="_Toc169018611"/>
      <w:bookmarkStart w:id="248" w:name="_Toc169189063"/>
      <w:bookmarkStart w:id="249" w:name="_Toc169692865"/>
      <w:r w:rsidRPr="00755D97">
        <w:rPr>
          <w:rFonts w:ascii="Roboto" w:eastAsia="Yu Gothic Light" w:hAnsi="Roboto" w:cs="Times New Roman"/>
          <w:b/>
          <w:color w:val="545A60"/>
          <w:sz w:val="21"/>
        </w:rPr>
        <w:t>Source</w:t>
      </w:r>
      <w:bookmarkEnd w:id="247"/>
      <w:bookmarkEnd w:id="248"/>
      <w:bookmarkEnd w:id="249"/>
    </w:p>
    <w:p w14:paraId="340ADF5C" w14:textId="77777777" w:rsidR="00EE41ED" w:rsidRPr="00F11FA4" w:rsidRDefault="00EE41ED" w:rsidP="00F11FA4">
      <w:pPr>
        <w:rPr>
          <w:rFonts w:eastAsia="Calibri"/>
          <w:szCs w:val="18"/>
        </w:rPr>
      </w:pPr>
      <w:r w:rsidRPr="00F11FA4">
        <w:rPr>
          <w:rFonts w:eastAsia="Calibri"/>
          <w:szCs w:val="18"/>
        </w:rPr>
        <w:t xml:space="preserve">Australian Bureau of Statistics (ABS) </w:t>
      </w:r>
      <w:r w:rsidRPr="007A18AE">
        <w:rPr>
          <w:rFonts w:eastAsia="Calibri"/>
          <w:i/>
          <w:szCs w:val="18"/>
        </w:rPr>
        <w:t>General Social Survey, 2020</w:t>
      </w:r>
      <w:r w:rsidRPr="00F11FA4">
        <w:rPr>
          <w:rFonts w:eastAsia="Calibri"/>
          <w:szCs w:val="18"/>
        </w:rPr>
        <w:t xml:space="preserve">; ABS </w:t>
      </w:r>
      <w:r w:rsidRPr="007A18AE">
        <w:rPr>
          <w:rFonts w:eastAsia="Calibri"/>
          <w:i/>
          <w:szCs w:val="18"/>
        </w:rPr>
        <w:t>General Social Survey, 2019</w:t>
      </w:r>
      <w:r w:rsidRPr="00F11FA4">
        <w:rPr>
          <w:rFonts w:eastAsia="Calibri"/>
          <w:szCs w:val="18"/>
        </w:rPr>
        <w:t xml:space="preserve">; ABS </w:t>
      </w:r>
      <w:r w:rsidRPr="007A18AE">
        <w:rPr>
          <w:rFonts w:eastAsia="Calibri"/>
          <w:i/>
          <w:szCs w:val="18"/>
        </w:rPr>
        <w:t>General Social Survey, 2014</w:t>
      </w:r>
      <w:r w:rsidRPr="00F11FA4">
        <w:rPr>
          <w:rFonts w:eastAsia="Calibri"/>
          <w:szCs w:val="18"/>
        </w:rPr>
        <w:t xml:space="preserve">: ABS </w:t>
      </w:r>
      <w:r w:rsidRPr="007A18AE">
        <w:rPr>
          <w:rFonts w:eastAsia="Calibri"/>
          <w:i/>
          <w:szCs w:val="18"/>
        </w:rPr>
        <w:t>General Social Survey, 2010</w:t>
      </w:r>
      <w:r w:rsidRPr="00F11FA4">
        <w:rPr>
          <w:rFonts w:eastAsia="Calibri"/>
          <w:szCs w:val="18"/>
        </w:rPr>
        <w:t xml:space="preserve">; ABS </w:t>
      </w:r>
      <w:r w:rsidRPr="007A18AE">
        <w:rPr>
          <w:rFonts w:eastAsia="Calibri"/>
          <w:i/>
          <w:szCs w:val="18"/>
        </w:rPr>
        <w:t>General Social Survey, 2006</w:t>
      </w:r>
      <w:r w:rsidRPr="00F11FA4">
        <w:rPr>
          <w:rFonts w:eastAsia="Calibri"/>
          <w:szCs w:val="18"/>
        </w:rPr>
        <w:t>.</w:t>
      </w:r>
    </w:p>
    <w:p w14:paraId="2027A6DD" w14:textId="77777777" w:rsidR="00EE41ED" w:rsidRDefault="00EE41ED" w:rsidP="00EE41ED">
      <w:pPr>
        <w:keepNext/>
        <w:keepLines/>
        <w:spacing w:before="120" w:after="60"/>
        <w:outlineLvl w:val="2"/>
        <w:rPr>
          <w:rFonts w:ascii="Roboto" w:eastAsia="Yu Gothic Light" w:hAnsi="Roboto" w:cs="Times New Roman"/>
          <w:b/>
          <w:color w:val="545A60"/>
          <w:sz w:val="21"/>
        </w:rPr>
      </w:pPr>
      <w:bookmarkStart w:id="250" w:name="_Toc169018612"/>
      <w:bookmarkStart w:id="251" w:name="_Toc169189064"/>
      <w:bookmarkStart w:id="252" w:name="_Toc169692866"/>
      <w:r w:rsidRPr="00755D97">
        <w:rPr>
          <w:rFonts w:ascii="Roboto" w:eastAsia="Yu Gothic Light" w:hAnsi="Roboto" w:cs="Times New Roman"/>
          <w:b/>
          <w:color w:val="545A60"/>
          <w:sz w:val="21"/>
        </w:rPr>
        <w:t>Frequency of data collection</w:t>
      </w:r>
      <w:bookmarkEnd w:id="250"/>
      <w:bookmarkEnd w:id="251"/>
      <w:bookmarkEnd w:id="252"/>
    </w:p>
    <w:p w14:paraId="2C3928FB" w14:textId="675DB549" w:rsidR="00EE41ED" w:rsidRPr="00F11FA4" w:rsidRDefault="00EE41ED" w:rsidP="00F11FA4">
      <w:pPr>
        <w:rPr>
          <w:rFonts w:eastAsia="Calibri"/>
          <w:szCs w:val="18"/>
        </w:rPr>
      </w:pPr>
      <w:r w:rsidRPr="00F11FA4">
        <w:rPr>
          <w:rFonts w:eastAsia="Calibri"/>
          <w:szCs w:val="18"/>
        </w:rPr>
        <w:t>Approximately every four years. Some changes in data collection schedule due to the COVID-19 pandemic period.</w:t>
      </w:r>
    </w:p>
    <w:p w14:paraId="27E5DD9B" w14:textId="77777777" w:rsidR="00EE41ED" w:rsidRDefault="00EE41ED" w:rsidP="00EE41ED">
      <w:pPr>
        <w:keepNext/>
        <w:keepLines/>
        <w:spacing w:before="120" w:after="60"/>
        <w:outlineLvl w:val="2"/>
        <w:rPr>
          <w:rFonts w:ascii="Roboto" w:eastAsia="Yu Gothic Light" w:hAnsi="Roboto" w:cs="Times New Roman"/>
          <w:b/>
          <w:color w:val="545A60"/>
          <w:sz w:val="21"/>
        </w:rPr>
      </w:pPr>
      <w:bookmarkStart w:id="253" w:name="_Toc169018613"/>
      <w:bookmarkStart w:id="254" w:name="_Toc169189065"/>
      <w:bookmarkStart w:id="255" w:name="_Toc169692867"/>
      <w:r w:rsidRPr="00755D97">
        <w:rPr>
          <w:rFonts w:ascii="Roboto" w:eastAsia="Yu Gothic Light" w:hAnsi="Roboto" w:cs="Times New Roman"/>
          <w:b/>
          <w:color w:val="545A60"/>
          <w:sz w:val="21"/>
        </w:rPr>
        <w:t>Limitations</w:t>
      </w:r>
      <w:bookmarkEnd w:id="253"/>
      <w:bookmarkEnd w:id="254"/>
      <w:bookmarkEnd w:id="255"/>
    </w:p>
    <w:p w14:paraId="38735488" w14:textId="77777777" w:rsidR="00EE41ED" w:rsidRPr="00D35222" w:rsidRDefault="00EE41ED" w:rsidP="00D35222">
      <w:pPr>
        <w:pStyle w:val="ListParagraph"/>
        <w:numPr>
          <w:ilvl w:val="0"/>
          <w:numId w:val="37"/>
        </w:numPr>
        <w:rPr>
          <w:rFonts w:eastAsia="Calibri"/>
          <w:szCs w:val="18"/>
        </w:rPr>
      </w:pPr>
      <w:r w:rsidRPr="00D35222">
        <w:rPr>
          <w:rFonts w:eastAsia="Calibri"/>
          <w:szCs w:val="18"/>
        </w:rPr>
        <w:t>Care should made when comparing 2020 data to earlier years due to changes in the survey methodology, higher rates of non-response in that survey, and the impact of COVID-19 restrictions on the population.</w:t>
      </w:r>
    </w:p>
    <w:p w14:paraId="3B7EBB59" w14:textId="3554B3AF" w:rsidR="00EE41ED" w:rsidRPr="00D35222" w:rsidRDefault="00EE41ED" w:rsidP="00D35222">
      <w:pPr>
        <w:pStyle w:val="ListParagraph"/>
        <w:numPr>
          <w:ilvl w:val="0"/>
          <w:numId w:val="37"/>
        </w:numPr>
        <w:rPr>
          <w:rFonts w:eastAsia="Calibri"/>
          <w:szCs w:val="18"/>
        </w:rPr>
      </w:pPr>
      <w:r w:rsidRPr="00D35222">
        <w:rPr>
          <w:rFonts w:eastAsia="Calibri"/>
          <w:szCs w:val="18"/>
        </w:rPr>
        <w:t xml:space="preserve">The General Social Survey measures financial stress experienced by households, as opposed to individuals. </w:t>
      </w:r>
    </w:p>
    <w:p w14:paraId="07E62C4A" w14:textId="77777777" w:rsidR="00EE41ED" w:rsidRDefault="00EE41ED" w:rsidP="00EE41ED">
      <w:pPr>
        <w:keepNext/>
        <w:keepLines/>
        <w:spacing w:before="120" w:after="60"/>
        <w:outlineLvl w:val="2"/>
        <w:rPr>
          <w:rFonts w:ascii="Roboto" w:eastAsia="Yu Gothic Light" w:hAnsi="Roboto" w:cs="Times New Roman"/>
          <w:color w:val="545A60"/>
          <w:sz w:val="21"/>
        </w:rPr>
      </w:pPr>
      <w:bookmarkStart w:id="256" w:name="_Toc169018614"/>
      <w:bookmarkStart w:id="257" w:name="_Toc169189066"/>
      <w:bookmarkStart w:id="258" w:name="_Toc169692868"/>
      <w:r w:rsidRPr="00B46A79">
        <w:rPr>
          <w:rFonts w:ascii="Roboto" w:eastAsia="Yu Gothic Light" w:hAnsi="Roboto" w:cs="Times New Roman"/>
          <w:b/>
          <w:color w:val="545A60"/>
          <w:sz w:val="21"/>
        </w:rPr>
        <w:t>Additional notes</w:t>
      </w:r>
      <w:bookmarkEnd w:id="256"/>
      <w:bookmarkEnd w:id="257"/>
      <w:bookmarkEnd w:id="258"/>
    </w:p>
    <w:p w14:paraId="243DB607" w14:textId="77777777" w:rsidR="00EE41ED" w:rsidRPr="00D35222" w:rsidRDefault="00EE41ED" w:rsidP="00D35222">
      <w:pPr>
        <w:pStyle w:val="ListParagraph"/>
        <w:numPr>
          <w:ilvl w:val="0"/>
          <w:numId w:val="38"/>
        </w:numPr>
        <w:rPr>
          <w:rFonts w:eastAsia="Calibri"/>
          <w:szCs w:val="18"/>
        </w:rPr>
      </w:pPr>
      <w:r w:rsidRPr="00D35222">
        <w:rPr>
          <w:rFonts w:eastAsia="Calibri"/>
          <w:szCs w:val="18"/>
        </w:rPr>
        <w:t xml:space="preserve">Data for the ability to raise $2,000 is nominal (not adjusted for inflation). </w:t>
      </w:r>
    </w:p>
    <w:p w14:paraId="48750AF2" w14:textId="4B91CFBA" w:rsidR="00EE41ED" w:rsidRPr="00D35222" w:rsidRDefault="00EE41ED" w:rsidP="00D35222">
      <w:pPr>
        <w:pStyle w:val="ListParagraph"/>
        <w:numPr>
          <w:ilvl w:val="0"/>
          <w:numId w:val="38"/>
        </w:numPr>
        <w:rPr>
          <w:rFonts w:eastAsia="Calibri"/>
          <w:szCs w:val="18"/>
        </w:rPr>
      </w:pPr>
      <w:r w:rsidRPr="00D35222">
        <w:rPr>
          <w:rFonts w:eastAsia="Calibri"/>
          <w:szCs w:val="18"/>
        </w:rPr>
        <w:t xml:space="preserve">Detailed information on the methodology is available on the </w:t>
      </w:r>
      <w:hyperlink r:id="rId56">
        <w:r w:rsidR="003C28C3" w:rsidRPr="00D35222">
          <w:rPr>
            <w:rFonts w:eastAsia="Yu Gothic Light" w:cs="Times New Roman"/>
            <w:color w:val="008143"/>
            <w:u w:val="single"/>
          </w:rPr>
          <w:t>ABS website</w:t>
        </w:r>
      </w:hyperlink>
      <w:r w:rsidR="003C28C3" w:rsidRPr="00D35222">
        <w:rPr>
          <w:rFonts w:eastAsia="Calibri"/>
          <w:szCs w:val="18"/>
        </w:rPr>
        <w:t>.</w:t>
      </w:r>
    </w:p>
    <w:p w14:paraId="061DBD3E" w14:textId="77777777" w:rsidR="00EE41ED" w:rsidRPr="00755D97" w:rsidRDefault="00EE41ED" w:rsidP="00AB2810">
      <w:pPr>
        <w:pStyle w:val="Heading1"/>
        <w:rPr>
          <w:rFonts w:eastAsia="Yu Gothic Light" w:cs="Times New Roman"/>
        </w:rPr>
      </w:pPr>
      <w:r w:rsidRPr="5CBF11C4">
        <w:rPr>
          <w:rFonts w:eastAsia="Calibri"/>
          <w:color w:val="5B626C" w:themeColor="text1"/>
          <w:szCs w:val="18"/>
        </w:rPr>
        <w:br w:type="page"/>
      </w:r>
      <w:bookmarkStart w:id="259" w:name="_Toc169692869"/>
      <w:bookmarkStart w:id="260" w:name="_Toc169868019"/>
      <w:r>
        <w:rPr>
          <w:rFonts w:eastAsia="Yu Gothic Light" w:cs="Times New Roman"/>
        </w:rPr>
        <w:lastRenderedPageBreak/>
        <w:t>CI 8</w:t>
      </w:r>
      <w:r w:rsidRPr="00755D97">
        <w:rPr>
          <w:rFonts w:eastAsia="Yu Gothic Light" w:cs="Times New Roman"/>
        </w:rPr>
        <w:t>: Employment</w:t>
      </w:r>
      <w:r>
        <w:rPr>
          <w:rFonts w:eastAsia="Yu Gothic Light" w:cs="Times New Roman"/>
        </w:rPr>
        <w:t xml:space="preserve"> rate</w:t>
      </w:r>
      <w:bookmarkEnd w:id="259"/>
      <w:bookmarkEnd w:id="260"/>
    </w:p>
    <w:p w14:paraId="3DF19877" w14:textId="77777777" w:rsidR="00EE41ED" w:rsidRPr="00755D97" w:rsidRDefault="00EE41ED" w:rsidP="00EE41ED">
      <w:pPr>
        <w:keepNext/>
        <w:keepLines/>
        <w:spacing w:before="60" w:after="60"/>
        <w:outlineLvl w:val="1"/>
        <w:rPr>
          <w:rFonts w:ascii="Roboto-Bold" w:eastAsia="Yu Gothic Light" w:hAnsi="Roboto-Bold" w:cs="Times New Roman"/>
          <w:color w:val="008143"/>
          <w:sz w:val="26"/>
          <w:szCs w:val="26"/>
        </w:rPr>
      </w:pPr>
      <w:bookmarkStart w:id="261" w:name="_Toc169018616"/>
      <w:bookmarkStart w:id="262" w:name="_Toc169189068"/>
      <w:bookmarkStart w:id="263" w:name="_Toc169692870"/>
      <w:r w:rsidRPr="00755D97">
        <w:rPr>
          <w:rFonts w:ascii="Roboto-Bold" w:eastAsia="Yu Gothic Light" w:hAnsi="Roboto-Bold" w:cs="Times New Roman"/>
          <w:color w:val="008143"/>
          <w:sz w:val="26"/>
          <w:szCs w:val="26"/>
        </w:rPr>
        <w:t>What we are tracking (and why)</w:t>
      </w:r>
      <w:bookmarkEnd w:id="261"/>
      <w:bookmarkEnd w:id="262"/>
      <w:bookmarkEnd w:id="263"/>
    </w:p>
    <w:p w14:paraId="7872D5C2" w14:textId="0345D5DF" w:rsidR="00EE41ED" w:rsidRDefault="00EE41ED" w:rsidP="00EE41ED">
      <w:pPr>
        <w:rPr>
          <w:rFonts w:eastAsia="Calibri"/>
        </w:rPr>
      </w:pPr>
      <w:r w:rsidRPr="00BB3430">
        <w:rPr>
          <w:rFonts w:eastAsia="Calibri"/>
        </w:rPr>
        <w:t xml:space="preserve">This indicator tracks the employment rate of people </w:t>
      </w:r>
      <w:r w:rsidR="003C0C76">
        <w:rPr>
          <w:rFonts w:eastAsia="Calibri"/>
        </w:rPr>
        <w:t>with a mental or behavioural condition</w:t>
      </w:r>
      <w:r w:rsidRPr="00BB3430">
        <w:rPr>
          <w:rFonts w:eastAsia="Calibri"/>
        </w:rPr>
        <w:t xml:space="preserve"> in Australia aged 16-64 years. </w:t>
      </w:r>
    </w:p>
    <w:p w14:paraId="687F6D15" w14:textId="2231D2A4" w:rsidR="00EE41ED" w:rsidRPr="00BB3430" w:rsidRDefault="00EE41ED" w:rsidP="00EE41ED">
      <w:pPr>
        <w:rPr>
          <w:rFonts w:eastAsia="Calibri"/>
        </w:rPr>
      </w:pPr>
      <w:r w:rsidRPr="00F11FA4">
        <w:rPr>
          <w:rFonts w:eastAsia="Calibri"/>
        </w:rPr>
        <w:t>Employment can improve mental health, acting as a protective factor in the short-term and reducing the likelihood of long-term reliance on mental health services.</w:t>
      </w:r>
      <w:r w:rsidRPr="00F11FA4">
        <w:rPr>
          <w:rFonts w:eastAsia="Calibri"/>
          <w:vertAlign w:val="superscript"/>
        </w:rPr>
        <w:footnoteReference w:id="15"/>
      </w:r>
      <w:r w:rsidRPr="00F11FA4">
        <w:rPr>
          <w:rFonts w:eastAsia="Calibri"/>
        </w:rPr>
        <w:t xml:space="preserve"> Employment can also help provide financial security, develop social and community relationships, and contribute to personal fulfilment. However, the relationship between employment and mental health is complex. People with mental health conditions may face significant barriers to securing meaningful work, such as discrimination, stigma, and lack of adequate support to engage in the workforce</w:t>
      </w:r>
      <w:r w:rsidR="001B4331">
        <w:rPr>
          <w:rFonts w:eastAsia="Calibri"/>
        </w:rPr>
        <w:t>.</w:t>
      </w:r>
      <w:r w:rsidRPr="00F11FA4">
        <w:rPr>
          <w:vertAlign w:val="superscript"/>
        </w:rPr>
        <w:footnoteReference w:id="16"/>
      </w:r>
      <w:r w:rsidRPr="00F11FA4">
        <w:rPr>
          <w:rFonts w:eastAsia="Calibri"/>
        </w:rPr>
        <w:t xml:space="preserve"> While the employment rate is impacted by a complex interplay of social and economic factors, high or increasing employment rates may forecast improvements in the mental health, social connectedness and financial security of people in Australia, as well as a reduction in systemic stigma and discrimination related to employment. </w:t>
      </w:r>
    </w:p>
    <w:p w14:paraId="7B88B756" w14:textId="77777777" w:rsidR="00EE41ED" w:rsidRPr="00755D97" w:rsidRDefault="00EE41ED" w:rsidP="00EE41ED">
      <w:pPr>
        <w:keepNext/>
        <w:keepLines/>
        <w:spacing w:before="60" w:after="60"/>
        <w:outlineLvl w:val="1"/>
        <w:rPr>
          <w:rFonts w:ascii="Roboto-Bold" w:eastAsia="Yu Gothic Light" w:hAnsi="Roboto-Bold" w:cs="Times New Roman"/>
          <w:color w:val="008143"/>
          <w:sz w:val="26"/>
          <w:szCs w:val="26"/>
        </w:rPr>
      </w:pPr>
      <w:bookmarkStart w:id="264" w:name="_Toc169018617"/>
      <w:bookmarkStart w:id="265" w:name="_Toc169189069"/>
      <w:bookmarkStart w:id="266" w:name="_Toc169692871"/>
      <w:r w:rsidRPr="00755D97">
        <w:rPr>
          <w:rFonts w:ascii="Roboto-Bold" w:eastAsia="Yu Gothic Light" w:hAnsi="Roboto-Bold" w:cs="Times New Roman"/>
          <w:color w:val="008143"/>
          <w:sz w:val="26"/>
          <w:szCs w:val="26"/>
        </w:rPr>
        <w:t>What the data tells us</w:t>
      </w:r>
      <w:bookmarkEnd w:id="264"/>
      <w:bookmarkEnd w:id="265"/>
      <w:bookmarkEnd w:id="266"/>
    </w:p>
    <w:p w14:paraId="46EE4FFC" w14:textId="77777777" w:rsidR="00EE41ED" w:rsidRPr="00755D97" w:rsidRDefault="00EE41ED" w:rsidP="00EE41ED">
      <w:pPr>
        <w:keepNext/>
        <w:keepLines/>
        <w:spacing w:before="60" w:after="60"/>
        <w:outlineLvl w:val="2"/>
        <w:rPr>
          <w:rFonts w:ascii="Roboto" w:eastAsia="Yu Gothic Light" w:hAnsi="Roboto" w:cs="Times New Roman"/>
          <w:b/>
          <w:color w:val="545A60"/>
          <w:sz w:val="21"/>
        </w:rPr>
      </w:pPr>
      <w:bookmarkStart w:id="267" w:name="_Toc169018618"/>
      <w:bookmarkStart w:id="268" w:name="_Toc169189070"/>
      <w:bookmarkStart w:id="269" w:name="_Toc169692872"/>
      <w:r w:rsidRPr="00755D97">
        <w:rPr>
          <w:rFonts w:ascii="Roboto" w:eastAsia="Yu Gothic Light" w:hAnsi="Roboto" w:cs="Times New Roman"/>
          <w:b/>
          <w:color w:val="545A60"/>
          <w:sz w:val="21"/>
        </w:rPr>
        <w:t xml:space="preserve">Indicator </w:t>
      </w:r>
      <w:r>
        <w:rPr>
          <w:rFonts w:ascii="Roboto" w:eastAsia="Yu Gothic Light" w:hAnsi="Roboto" w:cs="Times New Roman"/>
          <w:b/>
          <w:color w:val="545A60"/>
          <w:sz w:val="21"/>
        </w:rPr>
        <w:t>f</w:t>
      </w:r>
      <w:r w:rsidRPr="00755D97">
        <w:rPr>
          <w:rFonts w:ascii="Roboto" w:eastAsia="Yu Gothic Light" w:hAnsi="Roboto" w:cs="Times New Roman"/>
          <w:b/>
          <w:color w:val="545A60"/>
          <w:sz w:val="21"/>
        </w:rPr>
        <w:t>indings</w:t>
      </w:r>
      <w:bookmarkEnd w:id="267"/>
      <w:bookmarkEnd w:id="268"/>
      <w:bookmarkEnd w:id="269"/>
    </w:p>
    <w:p w14:paraId="3F7F4632" w14:textId="77777777" w:rsidR="00EE41ED" w:rsidRPr="00755D97" w:rsidRDefault="00EE41ED" w:rsidP="00370206">
      <w:pPr>
        <w:spacing w:after="0"/>
        <w:outlineLvl w:val="3"/>
        <w:rPr>
          <w:rFonts w:ascii="Roboto-Bold" w:eastAsia="Calibri" w:hAnsi="Roboto-Bold"/>
          <w:color w:val="5B626C"/>
        </w:rPr>
      </w:pPr>
      <w:r w:rsidRPr="00755D97">
        <w:rPr>
          <w:rFonts w:ascii="Roboto-Bold" w:eastAsia="Calibri" w:hAnsi="Roboto-Bold"/>
          <w:color w:val="5B626C"/>
        </w:rPr>
        <w:t>Whole of population</w:t>
      </w:r>
    </w:p>
    <w:p w14:paraId="10B4C93A" w14:textId="0D7E213C" w:rsidR="00EE41ED" w:rsidRPr="00755D97" w:rsidRDefault="00D95F37" w:rsidP="00EE41ED">
      <w:pPr>
        <w:rPr>
          <w:rFonts w:eastAsia="Calibri"/>
        </w:rPr>
      </w:pPr>
      <w:r>
        <w:rPr>
          <w:rFonts w:eastAsia="Calibri"/>
        </w:rPr>
        <w:t xml:space="preserve">According to the </w:t>
      </w:r>
      <w:r w:rsidR="00EE41ED" w:rsidRPr="00342EA5" w:rsidDel="00716783">
        <w:rPr>
          <w:rFonts w:eastAsia="Calibri"/>
        </w:rPr>
        <w:t>2022</w:t>
      </w:r>
      <w:r>
        <w:rPr>
          <w:rFonts w:eastAsia="Calibri"/>
        </w:rPr>
        <w:t xml:space="preserve"> </w:t>
      </w:r>
      <w:r>
        <w:rPr>
          <w:rFonts w:eastAsia="Calibri"/>
          <w:i/>
          <w:iCs/>
        </w:rPr>
        <w:t>National Health Survey</w:t>
      </w:r>
      <w:r w:rsidR="00EE41ED" w:rsidRPr="00342EA5" w:rsidDel="00716783">
        <w:rPr>
          <w:rFonts w:eastAsia="Calibri"/>
        </w:rPr>
        <w:t xml:space="preserve">, </w:t>
      </w:r>
      <w:r w:rsidR="00EE41ED" w:rsidRPr="00342EA5">
        <w:rPr>
          <w:rFonts w:eastAsia="Calibri"/>
        </w:rPr>
        <w:t>for all people in Australia aged 16-64 years</w:t>
      </w:r>
      <w:r w:rsidR="00EE41ED" w:rsidRPr="00342EA5" w:rsidDel="00716783">
        <w:rPr>
          <w:rFonts w:eastAsia="Calibri"/>
        </w:rPr>
        <w:t>,</w:t>
      </w:r>
      <w:r w:rsidR="00EE41ED">
        <w:rPr>
          <w:rFonts w:eastAsia="Calibri"/>
        </w:rPr>
        <w:t xml:space="preserve"> the employment rate was</w:t>
      </w:r>
      <w:r w:rsidR="00EE41ED" w:rsidRPr="00342EA5">
        <w:rPr>
          <w:rFonts w:eastAsia="Calibri"/>
        </w:rPr>
        <w:t xml:space="preserve"> </w:t>
      </w:r>
      <w:r w:rsidR="00EE41ED" w:rsidRPr="00A960EA">
        <w:rPr>
          <w:rFonts w:eastAsia="Calibri"/>
        </w:rPr>
        <w:t>79.5%</w:t>
      </w:r>
      <w:r w:rsidR="00EE41ED" w:rsidRPr="00342EA5">
        <w:rPr>
          <w:rFonts w:eastAsia="Calibri"/>
        </w:rPr>
        <w:t>. Th</w:t>
      </w:r>
      <w:r w:rsidR="00EE41ED">
        <w:rPr>
          <w:rFonts w:eastAsia="Calibri"/>
        </w:rPr>
        <w:t xml:space="preserve">is is </w:t>
      </w:r>
      <w:r w:rsidR="00EE41ED" w:rsidRPr="00342EA5">
        <w:rPr>
          <w:rFonts w:eastAsia="Calibri"/>
        </w:rPr>
        <w:t>higher than in previous years</w:t>
      </w:r>
      <w:r w:rsidR="00EE41ED">
        <w:rPr>
          <w:rFonts w:eastAsia="Calibri"/>
        </w:rPr>
        <w:t xml:space="preserve"> (</w:t>
      </w:r>
      <w:r w:rsidR="00EE41ED" w:rsidRPr="00A960EA">
        <w:rPr>
          <w:rFonts w:eastAsia="Calibri"/>
        </w:rPr>
        <w:t>75.7%</w:t>
      </w:r>
      <w:r w:rsidR="00EE41ED">
        <w:rPr>
          <w:rFonts w:eastAsia="Calibri"/>
        </w:rPr>
        <w:t xml:space="preserve"> in 2014-15; </w:t>
      </w:r>
      <w:r w:rsidR="00EE41ED" w:rsidRPr="00A960EA">
        <w:rPr>
          <w:rFonts w:eastAsia="Calibri"/>
        </w:rPr>
        <w:t>76.5%</w:t>
      </w:r>
      <w:r w:rsidR="00EE41ED" w:rsidRPr="00342EA5">
        <w:rPr>
          <w:rFonts w:eastAsia="Calibri"/>
        </w:rPr>
        <w:t xml:space="preserve"> in 2017-18</w:t>
      </w:r>
      <w:r w:rsidR="00EE41ED">
        <w:rPr>
          <w:rFonts w:eastAsia="Calibri"/>
        </w:rPr>
        <w:t>)</w:t>
      </w:r>
      <w:r w:rsidR="00EE41ED" w:rsidRPr="00342EA5">
        <w:rPr>
          <w:rFonts w:eastAsia="Calibri"/>
        </w:rPr>
        <w:t xml:space="preserve">. </w:t>
      </w:r>
    </w:p>
    <w:p w14:paraId="0298807A" w14:textId="77777777" w:rsidR="00EE41ED" w:rsidRPr="00755D97" w:rsidRDefault="00EE41ED" w:rsidP="00370206">
      <w:pPr>
        <w:spacing w:after="0"/>
        <w:outlineLvl w:val="3"/>
        <w:rPr>
          <w:rFonts w:ascii="Roboto-Bold" w:eastAsia="Calibri" w:hAnsi="Roboto-Bold"/>
          <w:color w:val="5B626C"/>
        </w:rPr>
      </w:pPr>
      <w:r w:rsidRPr="00755D97">
        <w:rPr>
          <w:rFonts w:ascii="Roboto-Bold" w:eastAsia="Calibri" w:hAnsi="Roboto-Bold"/>
          <w:color w:val="5B626C"/>
        </w:rPr>
        <w:t xml:space="preserve">Lived </w:t>
      </w:r>
      <w:r>
        <w:rPr>
          <w:rFonts w:ascii="Roboto-Bold" w:eastAsia="Calibri" w:hAnsi="Roboto-Bold"/>
          <w:color w:val="5B626C"/>
        </w:rPr>
        <w:t>E</w:t>
      </w:r>
      <w:r w:rsidRPr="00755D97">
        <w:rPr>
          <w:rFonts w:ascii="Roboto-Bold" w:eastAsia="Calibri" w:hAnsi="Roboto-Bold"/>
          <w:color w:val="5B626C"/>
        </w:rPr>
        <w:t>xperience</w:t>
      </w:r>
    </w:p>
    <w:p w14:paraId="2F8589F5" w14:textId="3FEC5842" w:rsidR="00EE41ED" w:rsidRDefault="00EE41ED" w:rsidP="00EE41ED">
      <w:pPr>
        <w:rPr>
          <w:rFonts w:eastAsia="Calibri"/>
        </w:rPr>
      </w:pPr>
      <w:r w:rsidRPr="004A1BBA">
        <w:rPr>
          <w:rFonts w:eastAsia="Calibri"/>
        </w:rPr>
        <w:t xml:space="preserve">In 2022, among people in Australia aged 16-64 years with a mental or behavioural condition, </w:t>
      </w:r>
      <w:r>
        <w:rPr>
          <w:rFonts w:eastAsia="Calibri"/>
        </w:rPr>
        <w:t xml:space="preserve">the employment rate was </w:t>
      </w:r>
      <w:r w:rsidRPr="00A960EA">
        <w:rPr>
          <w:rFonts w:eastAsia="Calibri"/>
        </w:rPr>
        <w:t>71.6%.</w:t>
      </w:r>
      <w:r>
        <w:rPr>
          <w:rFonts w:eastAsia="Calibri"/>
        </w:rPr>
        <w:t xml:space="preserve"> </w:t>
      </w:r>
      <w:r w:rsidRPr="004A1BBA">
        <w:rPr>
          <w:rFonts w:eastAsia="Calibri"/>
        </w:rPr>
        <w:t xml:space="preserve">As shown in Figure </w:t>
      </w:r>
      <w:r>
        <w:rPr>
          <w:rFonts w:eastAsia="Calibri"/>
        </w:rPr>
        <w:t>A8</w:t>
      </w:r>
      <w:r w:rsidRPr="004A1BBA">
        <w:rPr>
          <w:rFonts w:eastAsia="Calibri"/>
        </w:rPr>
        <w:t xml:space="preserve">, the </w:t>
      </w:r>
      <w:r>
        <w:rPr>
          <w:rFonts w:eastAsia="Calibri"/>
        </w:rPr>
        <w:t>employment rate</w:t>
      </w:r>
      <w:r w:rsidRPr="004A1BBA">
        <w:rPr>
          <w:rFonts w:eastAsia="Calibri"/>
        </w:rPr>
        <w:t xml:space="preserve"> of people with a mental or behavioural condition has increased since 2014-15. Further, the employment rate for people with a mental or behavioural condition is increasing at a greater rate than the employment rate for </w:t>
      </w:r>
      <w:r>
        <w:rPr>
          <w:rFonts w:eastAsia="Calibri"/>
        </w:rPr>
        <w:t>people</w:t>
      </w:r>
      <w:r w:rsidRPr="004A1BBA">
        <w:rPr>
          <w:rFonts w:eastAsia="Calibri"/>
        </w:rPr>
        <w:t xml:space="preserve"> without a condition. </w:t>
      </w:r>
      <w:r>
        <w:rPr>
          <w:rFonts w:eastAsia="Calibri"/>
        </w:rPr>
        <w:t xml:space="preserve">However, in 2022, it remains </w:t>
      </w:r>
      <w:r w:rsidRPr="004A1BBA">
        <w:rPr>
          <w:rFonts w:eastAsia="Calibri"/>
        </w:rPr>
        <w:t xml:space="preserve">significantly lower than the </w:t>
      </w:r>
      <w:r>
        <w:rPr>
          <w:rFonts w:eastAsia="Calibri"/>
        </w:rPr>
        <w:t xml:space="preserve">employment rate of </w:t>
      </w:r>
      <w:r w:rsidRPr="00A960EA">
        <w:rPr>
          <w:rFonts w:eastAsia="Calibri"/>
        </w:rPr>
        <w:t>82.8%</w:t>
      </w:r>
      <w:r w:rsidRPr="004A1BBA">
        <w:rPr>
          <w:rFonts w:eastAsia="Calibri"/>
        </w:rPr>
        <w:t xml:space="preserve"> </w:t>
      </w:r>
      <w:r>
        <w:rPr>
          <w:rFonts w:eastAsia="Calibri"/>
        </w:rPr>
        <w:t xml:space="preserve">for </w:t>
      </w:r>
      <w:r w:rsidRPr="004A1BBA">
        <w:rPr>
          <w:rFonts w:eastAsia="Calibri"/>
        </w:rPr>
        <w:t>people without a mental or behavioural condition.</w:t>
      </w:r>
    </w:p>
    <w:p w14:paraId="310A5A58" w14:textId="4FEEF319" w:rsidR="00EE41ED" w:rsidRPr="00755D97" w:rsidRDefault="00EE41ED" w:rsidP="008F07C3">
      <w:pPr>
        <w:spacing w:after="120"/>
        <w:outlineLvl w:val="3"/>
        <w:rPr>
          <w:rFonts w:ascii="Roboto" w:eastAsia="Calibri" w:hAnsi="Roboto"/>
          <w:color w:val="5B626C"/>
        </w:rPr>
      </w:pPr>
      <w:r w:rsidRPr="00755D97">
        <w:rPr>
          <w:rFonts w:ascii="Roboto" w:eastAsia="Calibri" w:hAnsi="Roboto"/>
          <w:color w:val="008143"/>
        </w:rPr>
        <w:t xml:space="preserve">Figure </w:t>
      </w:r>
      <w:r>
        <w:rPr>
          <w:rFonts w:ascii="Roboto" w:eastAsia="Calibri" w:hAnsi="Roboto"/>
          <w:color w:val="008143"/>
        </w:rPr>
        <w:t>A8</w:t>
      </w:r>
      <w:r w:rsidRPr="00755D97">
        <w:rPr>
          <w:rFonts w:ascii="Roboto" w:eastAsia="Calibri" w:hAnsi="Roboto"/>
          <w:color w:val="008143"/>
        </w:rPr>
        <w:t xml:space="preserve">. </w:t>
      </w:r>
      <w:r w:rsidRPr="00A960EA">
        <w:rPr>
          <w:rFonts w:ascii="Roboto" w:eastAsia="Calibri" w:hAnsi="Roboto"/>
          <w:color w:val="5B626C"/>
        </w:rPr>
        <w:t xml:space="preserve">Proportion of people in Australia who are employed by mental or behavioural condition status, 2014-15 to </w:t>
      </w:r>
      <w:proofErr w:type="gramStart"/>
      <w:r w:rsidR="00D96DA4" w:rsidRPr="00A960EA">
        <w:rPr>
          <w:rFonts w:ascii="Roboto" w:eastAsia="Calibri" w:hAnsi="Roboto"/>
          <w:color w:val="5B626C"/>
        </w:rPr>
        <w:t>2022</w:t>
      </w:r>
      <w:proofErr w:type="gramEnd"/>
    </w:p>
    <w:p w14:paraId="7538A062" w14:textId="2C044FE7" w:rsidR="00EE41ED" w:rsidRPr="00755D97" w:rsidRDefault="00FB792A" w:rsidP="00010356">
      <w:pPr>
        <w:spacing w:after="0"/>
        <w:outlineLvl w:val="3"/>
        <w:rPr>
          <w:rFonts w:ascii="Roboto" w:eastAsia="Calibri" w:hAnsi="Roboto"/>
          <w:color w:val="5B626C"/>
        </w:rPr>
      </w:pPr>
      <w:r>
        <w:rPr>
          <w:noProof/>
        </w:rPr>
        <w:drawing>
          <wp:inline distT="0" distB="0" distL="0" distR="0" wp14:anchorId="0BBEB786" wp14:editId="09597389">
            <wp:extent cx="6115050" cy="2505075"/>
            <wp:effectExtent l="0" t="0" r="0" b="9525"/>
            <wp:docPr id="1620931272" name="Graphic 1620931272" descr="The content of this figure is described in the text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931272" name="Graphic 1620931272" descr="The content of this figure is described in the text above. "/>
                    <pic:cNvPicPr/>
                  </pic:nvPicPr>
                  <pic:blipFill>
                    <a:blip r:embed="rId57">
                      <a:extLst>
                        <a:ext uri="{96DAC541-7B7A-43D3-8B79-37D633B846F1}">
                          <asvg:svgBlip xmlns:asvg="http://schemas.microsoft.com/office/drawing/2016/SVG/main" r:embed="rId58"/>
                        </a:ext>
                      </a:extLst>
                    </a:blip>
                    <a:stretch>
                      <a:fillRect/>
                    </a:stretch>
                  </pic:blipFill>
                  <pic:spPr>
                    <a:xfrm>
                      <a:off x="0" y="0"/>
                      <a:ext cx="6115050" cy="2505075"/>
                    </a:xfrm>
                    <a:prstGeom prst="rect">
                      <a:avLst/>
                    </a:prstGeom>
                  </pic:spPr>
                </pic:pic>
              </a:graphicData>
            </a:graphic>
          </wp:inline>
        </w:drawing>
      </w:r>
    </w:p>
    <w:p w14:paraId="186DB535" w14:textId="77777777" w:rsidR="00EE41ED" w:rsidRPr="00755D97" w:rsidRDefault="00EE41ED" w:rsidP="00EE41ED">
      <w:pPr>
        <w:keepNext/>
        <w:keepLines/>
        <w:spacing w:before="60" w:after="60"/>
        <w:outlineLvl w:val="2"/>
        <w:rPr>
          <w:rFonts w:ascii="Roboto" w:eastAsia="Yu Gothic Light" w:hAnsi="Roboto" w:cs="Times New Roman"/>
          <w:b/>
          <w:color w:val="545A60"/>
          <w:sz w:val="21"/>
        </w:rPr>
      </w:pPr>
      <w:bookmarkStart w:id="270" w:name="_Toc169018619"/>
      <w:bookmarkStart w:id="271" w:name="_Toc169189071"/>
      <w:bookmarkStart w:id="272" w:name="_Toc169692873"/>
      <w:r w:rsidRPr="00755D97">
        <w:rPr>
          <w:rFonts w:ascii="Roboto" w:eastAsia="Yu Gothic Light" w:hAnsi="Roboto" w:cs="Times New Roman"/>
          <w:b/>
          <w:color w:val="545A60"/>
          <w:sz w:val="21"/>
        </w:rPr>
        <w:lastRenderedPageBreak/>
        <w:t>How do these findings differ between groups?</w:t>
      </w:r>
      <w:bookmarkEnd w:id="270"/>
      <w:bookmarkEnd w:id="271"/>
      <w:bookmarkEnd w:id="272"/>
    </w:p>
    <w:p w14:paraId="43CD716B" w14:textId="77777777" w:rsidR="00EE41ED" w:rsidRPr="00755D97" w:rsidRDefault="00EE41ED" w:rsidP="00370206">
      <w:pPr>
        <w:spacing w:after="0"/>
        <w:outlineLvl w:val="3"/>
        <w:rPr>
          <w:rFonts w:ascii="Roboto-Bold" w:eastAsia="Calibri" w:hAnsi="Roboto-Bold"/>
          <w:color w:val="5B626C"/>
        </w:rPr>
      </w:pPr>
      <w:r w:rsidRPr="00755D97">
        <w:rPr>
          <w:rFonts w:ascii="Roboto-Bold" w:eastAsia="Calibri" w:hAnsi="Roboto-Bold"/>
          <w:color w:val="5B626C"/>
        </w:rPr>
        <w:t>Whole of population</w:t>
      </w:r>
    </w:p>
    <w:p w14:paraId="3B84F46E" w14:textId="26C8964A" w:rsidR="00EE41ED" w:rsidRPr="00891038" w:rsidRDefault="00EE41ED" w:rsidP="00EE41ED">
      <w:pPr>
        <w:rPr>
          <w:rFonts w:eastAsia="Calibri"/>
        </w:rPr>
      </w:pPr>
      <w:r w:rsidRPr="00891038">
        <w:rPr>
          <w:rFonts w:eastAsia="Calibri"/>
        </w:rPr>
        <w:t>In 2022, a significantly higher proportion of males were employed (83.2%) compared to females (76</w:t>
      </w:r>
      <w:r w:rsidR="00EF79B7" w:rsidRPr="00891038">
        <w:rPr>
          <w:rFonts w:eastAsia="Calibri"/>
        </w:rPr>
        <w:t>.0</w:t>
      </w:r>
      <w:r w:rsidRPr="00891038">
        <w:rPr>
          <w:rFonts w:eastAsia="Calibri"/>
        </w:rPr>
        <w:t xml:space="preserve">%). The employment gap between males and females has reduced over the last decade, from 11.5 percentage points in 2014-15, to 9.8 in 2017-18 and 7.2 in 2022. </w:t>
      </w:r>
    </w:p>
    <w:p w14:paraId="76A202A3" w14:textId="63FF0DCB" w:rsidR="00EE41ED" w:rsidRPr="00891038" w:rsidRDefault="00EE41ED" w:rsidP="00EE41ED">
      <w:pPr>
        <w:rPr>
          <w:rFonts w:eastAsia="Calibri"/>
        </w:rPr>
      </w:pPr>
      <w:r w:rsidRPr="00891038">
        <w:rPr>
          <w:rFonts w:eastAsia="Calibri"/>
        </w:rPr>
        <w:t>In 2022, the proportion of people employed was relatively uniform for those aged 25-34 (84.9%), 35-44 (86.3%), and 45</w:t>
      </w:r>
      <w:r w:rsidR="00E34597" w:rsidRPr="00891038">
        <w:rPr>
          <w:rFonts w:eastAsia="Calibri"/>
        </w:rPr>
        <w:t> </w:t>
      </w:r>
      <w:r w:rsidRPr="00891038">
        <w:rPr>
          <w:rFonts w:eastAsia="Calibri"/>
        </w:rPr>
        <w:t>54 years (83.0%). However, the employment rate was lower for people aged 16-24 years (73.6%) and people aged 55-64 years (66.2%). Across all age groups, increases in the employment rate from 2014-15 to 2022 ranged from 2.3 to 3.8 percentage points, except for people aged 16-24 years. Among this group, there was a 7.3 percentage point increase, which is approximately double the increase observed for other age groups.  </w:t>
      </w:r>
    </w:p>
    <w:p w14:paraId="404C2FE2" w14:textId="77777777" w:rsidR="00EE41ED" w:rsidRPr="00891038" w:rsidRDefault="00EE41ED" w:rsidP="00370206">
      <w:pPr>
        <w:spacing w:after="0"/>
        <w:outlineLvl w:val="3"/>
        <w:rPr>
          <w:rFonts w:ascii="Roboto-Bold" w:eastAsia="Calibri" w:hAnsi="Roboto-Bold"/>
          <w:color w:val="5B626C"/>
        </w:rPr>
      </w:pPr>
      <w:r w:rsidRPr="00891038">
        <w:rPr>
          <w:rFonts w:ascii="Roboto-Bold" w:eastAsia="Calibri" w:hAnsi="Roboto-Bold"/>
          <w:color w:val="5B626C"/>
        </w:rPr>
        <w:t>Lived Experience</w:t>
      </w:r>
    </w:p>
    <w:p w14:paraId="45D5D6EE" w14:textId="77777777" w:rsidR="00EE41ED" w:rsidRPr="00891038" w:rsidRDefault="00EE41ED" w:rsidP="00EE41ED">
      <w:pPr>
        <w:rPr>
          <w:rFonts w:eastAsia="Calibri"/>
        </w:rPr>
      </w:pPr>
      <w:r w:rsidRPr="00891038">
        <w:rPr>
          <w:rFonts w:eastAsia="Calibri"/>
        </w:rPr>
        <w:t xml:space="preserve">Analyses indicate there are complex interactions between employment, the presence of a mental or behavioural condition, </w:t>
      </w:r>
      <w:proofErr w:type="gramStart"/>
      <w:r w:rsidRPr="00891038">
        <w:rPr>
          <w:rFonts w:eastAsia="Calibri"/>
        </w:rPr>
        <w:t>sex</w:t>
      </w:r>
      <w:proofErr w:type="gramEnd"/>
      <w:r w:rsidRPr="00891038">
        <w:rPr>
          <w:rFonts w:eastAsia="Calibri"/>
        </w:rPr>
        <w:t xml:space="preserve"> and age. </w:t>
      </w:r>
    </w:p>
    <w:p w14:paraId="37A33C88" w14:textId="2DCB80EE" w:rsidR="00EE41ED" w:rsidRPr="00891038" w:rsidRDefault="00EE41ED" w:rsidP="00EE41ED">
      <w:pPr>
        <w:rPr>
          <w:rFonts w:eastAsia="Calibri"/>
        </w:rPr>
      </w:pPr>
      <w:r w:rsidRPr="00891038">
        <w:rPr>
          <w:rFonts w:eastAsia="Calibri"/>
        </w:rPr>
        <w:t>For all age groups</w:t>
      </w:r>
      <w:r w:rsidRPr="00891038" w:rsidDel="00D83909">
        <w:rPr>
          <w:rFonts w:eastAsia="Calibri"/>
        </w:rPr>
        <w:t xml:space="preserve">, </w:t>
      </w:r>
      <w:r w:rsidRPr="00891038">
        <w:rPr>
          <w:rFonts w:eastAsia="Calibri"/>
        </w:rPr>
        <w:t xml:space="preserve">the gap in employment rate between people with and without a mental or behavioural condition reduced slightly between 2014-15 to 2022. However, this gap </w:t>
      </w:r>
      <w:proofErr w:type="gramStart"/>
      <w:r w:rsidRPr="00891038">
        <w:rPr>
          <w:rFonts w:eastAsia="Calibri"/>
        </w:rPr>
        <w:t>still remains</w:t>
      </w:r>
      <w:proofErr w:type="gramEnd"/>
      <w:r w:rsidRPr="00891038">
        <w:rPr>
          <w:rFonts w:eastAsia="Calibri"/>
        </w:rPr>
        <w:t xml:space="preserve"> in 2022, with larger gaps</w:t>
      </w:r>
      <w:r w:rsidRPr="00891038" w:rsidDel="001E6156">
        <w:rPr>
          <w:rFonts w:eastAsia="Calibri"/>
        </w:rPr>
        <w:t xml:space="preserve"> </w:t>
      </w:r>
      <w:r w:rsidRPr="00891038">
        <w:rPr>
          <w:rFonts w:eastAsia="Calibri"/>
        </w:rPr>
        <w:t>present for older age groups compared to younger age groups. For</w:t>
      </w:r>
      <w:r w:rsidRPr="00891038" w:rsidDel="00A13138">
        <w:rPr>
          <w:rFonts w:eastAsia="Calibri"/>
        </w:rPr>
        <w:t xml:space="preserve"> </w:t>
      </w:r>
      <w:r w:rsidRPr="00891038">
        <w:rPr>
          <w:rFonts w:eastAsia="Calibri"/>
        </w:rPr>
        <w:t>people aged 25-34 years, 77.4% of people with a mental or behavioural condition were employed, which was 11.2 percentage points lower than people without a mental or behavioural condition (88.6%). A similar difference was observed for people aged 35-44 years, with a percentage point difference of 9.9. This difference was greater for people aged 45-54 years (15.8</w:t>
      </w:r>
      <w:r w:rsidR="001A26C2" w:rsidRPr="00891038">
        <w:rPr>
          <w:rFonts w:eastAsia="Calibri"/>
        </w:rPr>
        <w:t> </w:t>
      </w:r>
      <w:r w:rsidRPr="00891038">
        <w:rPr>
          <w:rFonts w:eastAsia="Calibri"/>
        </w:rPr>
        <w:t xml:space="preserve">percentage point difference) and people aged 55-64 years (21.2 percentage point difference). </w:t>
      </w:r>
    </w:p>
    <w:p w14:paraId="0C55FF9B" w14:textId="00266DD5" w:rsidR="00EE41ED" w:rsidRPr="00891038" w:rsidRDefault="00EE41ED" w:rsidP="00EE41ED">
      <w:pPr>
        <w:rPr>
          <w:rFonts w:eastAsia="Calibri"/>
        </w:rPr>
      </w:pPr>
      <w:r w:rsidRPr="00891038">
        <w:rPr>
          <w:rFonts w:eastAsia="Calibri"/>
        </w:rPr>
        <w:t xml:space="preserve">In 2022, among all people with a mental or behavioural condition, the employment rate for males and females did not significantly differ. </w:t>
      </w:r>
      <w:r w:rsidR="009C5A07" w:rsidRPr="00891038">
        <w:rPr>
          <w:rFonts w:eastAsia="Calibri"/>
        </w:rPr>
        <w:t xml:space="preserve">This was consistent with findings from </w:t>
      </w:r>
      <w:r w:rsidR="00FC7A11" w:rsidRPr="00891038">
        <w:rPr>
          <w:rFonts w:eastAsia="Calibri"/>
        </w:rPr>
        <w:t>2017-18</w:t>
      </w:r>
      <w:r w:rsidR="007F3EF3" w:rsidRPr="00891038">
        <w:rPr>
          <w:rFonts w:eastAsia="Calibri"/>
        </w:rPr>
        <w:t xml:space="preserve">, </w:t>
      </w:r>
      <w:r w:rsidR="00ED5B65" w:rsidRPr="00891038">
        <w:rPr>
          <w:rFonts w:eastAsia="Calibri"/>
        </w:rPr>
        <w:t>but</w:t>
      </w:r>
      <w:r w:rsidR="00C01D85" w:rsidRPr="00891038">
        <w:rPr>
          <w:rFonts w:eastAsia="Calibri"/>
        </w:rPr>
        <w:t xml:space="preserve"> </w:t>
      </w:r>
      <w:r w:rsidR="00EE3EE8" w:rsidRPr="00891038">
        <w:rPr>
          <w:rFonts w:eastAsia="Calibri"/>
        </w:rPr>
        <w:t>not with those from 2014-15</w:t>
      </w:r>
      <w:r w:rsidR="00B131C5" w:rsidRPr="00891038">
        <w:rPr>
          <w:rFonts w:eastAsia="Calibri"/>
        </w:rPr>
        <w:t xml:space="preserve"> where there was a significant difference between males (</w:t>
      </w:r>
      <w:r w:rsidR="00D177C2" w:rsidRPr="00891038">
        <w:rPr>
          <w:rFonts w:eastAsia="Calibri"/>
        </w:rPr>
        <w:t>64.9</w:t>
      </w:r>
      <w:r w:rsidR="00B131C5" w:rsidRPr="00891038">
        <w:rPr>
          <w:rFonts w:eastAsia="Calibri"/>
        </w:rPr>
        <w:t>%) and females (</w:t>
      </w:r>
      <w:r w:rsidR="00D177C2" w:rsidRPr="00891038">
        <w:rPr>
          <w:rFonts w:eastAsia="Calibri"/>
        </w:rPr>
        <w:t>58.9</w:t>
      </w:r>
      <w:r w:rsidR="00B131C5" w:rsidRPr="00891038">
        <w:rPr>
          <w:rFonts w:eastAsia="Calibri"/>
        </w:rPr>
        <w:t>%)</w:t>
      </w:r>
      <w:r w:rsidRPr="00891038">
        <w:rPr>
          <w:rFonts w:eastAsia="Calibri"/>
        </w:rPr>
        <w:t xml:space="preserve">. </w:t>
      </w:r>
      <w:r w:rsidR="00F03C94" w:rsidRPr="00891038">
        <w:rPr>
          <w:rFonts w:eastAsia="Calibri"/>
        </w:rPr>
        <w:t>In 2022, f</w:t>
      </w:r>
      <w:r w:rsidRPr="00891038">
        <w:rPr>
          <w:rFonts w:eastAsia="Calibri"/>
        </w:rPr>
        <w:t xml:space="preserve">or people without a condition, a greater proportion of males were employed (87.2%) compared to females (77.9%). This difference </w:t>
      </w:r>
      <w:r w:rsidR="00475E07" w:rsidRPr="00891038">
        <w:rPr>
          <w:rFonts w:eastAsia="Calibri"/>
        </w:rPr>
        <w:t>between males and females</w:t>
      </w:r>
      <w:r w:rsidRPr="00891038">
        <w:rPr>
          <w:rFonts w:eastAsia="Calibri"/>
        </w:rPr>
        <w:t xml:space="preserve"> without a mental or behavioural condition was also observed in 2017-18 and 2014-15.</w:t>
      </w:r>
    </w:p>
    <w:p w14:paraId="5A3B9AC0" w14:textId="666EB94A" w:rsidR="00EE41ED" w:rsidRPr="00CE7070" w:rsidRDefault="00EE41ED" w:rsidP="00EE41ED">
      <w:pPr>
        <w:rPr>
          <w:rFonts w:eastAsia="Calibri"/>
        </w:rPr>
      </w:pPr>
      <w:r w:rsidRPr="00891038">
        <w:rPr>
          <w:rFonts w:eastAsia="Calibri"/>
        </w:rPr>
        <w:t xml:space="preserve">In 2022, for people aged 16-24 years with a mental or </w:t>
      </w:r>
      <w:r w:rsidRPr="00CE7070">
        <w:rPr>
          <w:rFonts w:eastAsia="Calibri"/>
        </w:rPr>
        <w:t>behavi</w:t>
      </w:r>
      <w:r w:rsidR="00691146">
        <w:rPr>
          <w:rFonts w:eastAsia="Calibri"/>
        </w:rPr>
        <w:t>o</w:t>
      </w:r>
      <w:r w:rsidRPr="00CE7070">
        <w:rPr>
          <w:rFonts w:eastAsia="Calibri"/>
        </w:rPr>
        <w:t>ural</w:t>
      </w:r>
      <w:r w:rsidRPr="00891038">
        <w:rPr>
          <w:rFonts w:eastAsia="Calibri"/>
        </w:rPr>
        <w:t xml:space="preserve"> condition, a greater proportion of females (77.5%) were employed compared to males (67.7%), which was a 9.8 percentage point difference. Conversely, </w:t>
      </w:r>
      <w:r w:rsidR="00CA68AF" w:rsidRPr="00891038">
        <w:rPr>
          <w:rFonts w:eastAsia="Calibri"/>
        </w:rPr>
        <w:t xml:space="preserve">a greater proportion of males were employed compared to females </w:t>
      </w:r>
      <w:r w:rsidR="00820C42" w:rsidRPr="00891038">
        <w:rPr>
          <w:rFonts w:eastAsia="Calibri"/>
        </w:rPr>
        <w:t xml:space="preserve">among the </w:t>
      </w:r>
      <w:r w:rsidRPr="00891038">
        <w:rPr>
          <w:rFonts w:eastAsia="Calibri"/>
        </w:rPr>
        <w:t>35-44 years age group (6 percentage point difference) and 45-54 years age group (9.1 percentage point difference).</w:t>
      </w:r>
    </w:p>
    <w:p w14:paraId="3BAC8F7E" w14:textId="77777777" w:rsidR="00EE41ED" w:rsidRPr="00755D97" w:rsidRDefault="00EE41ED" w:rsidP="00BD77E3">
      <w:pPr>
        <w:keepNext/>
        <w:keepLines/>
        <w:spacing w:before="480" w:after="60"/>
        <w:outlineLvl w:val="1"/>
        <w:rPr>
          <w:rFonts w:ascii="Roboto-Bold" w:eastAsia="Yu Gothic Light" w:hAnsi="Roboto-Bold" w:cs="Times New Roman"/>
          <w:color w:val="008143"/>
          <w:sz w:val="26"/>
          <w:szCs w:val="26"/>
        </w:rPr>
      </w:pPr>
      <w:bookmarkStart w:id="273" w:name="_Toc169018620"/>
      <w:bookmarkStart w:id="274" w:name="_Toc169189072"/>
      <w:bookmarkStart w:id="275" w:name="_Toc169692874"/>
      <w:r w:rsidRPr="00755D97">
        <w:rPr>
          <w:rFonts w:ascii="Roboto-Bold" w:eastAsia="Yu Gothic Light" w:hAnsi="Roboto-Bold" w:cs="Times New Roman"/>
          <w:color w:val="008143"/>
          <w:sz w:val="26"/>
          <w:szCs w:val="26"/>
        </w:rPr>
        <w:t>Technical information</w:t>
      </w:r>
      <w:bookmarkEnd w:id="273"/>
      <w:bookmarkEnd w:id="274"/>
      <w:bookmarkEnd w:id="275"/>
    </w:p>
    <w:p w14:paraId="6609A325" w14:textId="77777777" w:rsidR="00EE41ED" w:rsidRDefault="00EE41ED" w:rsidP="00EE41ED">
      <w:pPr>
        <w:keepNext/>
        <w:keepLines/>
        <w:spacing w:before="120" w:after="60"/>
        <w:outlineLvl w:val="2"/>
        <w:rPr>
          <w:rFonts w:ascii="Roboto" w:eastAsia="Yu Gothic Light" w:hAnsi="Roboto" w:cs="Times New Roman"/>
          <w:b/>
          <w:color w:val="545A60"/>
          <w:sz w:val="21"/>
        </w:rPr>
      </w:pPr>
      <w:bookmarkStart w:id="276" w:name="_Toc169018621"/>
      <w:bookmarkStart w:id="277" w:name="_Toc169189073"/>
      <w:bookmarkStart w:id="278" w:name="_Toc169692875"/>
      <w:r w:rsidRPr="00755D97">
        <w:rPr>
          <w:rFonts w:ascii="Roboto" w:eastAsia="Yu Gothic Light" w:hAnsi="Roboto" w:cs="Times New Roman"/>
          <w:b/>
          <w:color w:val="545A60"/>
          <w:sz w:val="21"/>
        </w:rPr>
        <w:t>Source</w:t>
      </w:r>
      <w:bookmarkEnd w:id="276"/>
      <w:bookmarkEnd w:id="277"/>
      <w:bookmarkEnd w:id="278"/>
    </w:p>
    <w:p w14:paraId="1AC4C27F" w14:textId="77777777" w:rsidR="00EE41ED" w:rsidRPr="007A18AE" w:rsidRDefault="00EE41ED" w:rsidP="00CE7070">
      <w:pPr>
        <w:rPr>
          <w:rFonts w:eastAsia="Calibri"/>
          <w:i/>
        </w:rPr>
      </w:pPr>
      <w:r w:rsidRPr="00CE7070">
        <w:rPr>
          <w:rFonts w:eastAsia="Calibri"/>
        </w:rPr>
        <w:t xml:space="preserve">Australian Bureau of Statistics (ABS) </w:t>
      </w:r>
      <w:r w:rsidRPr="007A18AE">
        <w:rPr>
          <w:rFonts w:eastAsia="Calibri"/>
          <w:i/>
        </w:rPr>
        <w:t>National Health Survey, 2022</w:t>
      </w:r>
      <w:r w:rsidRPr="00CE7070">
        <w:rPr>
          <w:rFonts w:eastAsia="Calibri"/>
        </w:rPr>
        <w:t xml:space="preserve">; ABS </w:t>
      </w:r>
      <w:r w:rsidRPr="007A18AE">
        <w:rPr>
          <w:rFonts w:eastAsia="Calibri"/>
          <w:i/>
        </w:rPr>
        <w:t>National Health Survey, 2017-18</w:t>
      </w:r>
      <w:r w:rsidRPr="00CE7070">
        <w:rPr>
          <w:rFonts w:eastAsia="Calibri"/>
        </w:rPr>
        <w:t xml:space="preserve">; ABS </w:t>
      </w:r>
      <w:r w:rsidRPr="007A18AE">
        <w:rPr>
          <w:rFonts w:eastAsia="Calibri"/>
          <w:i/>
        </w:rPr>
        <w:t>National Health Survey, 2014-15.</w:t>
      </w:r>
    </w:p>
    <w:p w14:paraId="096645E0" w14:textId="77777777" w:rsidR="00EE41ED" w:rsidRDefault="00EE41ED" w:rsidP="00EE41ED">
      <w:pPr>
        <w:keepNext/>
        <w:keepLines/>
        <w:spacing w:before="120" w:after="60"/>
        <w:outlineLvl w:val="2"/>
        <w:rPr>
          <w:rFonts w:ascii="Roboto" w:eastAsia="Yu Gothic Light" w:hAnsi="Roboto" w:cs="Times New Roman"/>
          <w:b/>
          <w:color w:val="545A60"/>
          <w:sz w:val="21"/>
        </w:rPr>
      </w:pPr>
      <w:bookmarkStart w:id="279" w:name="_Toc169018622"/>
      <w:bookmarkStart w:id="280" w:name="_Toc169189074"/>
      <w:bookmarkStart w:id="281" w:name="_Toc169692876"/>
      <w:r w:rsidRPr="00755D97">
        <w:rPr>
          <w:rFonts w:ascii="Roboto" w:eastAsia="Yu Gothic Light" w:hAnsi="Roboto" w:cs="Times New Roman"/>
          <w:b/>
          <w:color w:val="545A60"/>
          <w:sz w:val="21"/>
        </w:rPr>
        <w:t>Frequency of data collection</w:t>
      </w:r>
      <w:bookmarkEnd w:id="279"/>
      <w:bookmarkEnd w:id="280"/>
      <w:bookmarkEnd w:id="281"/>
    </w:p>
    <w:p w14:paraId="33935DA5" w14:textId="77777777" w:rsidR="00EE41ED" w:rsidRPr="00CE7070" w:rsidRDefault="00EE41ED" w:rsidP="00CE7070">
      <w:pPr>
        <w:rPr>
          <w:rFonts w:eastAsia="Calibri"/>
        </w:rPr>
      </w:pPr>
      <w:r w:rsidRPr="00CE7070">
        <w:rPr>
          <w:rFonts w:eastAsia="Calibri"/>
        </w:rPr>
        <w:t>Every three years. Note some differences in frequency of collection due to COVID-19.</w:t>
      </w:r>
    </w:p>
    <w:p w14:paraId="377C506B" w14:textId="77777777" w:rsidR="00EE41ED" w:rsidRDefault="00EE41ED" w:rsidP="00EE41ED">
      <w:pPr>
        <w:keepNext/>
        <w:keepLines/>
        <w:spacing w:before="120" w:after="60"/>
        <w:outlineLvl w:val="2"/>
        <w:rPr>
          <w:rFonts w:ascii="Roboto" w:eastAsia="Yu Gothic Light" w:hAnsi="Roboto" w:cs="Times New Roman"/>
          <w:b/>
          <w:color w:val="545A60"/>
          <w:sz w:val="21"/>
        </w:rPr>
      </w:pPr>
      <w:bookmarkStart w:id="282" w:name="_Toc169018623"/>
      <w:bookmarkStart w:id="283" w:name="_Toc169189075"/>
      <w:bookmarkStart w:id="284" w:name="_Toc169692877"/>
      <w:r w:rsidRPr="00755D97">
        <w:rPr>
          <w:rFonts w:ascii="Roboto" w:eastAsia="Yu Gothic Light" w:hAnsi="Roboto" w:cs="Times New Roman"/>
          <w:b/>
          <w:color w:val="545A60"/>
          <w:sz w:val="21"/>
        </w:rPr>
        <w:t>Limitations</w:t>
      </w:r>
      <w:bookmarkEnd w:id="282"/>
      <w:bookmarkEnd w:id="283"/>
      <w:bookmarkEnd w:id="284"/>
    </w:p>
    <w:p w14:paraId="3725EBAB" w14:textId="3ACDBA69" w:rsidR="00EE41ED" w:rsidRPr="00D35222" w:rsidRDefault="00EE41ED" w:rsidP="009032D8">
      <w:pPr>
        <w:pStyle w:val="ListParagraph"/>
        <w:numPr>
          <w:ilvl w:val="0"/>
          <w:numId w:val="39"/>
        </w:numPr>
        <w:rPr>
          <w:rFonts w:eastAsia="Calibri"/>
        </w:rPr>
      </w:pPr>
      <w:r w:rsidRPr="00D35222">
        <w:rPr>
          <w:rFonts w:eastAsia="Calibri"/>
        </w:rPr>
        <w:t xml:space="preserve">Items used within the National Health Survey are not primarily designed to capture and estimate employment rates across the whole population. Thus, findings may differ slightly to </w:t>
      </w:r>
      <w:r w:rsidR="009032D8">
        <w:rPr>
          <w:rFonts w:eastAsia="Calibri"/>
        </w:rPr>
        <w:t>e</w:t>
      </w:r>
      <w:r w:rsidRPr="00D35222">
        <w:rPr>
          <w:rFonts w:eastAsia="Calibri"/>
        </w:rPr>
        <w:t xml:space="preserve">mployment data sources reported elsewhere. </w:t>
      </w:r>
    </w:p>
    <w:p w14:paraId="44CECDF2" w14:textId="77777777" w:rsidR="00EE41ED" w:rsidRDefault="00EE41ED" w:rsidP="00EE41ED">
      <w:pPr>
        <w:keepNext/>
        <w:keepLines/>
        <w:spacing w:before="120" w:after="60"/>
        <w:outlineLvl w:val="2"/>
        <w:rPr>
          <w:rFonts w:ascii="Roboto" w:eastAsia="Yu Gothic Light" w:hAnsi="Roboto" w:cs="Times New Roman"/>
          <w:b/>
          <w:color w:val="545A60"/>
          <w:sz w:val="21"/>
        </w:rPr>
      </w:pPr>
      <w:bookmarkStart w:id="285" w:name="_Toc169018624"/>
      <w:bookmarkStart w:id="286" w:name="_Toc169189076"/>
      <w:bookmarkStart w:id="287" w:name="_Toc169692878"/>
      <w:r w:rsidRPr="00755D97">
        <w:rPr>
          <w:rFonts w:ascii="Roboto" w:eastAsia="Yu Gothic Light" w:hAnsi="Roboto" w:cs="Times New Roman"/>
          <w:b/>
          <w:color w:val="545A60"/>
          <w:sz w:val="21"/>
        </w:rPr>
        <w:lastRenderedPageBreak/>
        <w:t>Additional notes</w:t>
      </w:r>
      <w:bookmarkEnd w:id="285"/>
      <w:bookmarkEnd w:id="286"/>
      <w:bookmarkEnd w:id="287"/>
    </w:p>
    <w:p w14:paraId="4CBF9A0D" w14:textId="33DAF58D" w:rsidR="00EE41ED" w:rsidRPr="00D35222" w:rsidRDefault="00EE41ED" w:rsidP="00D35222">
      <w:pPr>
        <w:pStyle w:val="ListParagraph"/>
        <w:numPr>
          <w:ilvl w:val="0"/>
          <w:numId w:val="39"/>
        </w:numPr>
        <w:rPr>
          <w:rFonts w:eastAsia="Calibri"/>
        </w:rPr>
      </w:pPr>
      <w:r w:rsidRPr="00D35222">
        <w:rPr>
          <w:rFonts w:eastAsia="Calibri"/>
        </w:rPr>
        <w:t xml:space="preserve">The employment rate is just one of many relevant measures of participation in the labour market (e.g., unemployment rate, job vacancies, underemployment rate and labour force participation rate) which are impacted by a complex interplay of social and economic factors. Further information on other key measures is available at: </w:t>
      </w:r>
      <w:hyperlink r:id="rId59" w:history="1">
        <w:r w:rsidRPr="00D35222">
          <w:rPr>
            <w:rFonts w:eastAsia="Yu Gothic Light" w:cs="Times New Roman"/>
            <w:color w:val="008143"/>
            <w:u w:val="single"/>
          </w:rPr>
          <w:t>https://www.aihw.gov.au/reports/australias-welfare/employment-unemployment</w:t>
        </w:r>
      </w:hyperlink>
      <w:r w:rsidR="008466E5">
        <w:rPr>
          <w:rFonts w:eastAsia="Yu Gothic Light" w:cs="Times New Roman"/>
          <w:color w:val="008143"/>
          <w:u w:val="single"/>
        </w:rPr>
        <w:t>.</w:t>
      </w:r>
      <w:r w:rsidRPr="00D35222">
        <w:rPr>
          <w:rFonts w:eastAsia="Calibri"/>
        </w:rPr>
        <w:t xml:space="preserve"> </w:t>
      </w:r>
    </w:p>
    <w:p w14:paraId="6D85B618" w14:textId="77777777" w:rsidR="00EE41ED" w:rsidRDefault="00EE41ED" w:rsidP="00D35222">
      <w:pPr>
        <w:pStyle w:val="ListParagraph"/>
        <w:numPr>
          <w:ilvl w:val="0"/>
          <w:numId w:val="39"/>
        </w:numPr>
        <w:rPr>
          <w:rFonts w:eastAsia="Calibri"/>
        </w:rPr>
      </w:pPr>
      <w:r w:rsidRPr="00D35222">
        <w:rPr>
          <w:rFonts w:eastAsia="Calibri"/>
        </w:rPr>
        <w:t xml:space="preserve">A related and commonly tracked measure is labour force participation. This is a broader measure of economic participation, encompassing both people who are employed and people who are unemployed but actively looking for work. Analyses of labour force data were conducted alongside employment figures to check for relevant differences, but findings were </w:t>
      </w:r>
      <w:proofErr w:type="gramStart"/>
      <w:r w:rsidRPr="00D35222">
        <w:rPr>
          <w:rFonts w:eastAsia="Calibri"/>
        </w:rPr>
        <w:t>similar to</w:t>
      </w:r>
      <w:proofErr w:type="gramEnd"/>
      <w:r w:rsidRPr="00D35222">
        <w:rPr>
          <w:rFonts w:eastAsia="Calibri"/>
        </w:rPr>
        <w:t xml:space="preserve"> employment figures. As a result, labour force findings have not been discussed for this indicator. </w:t>
      </w:r>
    </w:p>
    <w:p w14:paraId="418A74A6" w14:textId="10E61521" w:rsidR="00E600CD" w:rsidRPr="00D35222" w:rsidRDefault="00F537AA" w:rsidP="00D35222">
      <w:pPr>
        <w:pStyle w:val="ListParagraph"/>
        <w:numPr>
          <w:ilvl w:val="0"/>
          <w:numId w:val="39"/>
        </w:numPr>
        <w:rPr>
          <w:rFonts w:eastAsia="Calibri"/>
        </w:rPr>
      </w:pPr>
      <w:r>
        <w:rPr>
          <w:rFonts w:eastAsia="Calibri"/>
        </w:rPr>
        <w:t xml:space="preserve">The </w:t>
      </w:r>
      <w:r w:rsidR="00010F9B">
        <w:rPr>
          <w:rFonts w:eastAsia="Calibri"/>
        </w:rPr>
        <w:t>N</w:t>
      </w:r>
      <w:r w:rsidR="00C51973">
        <w:rPr>
          <w:rFonts w:eastAsia="Calibri"/>
        </w:rPr>
        <w:t>ational Health Survey</w:t>
      </w:r>
      <w:r>
        <w:rPr>
          <w:rFonts w:eastAsia="Calibri"/>
        </w:rPr>
        <w:t xml:space="preserve"> provides information </w:t>
      </w:r>
      <w:r w:rsidR="00D37C5F">
        <w:rPr>
          <w:rFonts w:eastAsia="Calibri"/>
        </w:rPr>
        <w:t>on</w:t>
      </w:r>
      <w:r w:rsidR="007114AE">
        <w:rPr>
          <w:rFonts w:eastAsia="Calibri"/>
        </w:rPr>
        <w:t xml:space="preserve"> employment rates </w:t>
      </w:r>
      <w:r w:rsidR="00735E73">
        <w:rPr>
          <w:rFonts w:eastAsia="Calibri"/>
        </w:rPr>
        <w:t>for</w:t>
      </w:r>
      <w:r w:rsidR="007114AE">
        <w:rPr>
          <w:rFonts w:eastAsia="Calibri"/>
        </w:rPr>
        <w:t xml:space="preserve"> people with a mental or behavioural condition</w:t>
      </w:r>
      <w:r w:rsidR="00D37C5F">
        <w:rPr>
          <w:rFonts w:eastAsia="Calibri"/>
        </w:rPr>
        <w:t xml:space="preserve"> and provides a comparison population </w:t>
      </w:r>
      <w:r w:rsidR="00DF5218">
        <w:rPr>
          <w:rFonts w:eastAsia="Calibri"/>
        </w:rPr>
        <w:t>of all people in Australia</w:t>
      </w:r>
      <w:r w:rsidR="00735E73">
        <w:rPr>
          <w:rFonts w:eastAsia="Calibri"/>
        </w:rPr>
        <w:t xml:space="preserve">. For whole of population </w:t>
      </w:r>
      <w:r w:rsidR="00221CC9">
        <w:rPr>
          <w:rFonts w:eastAsia="Calibri"/>
        </w:rPr>
        <w:t>employment rate figures</w:t>
      </w:r>
      <w:r w:rsidR="0033770D">
        <w:rPr>
          <w:rFonts w:eastAsia="Calibri"/>
        </w:rPr>
        <w:t>,</w:t>
      </w:r>
      <w:r w:rsidR="00193F60">
        <w:rPr>
          <w:rFonts w:eastAsia="Calibri"/>
        </w:rPr>
        <w:t xml:space="preserve"> </w:t>
      </w:r>
      <w:r w:rsidR="00BF7031">
        <w:rPr>
          <w:rFonts w:eastAsia="Calibri"/>
        </w:rPr>
        <w:t xml:space="preserve">please </w:t>
      </w:r>
      <w:r w:rsidR="0039684D">
        <w:rPr>
          <w:rFonts w:eastAsia="Calibri"/>
        </w:rPr>
        <w:t>refer</w:t>
      </w:r>
      <w:r w:rsidR="00C6744D">
        <w:rPr>
          <w:rFonts w:eastAsia="Calibri"/>
        </w:rPr>
        <w:t xml:space="preserve"> to</w:t>
      </w:r>
      <w:r w:rsidR="00BF7031">
        <w:rPr>
          <w:rFonts w:eastAsia="Calibri"/>
        </w:rPr>
        <w:t xml:space="preserve"> </w:t>
      </w:r>
      <w:r w:rsidR="00127D43">
        <w:rPr>
          <w:rFonts w:eastAsia="Calibri"/>
        </w:rPr>
        <w:t xml:space="preserve">labour force </w:t>
      </w:r>
      <w:r w:rsidR="00221CC9">
        <w:rPr>
          <w:rFonts w:eastAsia="Calibri"/>
        </w:rPr>
        <w:t>findings</w:t>
      </w:r>
      <w:r w:rsidR="00127D43">
        <w:rPr>
          <w:rFonts w:eastAsia="Calibri"/>
        </w:rPr>
        <w:t xml:space="preserve"> on the </w:t>
      </w:r>
      <w:hyperlink r:id="rId60" w:history="1">
        <w:r w:rsidR="00127D43" w:rsidRPr="00BF7031">
          <w:rPr>
            <w:rStyle w:val="Hyperlink"/>
            <w:rFonts w:eastAsia="Calibri"/>
          </w:rPr>
          <w:t>ABS website</w:t>
        </w:r>
      </w:hyperlink>
      <w:r w:rsidR="00BF7031">
        <w:rPr>
          <w:rFonts w:eastAsia="Calibri"/>
        </w:rPr>
        <w:t>.</w:t>
      </w:r>
    </w:p>
    <w:p w14:paraId="3DA79A99" w14:textId="77777777" w:rsidR="00EE41ED" w:rsidRPr="00D35222" w:rsidRDefault="00EE41ED" w:rsidP="00D35222">
      <w:pPr>
        <w:pStyle w:val="ListParagraph"/>
        <w:numPr>
          <w:ilvl w:val="0"/>
          <w:numId w:val="39"/>
        </w:numPr>
        <w:rPr>
          <w:rFonts w:eastAsia="Calibri"/>
        </w:rPr>
      </w:pPr>
      <w:r w:rsidRPr="00D35222">
        <w:rPr>
          <w:rFonts w:eastAsia="Calibri"/>
        </w:rPr>
        <w:t>Comparisons between males and females are based on sex recorded at birth (i.e., what was determined by sex characteristics observed at birth or infancy).</w:t>
      </w:r>
    </w:p>
    <w:p w14:paraId="61E2BE5D" w14:textId="77777777" w:rsidR="00EE41ED" w:rsidRPr="00D35222" w:rsidRDefault="00EE41ED" w:rsidP="00D35222">
      <w:pPr>
        <w:pStyle w:val="ListParagraph"/>
        <w:numPr>
          <w:ilvl w:val="0"/>
          <w:numId w:val="39"/>
        </w:numPr>
        <w:rPr>
          <w:rFonts w:eastAsia="Calibri"/>
        </w:rPr>
      </w:pPr>
      <w:r w:rsidRPr="00D35222">
        <w:rPr>
          <w:rFonts w:eastAsia="Calibri"/>
        </w:rPr>
        <w:t>People who are considered to meet the criteria for a mental or behavioural condition meet the following definition ‘Persons who have a current, self-reported mental and behavioural condition which has lasted, or is expected to last, for 6 months or more. Condition is not based on any diagnostic screening tool’.</w:t>
      </w:r>
    </w:p>
    <w:p w14:paraId="52ADED5F" w14:textId="77777777" w:rsidR="00EE41ED" w:rsidRPr="00D35222" w:rsidRDefault="00EE41ED" w:rsidP="00D35222">
      <w:pPr>
        <w:pStyle w:val="ListParagraph"/>
        <w:numPr>
          <w:ilvl w:val="0"/>
          <w:numId w:val="39"/>
        </w:numPr>
        <w:rPr>
          <w:rFonts w:eastAsia="Calibri"/>
        </w:rPr>
      </w:pPr>
      <w:r w:rsidRPr="00D35222">
        <w:rPr>
          <w:rFonts w:eastAsia="Calibri"/>
        </w:rPr>
        <w:t>Some proportions may not add up to 100% due to number perturbation implemented by the data source owner.</w:t>
      </w:r>
    </w:p>
    <w:p w14:paraId="1E27E818" w14:textId="64FEFB2B" w:rsidR="00EE41ED" w:rsidRPr="00D35222" w:rsidRDefault="00EE41ED" w:rsidP="00D35222">
      <w:pPr>
        <w:pStyle w:val="ListParagraph"/>
        <w:numPr>
          <w:ilvl w:val="0"/>
          <w:numId w:val="39"/>
        </w:numPr>
        <w:rPr>
          <w:rFonts w:eastAsia="Calibri"/>
        </w:rPr>
      </w:pPr>
      <w:r w:rsidRPr="00D35222">
        <w:rPr>
          <w:rFonts w:eastAsia="Calibri"/>
        </w:rPr>
        <w:t xml:space="preserve">Detailed information on the methodology is available on the </w:t>
      </w:r>
      <w:hyperlink r:id="rId61">
        <w:r w:rsidRPr="00D35222">
          <w:rPr>
            <w:rFonts w:eastAsia="Yu Gothic Light" w:cs="Times New Roman"/>
            <w:color w:val="008143"/>
            <w:u w:val="single"/>
          </w:rPr>
          <w:t>ABS website</w:t>
        </w:r>
      </w:hyperlink>
      <w:r w:rsidRPr="00D35222">
        <w:rPr>
          <w:rFonts w:eastAsia="Calibri"/>
        </w:rPr>
        <w:t xml:space="preserve">.  </w:t>
      </w:r>
    </w:p>
    <w:p w14:paraId="7BFFAA5F" w14:textId="77777777" w:rsidR="00EE41ED" w:rsidRPr="00755D97" w:rsidRDefault="00EE41ED" w:rsidP="00EE41ED">
      <w:pPr>
        <w:spacing w:after="0" w:line="240" w:lineRule="auto"/>
        <w:rPr>
          <w:rFonts w:ascii="Roboto" w:eastAsia="Calibri" w:hAnsi="Roboto"/>
          <w:color w:val="5B626C"/>
        </w:rPr>
      </w:pPr>
      <w:r w:rsidRPr="00755D97">
        <w:rPr>
          <w:rFonts w:eastAsia="Calibri"/>
        </w:rPr>
        <w:br w:type="page"/>
      </w:r>
    </w:p>
    <w:p w14:paraId="1A37ED8F" w14:textId="12E2B133" w:rsidR="00EE41ED" w:rsidRPr="00755D97" w:rsidRDefault="00EE41ED" w:rsidP="00AB2810">
      <w:pPr>
        <w:pStyle w:val="Heading1"/>
        <w:rPr>
          <w:rFonts w:eastAsia="Yu Gothic Light" w:cs="Times New Roman"/>
        </w:rPr>
      </w:pPr>
      <w:bookmarkStart w:id="288" w:name="_Toc169692879"/>
      <w:bookmarkStart w:id="289" w:name="_Toc169868020"/>
      <w:r>
        <w:rPr>
          <w:rFonts w:eastAsia="Yu Gothic Light"/>
        </w:rPr>
        <w:lastRenderedPageBreak/>
        <w:t>CI 9</w:t>
      </w:r>
      <w:r w:rsidRPr="00755D97">
        <w:rPr>
          <w:rFonts w:eastAsia="Yu Gothic Light" w:cs="Times New Roman"/>
        </w:rPr>
        <w:t xml:space="preserve">: Engagement in employment or </w:t>
      </w:r>
      <w:r>
        <w:rPr>
          <w:rFonts w:eastAsia="Yu Gothic Light" w:cs="Times New Roman"/>
        </w:rPr>
        <w:t>study</w:t>
      </w:r>
      <w:r w:rsidRPr="00755D97">
        <w:rPr>
          <w:rFonts w:eastAsia="Yu Gothic Light" w:cs="Times New Roman"/>
        </w:rPr>
        <w:t xml:space="preserve"> </w:t>
      </w:r>
      <w:r>
        <w:rPr>
          <w:rFonts w:eastAsia="Yu Gothic Light" w:cs="Times New Roman"/>
        </w:rPr>
        <w:t>for young people</w:t>
      </w:r>
      <w:bookmarkEnd w:id="288"/>
      <w:bookmarkEnd w:id="289"/>
    </w:p>
    <w:p w14:paraId="6EA141EA" w14:textId="77777777" w:rsidR="00EE41ED" w:rsidRPr="00755D97" w:rsidRDefault="00EE41ED" w:rsidP="00EE41ED">
      <w:pPr>
        <w:keepNext/>
        <w:keepLines/>
        <w:spacing w:before="60" w:after="60"/>
        <w:outlineLvl w:val="1"/>
        <w:rPr>
          <w:rFonts w:ascii="Roboto-Bold" w:eastAsia="Yu Gothic Light" w:hAnsi="Roboto-Bold" w:cs="Times New Roman"/>
          <w:color w:val="008143"/>
          <w:sz w:val="26"/>
          <w:szCs w:val="26"/>
        </w:rPr>
      </w:pPr>
      <w:bookmarkStart w:id="290" w:name="_Toc169018626"/>
      <w:bookmarkStart w:id="291" w:name="_Toc169189078"/>
      <w:bookmarkStart w:id="292" w:name="_Toc169692880"/>
      <w:r w:rsidRPr="00755D97">
        <w:rPr>
          <w:rFonts w:ascii="Roboto-Bold" w:eastAsia="Yu Gothic Light" w:hAnsi="Roboto-Bold" w:cs="Times New Roman"/>
          <w:color w:val="008143"/>
          <w:sz w:val="26"/>
          <w:szCs w:val="26"/>
        </w:rPr>
        <w:t>What we are tracking (and why)</w:t>
      </w:r>
      <w:bookmarkEnd w:id="290"/>
      <w:bookmarkEnd w:id="291"/>
      <w:bookmarkEnd w:id="292"/>
    </w:p>
    <w:p w14:paraId="3B6AAC56" w14:textId="77777777" w:rsidR="00EE41ED" w:rsidRDefault="00EE41ED" w:rsidP="00EE41ED">
      <w:pPr>
        <w:rPr>
          <w:rFonts w:eastAsia="Calibri"/>
        </w:rPr>
      </w:pPr>
      <w:r>
        <w:rPr>
          <w:rFonts w:eastAsia="Calibri"/>
        </w:rPr>
        <w:t xml:space="preserve">This indicator tracks </w:t>
      </w:r>
      <w:r w:rsidRPr="00755D97">
        <w:rPr>
          <w:rFonts w:eastAsia="Calibri"/>
        </w:rPr>
        <w:t xml:space="preserve">people in Australia aged 16-24 </w:t>
      </w:r>
      <w:r>
        <w:rPr>
          <w:rFonts w:eastAsia="Calibri"/>
        </w:rPr>
        <w:t xml:space="preserve">years </w:t>
      </w:r>
      <w:r w:rsidRPr="00755D97">
        <w:rPr>
          <w:rFonts w:eastAsia="Calibri"/>
        </w:rPr>
        <w:t xml:space="preserve">who are engaged in employment </w:t>
      </w:r>
      <w:r>
        <w:rPr>
          <w:rFonts w:eastAsia="Calibri"/>
        </w:rPr>
        <w:t>and/</w:t>
      </w:r>
      <w:r w:rsidRPr="00755D97">
        <w:rPr>
          <w:rFonts w:eastAsia="Calibri"/>
        </w:rPr>
        <w:t xml:space="preserve">or </w:t>
      </w:r>
      <w:r>
        <w:rPr>
          <w:rFonts w:eastAsia="Calibri"/>
        </w:rPr>
        <w:t xml:space="preserve">enrolled for study in a formal secondary or tertiary qualification (full or part-time). </w:t>
      </w:r>
    </w:p>
    <w:p w14:paraId="066242AD" w14:textId="77777777" w:rsidR="00EE41ED" w:rsidRPr="00755D97" w:rsidRDefault="00EE41ED" w:rsidP="00EE41ED">
      <w:pPr>
        <w:rPr>
          <w:rFonts w:eastAsia="Calibri"/>
        </w:rPr>
      </w:pPr>
      <w:r w:rsidRPr="00CE7070">
        <w:rPr>
          <w:rFonts w:eastAsia="Calibri"/>
        </w:rPr>
        <w:t xml:space="preserve">Engagement in employment or study is particularly important for young adults. The transition from school to further education or work is a critical period of personal and educational development, providing a foundation for life-long vocational skills, social </w:t>
      </w:r>
      <w:proofErr w:type="gramStart"/>
      <w:r w:rsidRPr="00CE7070">
        <w:rPr>
          <w:rFonts w:eastAsia="Calibri"/>
        </w:rPr>
        <w:t>connectivity</w:t>
      </w:r>
      <w:proofErr w:type="gramEnd"/>
      <w:r w:rsidRPr="00CE7070">
        <w:rPr>
          <w:rFonts w:eastAsia="Calibri"/>
        </w:rPr>
        <w:t xml:space="preserve"> and financial security. Research shows a lack of engagement in employment or study following compulsory education can contribute to future unemployment, lower incomes and employment insecurity.</w:t>
      </w:r>
      <w:r w:rsidRPr="00CE7070">
        <w:rPr>
          <w:vertAlign w:val="superscript"/>
        </w:rPr>
        <w:footnoteReference w:id="17"/>
      </w:r>
      <w:r w:rsidRPr="00CE7070">
        <w:rPr>
          <w:rFonts w:eastAsia="Calibri"/>
        </w:rPr>
        <w:t xml:space="preserve"> Among young adults, there is also a clear association between being engaged</w:t>
      </w:r>
      <w:r>
        <w:rPr>
          <w:rFonts w:eastAsia="Calibri"/>
        </w:rPr>
        <w:t xml:space="preserve"> in employment and study and positive mental health and wellbeing outcomes.</w:t>
      </w:r>
      <w:r w:rsidRPr="00CE7070">
        <w:rPr>
          <w:vertAlign w:val="superscript"/>
        </w:rPr>
        <w:footnoteReference w:id="18"/>
      </w:r>
      <w:r w:rsidRPr="00755D97">
        <w:rPr>
          <w:rFonts w:eastAsia="Calibri"/>
        </w:rPr>
        <w:t xml:space="preserve"> Higher</w:t>
      </w:r>
      <w:r>
        <w:rPr>
          <w:rFonts w:eastAsia="Calibri"/>
        </w:rPr>
        <w:t xml:space="preserve"> rates of</w:t>
      </w:r>
      <w:r w:rsidRPr="00755D97">
        <w:rPr>
          <w:rFonts w:eastAsia="Calibri"/>
        </w:rPr>
        <w:t xml:space="preserve"> </w:t>
      </w:r>
      <w:r>
        <w:rPr>
          <w:rFonts w:eastAsia="Calibri"/>
        </w:rPr>
        <w:t>engagement by young people in employment and study</w:t>
      </w:r>
      <w:r w:rsidRPr="00755D97">
        <w:rPr>
          <w:rFonts w:eastAsia="Calibri"/>
        </w:rPr>
        <w:t xml:space="preserve"> may forecast improvements in the mental health, social connectedness, and financial security of </w:t>
      </w:r>
      <w:r>
        <w:rPr>
          <w:rFonts w:eastAsia="Calibri"/>
        </w:rPr>
        <w:t xml:space="preserve">young </w:t>
      </w:r>
      <w:r w:rsidRPr="00755D97">
        <w:rPr>
          <w:rFonts w:eastAsia="Calibri"/>
        </w:rPr>
        <w:t>people in Australia.</w:t>
      </w:r>
    </w:p>
    <w:p w14:paraId="02A49BC0" w14:textId="77777777" w:rsidR="00EE41ED" w:rsidRPr="00755D97" w:rsidRDefault="00EE41ED" w:rsidP="00EE41ED">
      <w:pPr>
        <w:keepNext/>
        <w:keepLines/>
        <w:spacing w:before="60" w:after="60"/>
        <w:outlineLvl w:val="1"/>
        <w:rPr>
          <w:rFonts w:ascii="Roboto-Bold" w:eastAsia="Yu Gothic Light" w:hAnsi="Roboto-Bold" w:cs="Times New Roman"/>
          <w:color w:val="008143"/>
          <w:sz w:val="26"/>
          <w:szCs w:val="26"/>
        </w:rPr>
      </w:pPr>
      <w:bookmarkStart w:id="293" w:name="_Toc169018627"/>
      <w:bookmarkStart w:id="294" w:name="_Toc169189079"/>
      <w:bookmarkStart w:id="295" w:name="_Toc169692881"/>
      <w:r w:rsidRPr="00755D97">
        <w:rPr>
          <w:rFonts w:ascii="Roboto-Bold" w:eastAsia="Yu Gothic Light" w:hAnsi="Roboto-Bold" w:cs="Times New Roman"/>
          <w:color w:val="008143"/>
          <w:sz w:val="26"/>
          <w:szCs w:val="26"/>
        </w:rPr>
        <w:t>What the data tells us</w:t>
      </w:r>
      <w:bookmarkEnd w:id="293"/>
      <w:bookmarkEnd w:id="294"/>
      <w:bookmarkEnd w:id="295"/>
    </w:p>
    <w:p w14:paraId="7FF7D15D" w14:textId="77777777" w:rsidR="00EE41ED" w:rsidRPr="00755D97" w:rsidRDefault="00EE41ED" w:rsidP="00EE41ED">
      <w:pPr>
        <w:keepNext/>
        <w:keepLines/>
        <w:spacing w:before="60" w:after="60"/>
        <w:outlineLvl w:val="2"/>
        <w:rPr>
          <w:rFonts w:ascii="Roboto" w:eastAsia="Yu Gothic Light" w:hAnsi="Roboto" w:cs="Times New Roman"/>
          <w:b/>
          <w:color w:val="545A60"/>
          <w:sz w:val="21"/>
        </w:rPr>
      </w:pPr>
      <w:bookmarkStart w:id="296" w:name="_Toc169018628"/>
      <w:bookmarkStart w:id="297" w:name="_Toc169189080"/>
      <w:bookmarkStart w:id="298" w:name="_Toc169692882"/>
      <w:r w:rsidRPr="00755D97">
        <w:rPr>
          <w:rFonts w:ascii="Roboto" w:eastAsia="Yu Gothic Light" w:hAnsi="Roboto" w:cs="Times New Roman"/>
          <w:b/>
          <w:color w:val="545A60"/>
          <w:sz w:val="21"/>
        </w:rPr>
        <w:t xml:space="preserve">Indicator </w:t>
      </w:r>
      <w:r>
        <w:rPr>
          <w:rFonts w:ascii="Roboto" w:eastAsia="Yu Gothic Light" w:hAnsi="Roboto" w:cs="Times New Roman"/>
          <w:b/>
          <w:color w:val="545A60"/>
          <w:sz w:val="21"/>
        </w:rPr>
        <w:t>f</w:t>
      </w:r>
      <w:r w:rsidRPr="00755D97">
        <w:rPr>
          <w:rFonts w:ascii="Roboto" w:eastAsia="Yu Gothic Light" w:hAnsi="Roboto" w:cs="Times New Roman"/>
          <w:b/>
          <w:color w:val="545A60"/>
          <w:sz w:val="21"/>
        </w:rPr>
        <w:t>indings</w:t>
      </w:r>
      <w:bookmarkEnd w:id="296"/>
      <w:bookmarkEnd w:id="297"/>
      <w:bookmarkEnd w:id="298"/>
    </w:p>
    <w:p w14:paraId="6127DAF7" w14:textId="77777777" w:rsidR="00EE41ED" w:rsidRDefault="00EE41ED" w:rsidP="00370206">
      <w:pPr>
        <w:spacing w:after="0"/>
        <w:outlineLvl w:val="3"/>
        <w:rPr>
          <w:rFonts w:ascii="Roboto-Bold" w:eastAsia="Calibri" w:hAnsi="Roboto-Bold"/>
          <w:color w:val="5B626C"/>
        </w:rPr>
      </w:pPr>
      <w:r>
        <w:rPr>
          <w:rFonts w:ascii="Roboto-Bold" w:eastAsia="Calibri" w:hAnsi="Roboto-Bold"/>
          <w:color w:val="5B626C"/>
        </w:rPr>
        <w:t>Whole of population</w:t>
      </w:r>
    </w:p>
    <w:p w14:paraId="51082227" w14:textId="77777777" w:rsidR="00EE41ED" w:rsidRPr="00891038" w:rsidRDefault="00EE41ED" w:rsidP="00D35A3B">
      <w:pPr>
        <w:rPr>
          <w:rFonts w:eastAsia="Calibri"/>
        </w:rPr>
      </w:pPr>
      <w:r w:rsidRPr="00755D97">
        <w:rPr>
          <w:rFonts w:eastAsia="Calibri"/>
        </w:rPr>
        <w:t>In 2022</w:t>
      </w:r>
      <w:r w:rsidRPr="00891038">
        <w:rPr>
          <w:rFonts w:eastAsia="Calibri"/>
        </w:rPr>
        <w:t>, 94.0% of people in Australia aged 16-24 years were employed and/or studying. This proportion is higher than reported in previous years (2014-15: 89.9%, 2017-18: 90.5%).</w:t>
      </w:r>
    </w:p>
    <w:p w14:paraId="401305A3" w14:textId="77777777" w:rsidR="00EE41ED" w:rsidRPr="00891038" w:rsidRDefault="00EE41ED" w:rsidP="00923664">
      <w:pPr>
        <w:spacing w:after="0"/>
        <w:outlineLvl w:val="3"/>
        <w:rPr>
          <w:rFonts w:ascii="Roboto-Bold" w:eastAsia="Calibri" w:hAnsi="Roboto-Bold"/>
          <w:color w:val="5B626C"/>
        </w:rPr>
      </w:pPr>
      <w:r w:rsidRPr="00891038">
        <w:rPr>
          <w:rFonts w:ascii="Roboto-Bold" w:eastAsia="Calibri" w:hAnsi="Roboto-Bold"/>
          <w:color w:val="5B626C"/>
        </w:rPr>
        <w:t>Lived Experience</w:t>
      </w:r>
    </w:p>
    <w:p w14:paraId="34CC2564" w14:textId="1DF1FC1D" w:rsidR="00EE41ED" w:rsidRPr="00755D97" w:rsidRDefault="00EE41ED" w:rsidP="00EE41ED">
      <w:pPr>
        <w:rPr>
          <w:rFonts w:eastAsia="Calibri"/>
        </w:rPr>
      </w:pPr>
      <w:r w:rsidRPr="00891038">
        <w:rPr>
          <w:rFonts w:eastAsia="Calibri"/>
        </w:rPr>
        <w:t xml:space="preserve">In 2022, 89.2% of people in Australia aged 16-24 years with a mental or behavioural condition were employed and/or studying. This is significantly lower than the </w:t>
      </w:r>
      <w:r w:rsidRPr="00891038" w:rsidDel="00FF63FD">
        <w:rPr>
          <w:rFonts w:eastAsia="Calibri"/>
        </w:rPr>
        <w:t xml:space="preserve">proportion </w:t>
      </w:r>
      <w:r w:rsidRPr="00891038">
        <w:rPr>
          <w:rFonts w:eastAsia="Calibri"/>
        </w:rPr>
        <w:t>of people without a mental or behavioural condition who were employed and/or studying</w:t>
      </w:r>
      <w:r w:rsidRPr="00891038" w:rsidDel="00FF63FD">
        <w:rPr>
          <w:rFonts w:eastAsia="Calibri"/>
        </w:rPr>
        <w:t xml:space="preserve"> (96.4%</w:t>
      </w:r>
      <w:r w:rsidRPr="00891038">
        <w:rPr>
          <w:rFonts w:eastAsia="Calibri"/>
        </w:rPr>
        <w:t>).</w:t>
      </w:r>
      <w:r w:rsidRPr="00755D97">
        <w:rPr>
          <w:rFonts w:eastAsia="Calibri"/>
        </w:rPr>
        <w:t xml:space="preserve">  </w:t>
      </w:r>
    </w:p>
    <w:p w14:paraId="16C34BBE" w14:textId="67619769" w:rsidR="00EE41ED" w:rsidRDefault="00EE41ED" w:rsidP="00EE41ED">
      <w:pPr>
        <w:rPr>
          <w:rFonts w:eastAsia="Calibri"/>
        </w:rPr>
      </w:pPr>
      <w:r>
        <w:rPr>
          <w:rFonts w:eastAsia="Calibri"/>
        </w:rPr>
        <w:t xml:space="preserve">As shown in Figure </w:t>
      </w:r>
      <w:r w:rsidRPr="00A86E74">
        <w:rPr>
          <w:rFonts w:eastAsia="Calibri"/>
        </w:rPr>
        <w:t>A9</w:t>
      </w:r>
      <w:r w:rsidRPr="00755D97">
        <w:rPr>
          <w:rFonts w:eastAsia="Calibri"/>
        </w:rPr>
        <w:t>, the gap between</w:t>
      </w:r>
      <w:r w:rsidRPr="00755D97" w:rsidDel="00C525C8">
        <w:rPr>
          <w:rFonts w:eastAsia="Calibri"/>
        </w:rPr>
        <w:t xml:space="preserve"> </w:t>
      </w:r>
      <w:r>
        <w:rPr>
          <w:rFonts w:eastAsia="Calibri"/>
        </w:rPr>
        <w:t>people</w:t>
      </w:r>
      <w:r w:rsidRPr="00755D97">
        <w:rPr>
          <w:rFonts w:eastAsia="Calibri"/>
        </w:rPr>
        <w:t xml:space="preserve"> with and without a mental or behavioural condition who are employed and/or studying has decreased</w:t>
      </w:r>
      <w:r>
        <w:rPr>
          <w:rFonts w:eastAsia="Calibri"/>
        </w:rPr>
        <w:t xml:space="preserve"> since 2014-15</w:t>
      </w:r>
      <w:r w:rsidRPr="00755D97">
        <w:rPr>
          <w:rFonts w:eastAsia="Calibri"/>
        </w:rPr>
        <w:t xml:space="preserve">. </w:t>
      </w:r>
      <w:r>
        <w:rPr>
          <w:rFonts w:eastAsia="Calibri"/>
        </w:rPr>
        <w:t>When considering these findings, it should be noted that</w:t>
      </w:r>
      <w:r w:rsidRPr="00755D97">
        <w:rPr>
          <w:rFonts w:eastAsia="Calibri"/>
        </w:rPr>
        <w:t xml:space="preserve"> </w:t>
      </w:r>
      <w:r>
        <w:rPr>
          <w:rFonts w:eastAsia="Calibri"/>
        </w:rPr>
        <w:t>from 2014-15 to 2022, the overall number of people reporting a mental or behavioural condition has increased. The reduction in the gap may in part be driven by more people identifying as having a mental health or behavioural condition, including people with less severe symptoms.</w:t>
      </w:r>
      <w:r w:rsidRPr="00755D97">
        <w:rPr>
          <w:rFonts w:eastAsia="Calibri"/>
        </w:rPr>
        <w:t xml:space="preserve"> </w:t>
      </w:r>
    </w:p>
    <w:p w14:paraId="716816A9" w14:textId="77777777" w:rsidR="00D35A3B" w:rsidRDefault="00D35A3B" w:rsidP="00EE41ED">
      <w:pPr>
        <w:rPr>
          <w:rFonts w:eastAsia="Calibri"/>
        </w:rPr>
      </w:pPr>
    </w:p>
    <w:p w14:paraId="72D26980" w14:textId="77777777" w:rsidR="00D35A3B" w:rsidRDefault="00D35A3B" w:rsidP="00EE41ED">
      <w:pPr>
        <w:rPr>
          <w:rFonts w:eastAsia="Calibri"/>
        </w:rPr>
      </w:pPr>
    </w:p>
    <w:p w14:paraId="0FA5B1E7" w14:textId="77777777" w:rsidR="00D35A3B" w:rsidRDefault="00D35A3B" w:rsidP="00EE41ED">
      <w:pPr>
        <w:rPr>
          <w:rFonts w:eastAsia="Calibri"/>
        </w:rPr>
      </w:pPr>
    </w:p>
    <w:p w14:paraId="2B319039" w14:textId="77777777" w:rsidR="00D35A3B" w:rsidRPr="00755D97" w:rsidRDefault="00D35A3B" w:rsidP="00EE41ED">
      <w:pPr>
        <w:rPr>
          <w:rFonts w:eastAsia="Calibri"/>
        </w:rPr>
      </w:pPr>
    </w:p>
    <w:p w14:paraId="3F3EEFD6" w14:textId="77777777" w:rsidR="009A2262" w:rsidRPr="00755D97" w:rsidRDefault="009A2262" w:rsidP="00EE41ED">
      <w:pPr>
        <w:rPr>
          <w:rFonts w:eastAsia="Calibri"/>
        </w:rPr>
      </w:pPr>
    </w:p>
    <w:p w14:paraId="4D3753CF" w14:textId="277693A8" w:rsidR="00EE41ED" w:rsidRDefault="00EE41ED" w:rsidP="009A2262">
      <w:pPr>
        <w:spacing w:after="120"/>
        <w:outlineLvl w:val="3"/>
        <w:rPr>
          <w:rFonts w:ascii="Roboto" w:eastAsia="Calibri" w:hAnsi="Roboto"/>
          <w:color w:val="5B626C"/>
        </w:rPr>
      </w:pPr>
      <w:r w:rsidRPr="00755D97">
        <w:rPr>
          <w:rFonts w:ascii="Roboto" w:eastAsia="Calibri" w:hAnsi="Roboto"/>
          <w:color w:val="008143"/>
        </w:rPr>
        <w:lastRenderedPageBreak/>
        <w:t xml:space="preserve">Figure </w:t>
      </w:r>
      <w:r>
        <w:rPr>
          <w:rFonts w:ascii="Roboto" w:eastAsia="Calibri" w:hAnsi="Roboto"/>
          <w:color w:val="008143"/>
        </w:rPr>
        <w:t>A9</w:t>
      </w:r>
      <w:r w:rsidRPr="00755D97">
        <w:rPr>
          <w:rFonts w:ascii="Roboto" w:eastAsia="Calibri" w:hAnsi="Roboto"/>
          <w:color w:val="008143"/>
        </w:rPr>
        <w:t xml:space="preserve">. </w:t>
      </w:r>
      <w:r w:rsidRPr="00891038">
        <w:rPr>
          <w:rFonts w:ascii="Roboto" w:eastAsia="Calibri" w:hAnsi="Roboto"/>
          <w:color w:val="5B626C"/>
        </w:rPr>
        <w:t xml:space="preserve">Proportion of people with and without a mental or behavioural condition who are employed and/or studying, 2014-15 to </w:t>
      </w:r>
      <w:proofErr w:type="gramStart"/>
      <w:r w:rsidRPr="00891038">
        <w:rPr>
          <w:rFonts w:ascii="Roboto" w:eastAsia="Calibri" w:hAnsi="Roboto"/>
          <w:color w:val="5B626C"/>
        </w:rPr>
        <w:t>2022</w:t>
      </w:r>
      <w:proofErr w:type="gramEnd"/>
    </w:p>
    <w:p w14:paraId="5E97074F" w14:textId="12C29EC6" w:rsidR="00EE41ED" w:rsidRPr="00755D97" w:rsidRDefault="00FB792A" w:rsidP="00EE41ED">
      <w:pPr>
        <w:outlineLvl w:val="3"/>
        <w:rPr>
          <w:rFonts w:ascii="Roboto" w:eastAsia="Calibri" w:hAnsi="Roboto"/>
          <w:color w:val="5B626C"/>
        </w:rPr>
      </w:pPr>
      <w:r>
        <w:rPr>
          <w:noProof/>
        </w:rPr>
        <w:drawing>
          <wp:inline distT="0" distB="0" distL="0" distR="0" wp14:anchorId="13DBEC70" wp14:editId="146BACC9">
            <wp:extent cx="6115050" cy="3057525"/>
            <wp:effectExtent l="0" t="0" r="0" b="9525"/>
            <wp:docPr id="1620931273" name="Graphic 1620931273" descr="The content of this figure is described in the text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931273" name="Graphic 1620931273" descr="The content of this figure is described in the text above. "/>
                    <pic:cNvPicPr/>
                  </pic:nvPicPr>
                  <pic:blipFill>
                    <a:blip r:embed="rId62">
                      <a:extLst>
                        <a:ext uri="{96DAC541-7B7A-43D3-8B79-37D633B846F1}">
                          <asvg:svgBlip xmlns:asvg="http://schemas.microsoft.com/office/drawing/2016/SVG/main" r:embed="rId63"/>
                        </a:ext>
                      </a:extLst>
                    </a:blip>
                    <a:stretch>
                      <a:fillRect/>
                    </a:stretch>
                  </pic:blipFill>
                  <pic:spPr>
                    <a:xfrm>
                      <a:off x="0" y="0"/>
                      <a:ext cx="6115050" cy="3057525"/>
                    </a:xfrm>
                    <a:prstGeom prst="rect">
                      <a:avLst/>
                    </a:prstGeom>
                  </pic:spPr>
                </pic:pic>
              </a:graphicData>
            </a:graphic>
          </wp:inline>
        </w:drawing>
      </w:r>
    </w:p>
    <w:p w14:paraId="63005D1B" w14:textId="77777777" w:rsidR="00EE41ED" w:rsidRPr="00755D97" w:rsidRDefault="00EE41ED" w:rsidP="00EE41ED">
      <w:pPr>
        <w:keepNext/>
        <w:keepLines/>
        <w:spacing w:before="60" w:after="60"/>
        <w:outlineLvl w:val="2"/>
        <w:rPr>
          <w:rFonts w:ascii="Roboto" w:eastAsia="Yu Gothic Light" w:hAnsi="Roboto" w:cs="Times New Roman"/>
          <w:b/>
          <w:color w:val="545A60"/>
          <w:sz w:val="21"/>
        </w:rPr>
      </w:pPr>
      <w:bookmarkStart w:id="299" w:name="_Toc169018629"/>
      <w:bookmarkStart w:id="300" w:name="_Toc169189081"/>
      <w:bookmarkStart w:id="301" w:name="_Toc169692883"/>
      <w:r w:rsidRPr="00755D97">
        <w:rPr>
          <w:rFonts w:ascii="Roboto" w:eastAsia="Yu Gothic Light" w:hAnsi="Roboto" w:cs="Times New Roman"/>
          <w:b/>
          <w:color w:val="545A60"/>
          <w:sz w:val="21"/>
        </w:rPr>
        <w:t>How do these findings differ between groups?</w:t>
      </w:r>
      <w:bookmarkEnd w:id="299"/>
      <w:bookmarkEnd w:id="300"/>
      <w:bookmarkEnd w:id="301"/>
    </w:p>
    <w:p w14:paraId="2000B4DE" w14:textId="77777777" w:rsidR="00EE41ED" w:rsidRDefault="00EE41ED" w:rsidP="00923664">
      <w:pPr>
        <w:spacing w:after="0"/>
        <w:outlineLvl w:val="3"/>
        <w:rPr>
          <w:rFonts w:ascii="Roboto-Bold" w:eastAsia="Calibri" w:hAnsi="Roboto-Bold"/>
          <w:color w:val="5B626C"/>
        </w:rPr>
      </w:pPr>
      <w:r>
        <w:rPr>
          <w:rFonts w:ascii="Roboto-Bold" w:eastAsia="Calibri" w:hAnsi="Roboto-Bold"/>
          <w:color w:val="5B626C"/>
        </w:rPr>
        <w:t>Whole of population</w:t>
      </w:r>
    </w:p>
    <w:p w14:paraId="56277D3E" w14:textId="77777777" w:rsidR="00EE41ED" w:rsidRPr="00891038" w:rsidRDefault="00EE41ED" w:rsidP="00EE41ED">
      <w:pPr>
        <w:rPr>
          <w:rFonts w:eastAsia="Calibri"/>
        </w:rPr>
      </w:pPr>
      <w:r w:rsidRPr="00891038">
        <w:rPr>
          <w:rFonts w:eastAsia="Calibri"/>
        </w:rPr>
        <w:t xml:space="preserve">In 2022, rates of engagement in employment and study did not significantly differ between males (94.3%) and females (93.3%). This is consistent with findings from 2014-15 and 2017-18 where there were also no significant differences. </w:t>
      </w:r>
    </w:p>
    <w:p w14:paraId="43FC9023" w14:textId="77777777" w:rsidR="00EE41ED" w:rsidRPr="00891038" w:rsidRDefault="00EE41ED" w:rsidP="00923664">
      <w:pPr>
        <w:spacing w:after="0"/>
        <w:outlineLvl w:val="3"/>
        <w:rPr>
          <w:rFonts w:ascii="Roboto-Bold" w:eastAsia="Calibri" w:hAnsi="Roboto-Bold"/>
          <w:color w:val="5B626C"/>
        </w:rPr>
      </w:pPr>
      <w:r w:rsidRPr="00891038">
        <w:rPr>
          <w:rFonts w:ascii="Roboto-Bold" w:eastAsia="Calibri" w:hAnsi="Roboto-Bold"/>
          <w:color w:val="5B626C"/>
        </w:rPr>
        <w:t>Lived Experience</w:t>
      </w:r>
    </w:p>
    <w:p w14:paraId="4B3255AC" w14:textId="618932D8" w:rsidR="00EE41ED" w:rsidRPr="00891038" w:rsidRDefault="00EE41ED" w:rsidP="00EE41ED">
      <w:pPr>
        <w:rPr>
          <w:rFonts w:eastAsia="Calibri"/>
        </w:rPr>
      </w:pPr>
      <w:r w:rsidRPr="00891038">
        <w:rPr>
          <w:rFonts w:eastAsia="Calibri"/>
        </w:rPr>
        <w:t xml:space="preserve">In 2022, for both males and females, people aged 16-24 years with a mental or behavioural condition were less likely to be employed and/or studying than people without a condition. This gap was larger for females (9.3 percentage point difference) compared to males (5.4 percentage point difference). </w:t>
      </w:r>
    </w:p>
    <w:p w14:paraId="650D81D9" w14:textId="4EAC7F3F" w:rsidR="00EE41ED" w:rsidRPr="00755D97" w:rsidRDefault="00EE41ED" w:rsidP="00EE41ED">
      <w:pPr>
        <w:rPr>
          <w:rFonts w:eastAsia="Calibri"/>
        </w:rPr>
      </w:pPr>
      <w:r w:rsidRPr="00891038">
        <w:rPr>
          <w:rFonts w:eastAsia="Calibri"/>
        </w:rPr>
        <w:t xml:space="preserve">Over time, the proportion of females aged 16-24 years with a mental or behavioural condition who were employed and/or studying has remained stable. In 2017-18, 87.1% of females within this group were employed and/or studying, </w:t>
      </w:r>
      <w:r w:rsidR="003F7561" w:rsidRPr="00891038">
        <w:rPr>
          <w:rFonts w:eastAsia="Calibri"/>
        </w:rPr>
        <w:t>compared</w:t>
      </w:r>
      <w:r w:rsidRPr="00891038">
        <w:rPr>
          <w:rFonts w:eastAsia="Calibri"/>
        </w:rPr>
        <w:t xml:space="preserve"> to 86.2% in 2022. </w:t>
      </w:r>
      <w:r w:rsidR="00593ACD" w:rsidRPr="00891038">
        <w:rPr>
          <w:rFonts w:eastAsia="Calibri"/>
        </w:rPr>
        <w:t>In contrast, an increase over time</w:t>
      </w:r>
      <w:r w:rsidRPr="00891038">
        <w:rPr>
          <w:rFonts w:eastAsia="Calibri"/>
        </w:rPr>
        <w:t xml:space="preserve"> was observed for males in the same group: 79.2% were employed and/or studying in 2017-18, </w:t>
      </w:r>
      <w:r w:rsidR="007A4F15" w:rsidRPr="00891038">
        <w:rPr>
          <w:rFonts w:eastAsia="Calibri"/>
        </w:rPr>
        <w:t xml:space="preserve">compared </w:t>
      </w:r>
      <w:r w:rsidRPr="00891038">
        <w:rPr>
          <w:rFonts w:eastAsia="Calibri"/>
        </w:rPr>
        <w:t>to 91.4% in 2022</w:t>
      </w:r>
      <w:r w:rsidR="0009289C" w:rsidRPr="00891038">
        <w:rPr>
          <w:rFonts w:eastAsia="Calibri"/>
        </w:rPr>
        <w:t xml:space="preserve">. </w:t>
      </w:r>
      <w:r w:rsidR="00912D9A" w:rsidRPr="00891038">
        <w:rPr>
          <w:rFonts w:eastAsia="Calibri"/>
        </w:rPr>
        <w:t>This</w:t>
      </w:r>
      <w:r w:rsidR="007A4F15" w:rsidRPr="00891038">
        <w:rPr>
          <w:rFonts w:eastAsia="Calibri"/>
        </w:rPr>
        <w:t xml:space="preserve"> </w:t>
      </w:r>
      <w:r w:rsidR="000B51D9" w:rsidRPr="00891038">
        <w:rPr>
          <w:rFonts w:eastAsia="Calibri"/>
        </w:rPr>
        <w:t>difference</w:t>
      </w:r>
      <w:r w:rsidR="00912D9A" w:rsidRPr="00891038">
        <w:rPr>
          <w:rFonts w:eastAsia="Calibri"/>
        </w:rPr>
        <w:t xml:space="preserve"> may in part be due to</w:t>
      </w:r>
      <w:r w:rsidR="00177FBA" w:rsidRPr="00891038">
        <w:rPr>
          <w:rFonts w:eastAsia="Calibri"/>
        </w:rPr>
        <w:t xml:space="preserve"> </w:t>
      </w:r>
      <w:r w:rsidR="008B5643" w:rsidRPr="00891038">
        <w:rPr>
          <w:rFonts w:eastAsia="Calibri"/>
        </w:rPr>
        <w:t xml:space="preserve">a </w:t>
      </w:r>
      <w:r w:rsidR="00551D29" w:rsidRPr="00891038">
        <w:rPr>
          <w:rFonts w:eastAsia="Calibri"/>
        </w:rPr>
        <w:t xml:space="preserve">larger proportional increase in the number of males </w:t>
      </w:r>
      <w:r w:rsidR="00407B19" w:rsidRPr="00891038">
        <w:rPr>
          <w:rFonts w:eastAsia="Calibri"/>
        </w:rPr>
        <w:t>reporting a mental or behavioural condition over time</w:t>
      </w:r>
      <w:r w:rsidR="004573BD" w:rsidRPr="00891038">
        <w:rPr>
          <w:rFonts w:eastAsia="Calibri"/>
        </w:rPr>
        <w:t xml:space="preserve"> compared to females</w:t>
      </w:r>
      <w:r w:rsidR="007C2DC7" w:rsidRPr="00891038">
        <w:rPr>
          <w:rFonts w:eastAsia="Calibri"/>
        </w:rPr>
        <w:t>.</w:t>
      </w:r>
      <w:r w:rsidR="00DD5A32" w:rsidRPr="00891038">
        <w:rPr>
          <w:rFonts w:eastAsia="Calibri"/>
        </w:rPr>
        <w:t xml:space="preserve"> </w:t>
      </w:r>
      <w:r w:rsidRPr="00891038">
        <w:rPr>
          <w:rFonts w:eastAsia="Calibri"/>
        </w:rPr>
        <w:t>Th</w:t>
      </w:r>
      <w:r w:rsidR="003377C5" w:rsidRPr="00891038">
        <w:rPr>
          <w:rFonts w:eastAsia="Calibri"/>
        </w:rPr>
        <w:t>e</w:t>
      </w:r>
      <w:r w:rsidRPr="00891038">
        <w:rPr>
          <w:rFonts w:eastAsia="Calibri"/>
        </w:rPr>
        <w:t xml:space="preserve"> </w:t>
      </w:r>
      <w:r w:rsidR="003377C5" w:rsidRPr="00891038">
        <w:rPr>
          <w:rFonts w:eastAsia="Calibri"/>
        </w:rPr>
        <w:t xml:space="preserve">increase </w:t>
      </w:r>
      <w:r w:rsidRPr="00891038">
        <w:rPr>
          <w:rFonts w:eastAsia="Calibri"/>
        </w:rPr>
        <w:t xml:space="preserve">over time </w:t>
      </w:r>
      <w:r w:rsidR="003377C5" w:rsidRPr="00891038">
        <w:rPr>
          <w:rFonts w:eastAsia="Calibri"/>
        </w:rPr>
        <w:t>for males with</w:t>
      </w:r>
      <w:r w:rsidR="00E47DF6" w:rsidRPr="00891038">
        <w:rPr>
          <w:rFonts w:eastAsia="Calibri"/>
        </w:rPr>
        <w:t xml:space="preserve"> a mental health or behavioural condition</w:t>
      </w:r>
      <w:r w:rsidRPr="00891038">
        <w:rPr>
          <w:rFonts w:eastAsia="Calibri"/>
        </w:rPr>
        <w:t xml:space="preserve"> was not mirrored among males without a mental or behavioural condition</w:t>
      </w:r>
      <w:r w:rsidR="0048176B" w:rsidRPr="00891038">
        <w:rPr>
          <w:rFonts w:eastAsia="Calibri"/>
        </w:rPr>
        <w:t xml:space="preserve"> (2017-18</w:t>
      </w:r>
      <w:r w:rsidR="00D01D3C" w:rsidRPr="00891038">
        <w:rPr>
          <w:rFonts w:eastAsia="Calibri"/>
        </w:rPr>
        <w:t xml:space="preserve">: </w:t>
      </w:r>
      <w:r w:rsidR="00AB2A73" w:rsidRPr="00891038">
        <w:rPr>
          <w:rFonts w:eastAsia="Calibri"/>
        </w:rPr>
        <w:t>95.1</w:t>
      </w:r>
      <w:r w:rsidR="00D01D3C" w:rsidRPr="00891038">
        <w:rPr>
          <w:rFonts w:eastAsia="Calibri"/>
        </w:rPr>
        <w:t>%</w:t>
      </w:r>
      <w:r w:rsidR="00EE294D" w:rsidRPr="00891038">
        <w:rPr>
          <w:rFonts w:eastAsia="Calibri"/>
        </w:rPr>
        <w:t xml:space="preserve">, </w:t>
      </w:r>
      <w:r w:rsidR="00DD5A32" w:rsidRPr="00891038">
        <w:rPr>
          <w:rFonts w:eastAsia="Calibri"/>
        </w:rPr>
        <w:t xml:space="preserve">2022: </w:t>
      </w:r>
      <w:r w:rsidR="00032067" w:rsidRPr="00891038">
        <w:rPr>
          <w:rFonts w:eastAsia="Calibri"/>
        </w:rPr>
        <w:t>96.8</w:t>
      </w:r>
      <w:r w:rsidR="00DD5A32" w:rsidRPr="00891038">
        <w:rPr>
          <w:rFonts w:eastAsia="Calibri"/>
        </w:rPr>
        <w:t>%)</w:t>
      </w:r>
      <w:r w:rsidRPr="00891038">
        <w:rPr>
          <w:rFonts w:eastAsia="Calibri"/>
        </w:rPr>
        <w:t>.</w:t>
      </w:r>
      <w:r w:rsidRPr="00755D97">
        <w:rPr>
          <w:rFonts w:eastAsia="Calibri"/>
        </w:rPr>
        <w:t xml:space="preserve"> </w:t>
      </w:r>
    </w:p>
    <w:p w14:paraId="523B3DEB" w14:textId="77777777" w:rsidR="00EE41ED" w:rsidRPr="003D6E8B" w:rsidRDefault="00EE41ED" w:rsidP="00BD77E3">
      <w:pPr>
        <w:keepNext/>
        <w:keepLines/>
        <w:spacing w:before="480" w:after="60"/>
        <w:outlineLvl w:val="1"/>
        <w:rPr>
          <w:rFonts w:ascii="Roboto-Bold" w:eastAsia="Yu Gothic Light" w:hAnsi="Roboto-Bold" w:cs="Times New Roman"/>
          <w:color w:val="008143"/>
          <w:sz w:val="26"/>
          <w:szCs w:val="26"/>
        </w:rPr>
      </w:pPr>
      <w:bookmarkStart w:id="302" w:name="_Toc169018630"/>
      <w:bookmarkStart w:id="303" w:name="_Toc169189082"/>
      <w:bookmarkStart w:id="304" w:name="_Toc169692884"/>
      <w:r w:rsidRPr="00755D97">
        <w:rPr>
          <w:rFonts w:ascii="Roboto-Bold" w:eastAsia="Yu Gothic Light" w:hAnsi="Roboto-Bold" w:cs="Times New Roman"/>
          <w:color w:val="008143"/>
          <w:sz w:val="26"/>
          <w:szCs w:val="26"/>
        </w:rPr>
        <w:t>Technical information</w:t>
      </w:r>
      <w:bookmarkEnd w:id="302"/>
      <w:bookmarkEnd w:id="303"/>
      <w:bookmarkEnd w:id="304"/>
    </w:p>
    <w:p w14:paraId="45C34347" w14:textId="77777777" w:rsidR="00EE41ED" w:rsidRDefault="00EE41ED" w:rsidP="00EE41ED">
      <w:pPr>
        <w:keepNext/>
        <w:keepLines/>
        <w:spacing w:before="120" w:after="60"/>
        <w:outlineLvl w:val="2"/>
        <w:rPr>
          <w:rFonts w:ascii="Roboto" w:eastAsia="Yu Gothic Light" w:hAnsi="Roboto" w:cs="Times New Roman"/>
          <w:b/>
          <w:color w:val="545A60"/>
          <w:sz w:val="21"/>
        </w:rPr>
      </w:pPr>
      <w:bookmarkStart w:id="305" w:name="_Toc169018631"/>
      <w:bookmarkStart w:id="306" w:name="_Toc169189083"/>
      <w:bookmarkStart w:id="307" w:name="_Toc169692885"/>
      <w:r w:rsidRPr="00755D97">
        <w:rPr>
          <w:rFonts w:ascii="Roboto" w:eastAsia="Yu Gothic Light" w:hAnsi="Roboto" w:cs="Times New Roman"/>
          <w:b/>
          <w:color w:val="545A60"/>
          <w:sz w:val="21"/>
        </w:rPr>
        <w:t>Source</w:t>
      </w:r>
      <w:bookmarkEnd w:id="305"/>
      <w:bookmarkEnd w:id="306"/>
      <w:bookmarkEnd w:id="307"/>
      <w:r w:rsidRPr="00755D97">
        <w:rPr>
          <w:rFonts w:ascii="Roboto" w:eastAsia="Yu Gothic Light" w:hAnsi="Roboto" w:cs="Times New Roman"/>
          <w:b/>
          <w:color w:val="545A60"/>
          <w:sz w:val="21"/>
        </w:rPr>
        <w:t xml:space="preserve"> </w:t>
      </w:r>
    </w:p>
    <w:p w14:paraId="6EF8CBA3" w14:textId="77777777" w:rsidR="00EE41ED" w:rsidRPr="00CE7070" w:rsidRDefault="00EE41ED" w:rsidP="00EE41ED">
      <w:pPr>
        <w:rPr>
          <w:rFonts w:eastAsia="Calibri"/>
        </w:rPr>
      </w:pPr>
      <w:r w:rsidRPr="00CE7070">
        <w:rPr>
          <w:rFonts w:eastAsia="Calibri"/>
        </w:rPr>
        <w:t xml:space="preserve">Australian Bureau of Statistics (ABS) </w:t>
      </w:r>
      <w:r w:rsidRPr="007A18AE">
        <w:rPr>
          <w:rFonts w:eastAsia="Calibri"/>
          <w:i/>
        </w:rPr>
        <w:t>National Health Survey, 2022</w:t>
      </w:r>
      <w:r w:rsidRPr="00CE7070">
        <w:rPr>
          <w:rFonts w:eastAsia="Calibri"/>
        </w:rPr>
        <w:t xml:space="preserve">; ABS </w:t>
      </w:r>
      <w:r w:rsidRPr="007A18AE">
        <w:rPr>
          <w:rFonts w:eastAsia="Calibri"/>
          <w:i/>
        </w:rPr>
        <w:t>National Health Survey, 2017-18</w:t>
      </w:r>
      <w:r w:rsidRPr="00CE7070">
        <w:rPr>
          <w:rFonts w:eastAsia="Calibri"/>
        </w:rPr>
        <w:t xml:space="preserve">; ABS </w:t>
      </w:r>
      <w:r w:rsidRPr="007A18AE">
        <w:rPr>
          <w:rFonts w:eastAsia="Calibri"/>
          <w:i/>
        </w:rPr>
        <w:t>National Health Survey, 2014-15.</w:t>
      </w:r>
    </w:p>
    <w:p w14:paraId="59A92C0B" w14:textId="77777777" w:rsidR="00EE41ED" w:rsidRPr="00C04E31" w:rsidRDefault="00EE41ED" w:rsidP="00EE41ED">
      <w:pPr>
        <w:keepNext/>
        <w:keepLines/>
        <w:spacing w:before="120" w:after="60"/>
        <w:outlineLvl w:val="2"/>
        <w:rPr>
          <w:rFonts w:ascii="Roboto" w:eastAsia="Yu Gothic Light" w:hAnsi="Roboto" w:cs="Times New Roman"/>
          <w:b/>
          <w:color w:val="545A60"/>
          <w:sz w:val="21"/>
        </w:rPr>
      </w:pPr>
      <w:bookmarkStart w:id="308" w:name="_Toc169018632"/>
      <w:bookmarkStart w:id="309" w:name="_Toc169189084"/>
      <w:bookmarkStart w:id="310" w:name="_Toc169692886"/>
      <w:r w:rsidRPr="00755D97">
        <w:rPr>
          <w:rFonts w:ascii="Roboto" w:eastAsia="Yu Gothic Light" w:hAnsi="Roboto" w:cs="Times New Roman"/>
          <w:b/>
          <w:color w:val="545A60"/>
          <w:sz w:val="21"/>
        </w:rPr>
        <w:t>Frequency of data collection</w:t>
      </w:r>
      <w:bookmarkEnd w:id="308"/>
      <w:bookmarkEnd w:id="309"/>
      <w:bookmarkEnd w:id="310"/>
      <w:r w:rsidRPr="00C04E31">
        <w:rPr>
          <w:rFonts w:ascii="Roboto" w:eastAsia="Yu Gothic Light" w:hAnsi="Roboto" w:cs="Times New Roman"/>
          <w:b/>
          <w:color w:val="545A60"/>
          <w:sz w:val="21"/>
        </w:rPr>
        <w:t xml:space="preserve"> </w:t>
      </w:r>
    </w:p>
    <w:p w14:paraId="4A0B7757" w14:textId="77777777" w:rsidR="00EE41ED" w:rsidRPr="00CE7070" w:rsidRDefault="00EE41ED" w:rsidP="00EE41ED">
      <w:pPr>
        <w:rPr>
          <w:rFonts w:eastAsia="Calibri"/>
        </w:rPr>
      </w:pPr>
      <w:r w:rsidRPr="00CE7070">
        <w:rPr>
          <w:rFonts w:eastAsia="Calibri"/>
        </w:rPr>
        <w:t>Every three years. Note some differences in frequency of collection due to COVID-19.</w:t>
      </w:r>
    </w:p>
    <w:p w14:paraId="34EE1A2D" w14:textId="77777777" w:rsidR="00EE41ED" w:rsidRPr="00C04E31" w:rsidRDefault="00EE41ED" w:rsidP="00EE41ED">
      <w:pPr>
        <w:keepNext/>
        <w:keepLines/>
        <w:spacing w:before="120" w:after="60"/>
        <w:outlineLvl w:val="2"/>
        <w:rPr>
          <w:rFonts w:ascii="Roboto" w:eastAsia="Yu Gothic Light" w:hAnsi="Roboto" w:cs="Times New Roman"/>
          <w:b/>
          <w:color w:val="545A60"/>
          <w:sz w:val="21"/>
        </w:rPr>
      </w:pPr>
      <w:bookmarkStart w:id="311" w:name="_Toc169018633"/>
      <w:bookmarkStart w:id="312" w:name="_Toc169189085"/>
      <w:bookmarkStart w:id="313" w:name="_Toc169692887"/>
      <w:r w:rsidRPr="00755D97">
        <w:rPr>
          <w:rFonts w:ascii="Roboto" w:eastAsia="Yu Gothic Light" w:hAnsi="Roboto" w:cs="Times New Roman"/>
          <w:b/>
          <w:color w:val="545A60"/>
          <w:sz w:val="21"/>
        </w:rPr>
        <w:lastRenderedPageBreak/>
        <w:t>Limitation</w:t>
      </w:r>
      <w:r>
        <w:rPr>
          <w:rFonts w:ascii="Roboto" w:eastAsia="Yu Gothic Light" w:hAnsi="Roboto" w:cs="Times New Roman"/>
          <w:b/>
          <w:color w:val="545A60"/>
          <w:sz w:val="21"/>
        </w:rPr>
        <w:t>s</w:t>
      </w:r>
      <w:bookmarkEnd w:id="311"/>
      <w:bookmarkEnd w:id="312"/>
      <w:bookmarkEnd w:id="313"/>
      <w:r w:rsidRPr="00C04E31">
        <w:rPr>
          <w:rFonts w:ascii="Roboto" w:eastAsia="Yu Gothic Light" w:hAnsi="Roboto" w:cs="Times New Roman"/>
          <w:b/>
          <w:color w:val="545A60"/>
          <w:sz w:val="21"/>
        </w:rPr>
        <w:t xml:space="preserve"> </w:t>
      </w:r>
    </w:p>
    <w:p w14:paraId="2D6EF475" w14:textId="720AFA09" w:rsidR="00EE41ED" w:rsidRPr="00CE7070" w:rsidRDefault="00EE41ED" w:rsidP="00EE41ED">
      <w:pPr>
        <w:pStyle w:val="ListParagraph"/>
        <w:numPr>
          <w:ilvl w:val="0"/>
          <w:numId w:val="40"/>
        </w:numPr>
        <w:rPr>
          <w:rFonts w:eastAsia="Calibri"/>
        </w:rPr>
      </w:pPr>
      <w:r w:rsidRPr="00CE7070">
        <w:rPr>
          <w:rFonts w:eastAsia="Calibri"/>
        </w:rPr>
        <w:t xml:space="preserve">Items used within the National Health Survey are not primarily designed to capture and estimate employment and/or studying rates across the relevant population. Thus, findings may differ slightly to data sources available elsewhere. Detailed information on the methodology is available on the </w:t>
      </w:r>
      <w:hyperlink r:id="rId64">
        <w:r w:rsidR="003C28C3" w:rsidRPr="00DD7EC3">
          <w:rPr>
            <w:rFonts w:eastAsia="Yu Gothic Light" w:cs="Times New Roman"/>
            <w:color w:val="008143"/>
            <w:szCs w:val="18"/>
            <w:u w:val="single"/>
          </w:rPr>
          <w:t>ABS website</w:t>
        </w:r>
      </w:hyperlink>
      <w:r w:rsidRPr="00CE7070">
        <w:rPr>
          <w:rFonts w:eastAsia="Calibri"/>
        </w:rPr>
        <w:t xml:space="preserve">.  </w:t>
      </w:r>
    </w:p>
    <w:p w14:paraId="14A50A9E" w14:textId="77777777" w:rsidR="00EE41ED" w:rsidRDefault="00EE41ED" w:rsidP="00EE41ED">
      <w:pPr>
        <w:keepNext/>
        <w:keepLines/>
        <w:spacing w:before="120" w:after="60"/>
        <w:outlineLvl w:val="2"/>
        <w:rPr>
          <w:rFonts w:ascii="Roboto" w:eastAsia="Yu Gothic Light" w:hAnsi="Roboto" w:cs="Times New Roman"/>
          <w:b/>
          <w:color w:val="545A60"/>
          <w:sz w:val="21"/>
        </w:rPr>
      </w:pPr>
      <w:bookmarkStart w:id="314" w:name="_Toc169018634"/>
      <w:bookmarkStart w:id="315" w:name="_Toc169189086"/>
      <w:bookmarkStart w:id="316" w:name="_Toc169692888"/>
      <w:r w:rsidRPr="00755D97">
        <w:rPr>
          <w:rFonts w:ascii="Roboto" w:eastAsia="Yu Gothic Light" w:hAnsi="Roboto" w:cs="Times New Roman"/>
          <w:b/>
          <w:color w:val="545A60"/>
          <w:sz w:val="21"/>
        </w:rPr>
        <w:t>Additional notes</w:t>
      </w:r>
      <w:bookmarkEnd w:id="314"/>
      <w:bookmarkEnd w:id="315"/>
      <w:bookmarkEnd w:id="316"/>
      <w:r w:rsidRPr="00755D97">
        <w:rPr>
          <w:rFonts w:ascii="Roboto" w:eastAsia="Yu Gothic Light" w:hAnsi="Roboto" w:cs="Times New Roman"/>
          <w:b/>
          <w:color w:val="545A60"/>
          <w:sz w:val="21"/>
        </w:rPr>
        <w:t xml:space="preserve"> </w:t>
      </w:r>
    </w:p>
    <w:p w14:paraId="1A950846" w14:textId="77777777" w:rsidR="00EE41ED" w:rsidRPr="00D35222" w:rsidRDefault="00EE41ED" w:rsidP="00D35222">
      <w:pPr>
        <w:pStyle w:val="ListParagraph"/>
        <w:numPr>
          <w:ilvl w:val="0"/>
          <w:numId w:val="40"/>
        </w:numPr>
        <w:rPr>
          <w:rFonts w:eastAsia="Calibri"/>
        </w:rPr>
      </w:pPr>
      <w:r w:rsidRPr="00D35222">
        <w:rPr>
          <w:rFonts w:eastAsia="Calibri"/>
        </w:rPr>
        <w:t>Comparisons between males and females are based on sex recorded at birth (i.e., what was determined by sex characteristics observed at birth or infancy).</w:t>
      </w:r>
    </w:p>
    <w:p w14:paraId="626B13BC" w14:textId="77777777" w:rsidR="00EE41ED" w:rsidRPr="00D35222" w:rsidRDefault="00EE41ED" w:rsidP="00D35222">
      <w:pPr>
        <w:pStyle w:val="ListParagraph"/>
        <w:numPr>
          <w:ilvl w:val="0"/>
          <w:numId w:val="40"/>
        </w:numPr>
        <w:rPr>
          <w:rFonts w:eastAsia="Calibri"/>
        </w:rPr>
      </w:pPr>
      <w:r w:rsidRPr="00D35222">
        <w:rPr>
          <w:rFonts w:eastAsia="Calibri"/>
        </w:rPr>
        <w:t>People who are considered to meet the criteria for a mental or behavioural condition meet the following definition ‘Persons who have a current, self-reported mental and behavioural condition which has lasted, or is expected to last, for 6 months or more. Condition is not based on any diagnostic screening tool’.</w:t>
      </w:r>
    </w:p>
    <w:p w14:paraId="71605A23" w14:textId="788E067F" w:rsidR="00EE41ED" w:rsidRPr="00D35222" w:rsidRDefault="00EE41ED" w:rsidP="00D35222">
      <w:pPr>
        <w:pStyle w:val="ListParagraph"/>
        <w:numPr>
          <w:ilvl w:val="0"/>
          <w:numId w:val="40"/>
        </w:numPr>
        <w:rPr>
          <w:rFonts w:eastAsia="Calibri"/>
        </w:rPr>
      </w:pPr>
      <w:r w:rsidRPr="00D35222">
        <w:rPr>
          <w:rFonts w:eastAsia="Calibri"/>
        </w:rPr>
        <w:t>Some proportions may not add up to 100% due to number perturbation implemented by the data source owner.</w:t>
      </w:r>
    </w:p>
    <w:p w14:paraId="186EEFA5" w14:textId="77777777" w:rsidR="00EE41ED" w:rsidRPr="00755D97" w:rsidRDefault="00EE41ED" w:rsidP="00EE41ED">
      <w:pPr>
        <w:spacing w:after="0" w:line="240" w:lineRule="auto"/>
        <w:rPr>
          <w:rFonts w:ascii="Roboto" w:eastAsia="Calibri" w:hAnsi="Roboto"/>
          <w:color w:val="5B626C"/>
        </w:rPr>
      </w:pPr>
      <w:r w:rsidRPr="00755D97">
        <w:rPr>
          <w:rFonts w:eastAsia="Calibri"/>
        </w:rPr>
        <w:br w:type="page"/>
      </w:r>
    </w:p>
    <w:p w14:paraId="72EC5B63" w14:textId="77777777" w:rsidR="00EE41ED" w:rsidRPr="00755D97" w:rsidRDefault="00EE41ED" w:rsidP="000B47BE">
      <w:pPr>
        <w:pStyle w:val="Heading1"/>
        <w:rPr>
          <w:rFonts w:eastAsia="Yu Gothic Light" w:cs="Times New Roman"/>
        </w:rPr>
      </w:pPr>
      <w:bookmarkStart w:id="317" w:name="_Toc164671328"/>
      <w:bookmarkStart w:id="318" w:name="_Toc164671598"/>
      <w:bookmarkStart w:id="319" w:name="_Toc169692889"/>
      <w:bookmarkStart w:id="320" w:name="_Toc169868021"/>
      <w:r>
        <w:rPr>
          <w:rFonts w:eastAsia="Yu Gothic Light"/>
        </w:rPr>
        <w:lastRenderedPageBreak/>
        <w:t>CI 1</w:t>
      </w:r>
      <w:r>
        <w:rPr>
          <w:rFonts w:eastAsia="Yu Gothic Light" w:cs="Times New Roman"/>
        </w:rPr>
        <w:t>0</w:t>
      </w:r>
      <w:r w:rsidRPr="00755D97">
        <w:rPr>
          <w:rFonts w:eastAsia="Yu Gothic Light" w:cs="Times New Roman"/>
        </w:rPr>
        <w:t xml:space="preserve">: </w:t>
      </w:r>
      <w:r>
        <w:rPr>
          <w:rFonts w:eastAsia="Yu Gothic Light" w:cs="Times New Roman"/>
        </w:rPr>
        <w:t>Prevalence of</w:t>
      </w:r>
      <w:r w:rsidRPr="00755D97">
        <w:rPr>
          <w:rFonts w:eastAsia="Yu Gothic Light" w:cs="Times New Roman"/>
        </w:rPr>
        <w:t xml:space="preserve"> physical </w:t>
      </w:r>
      <w:r>
        <w:rPr>
          <w:rFonts w:eastAsia="Yu Gothic Light" w:cs="Times New Roman"/>
        </w:rPr>
        <w:t xml:space="preserve">health </w:t>
      </w:r>
      <w:r w:rsidRPr="00755D97">
        <w:rPr>
          <w:rFonts w:eastAsia="Yu Gothic Light" w:cs="Times New Roman"/>
        </w:rPr>
        <w:t>conditions</w:t>
      </w:r>
      <w:bookmarkEnd w:id="317"/>
      <w:bookmarkEnd w:id="318"/>
      <w:bookmarkEnd w:id="319"/>
      <w:bookmarkEnd w:id="320"/>
    </w:p>
    <w:p w14:paraId="707AEBFC" w14:textId="77777777" w:rsidR="00EE41ED" w:rsidRPr="00755D97" w:rsidRDefault="00EE41ED" w:rsidP="00EE41ED">
      <w:pPr>
        <w:keepNext/>
        <w:keepLines/>
        <w:spacing w:before="60" w:after="60"/>
        <w:outlineLvl w:val="1"/>
        <w:rPr>
          <w:rFonts w:ascii="Roboto-Bold" w:eastAsia="Yu Gothic Light" w:hAnsi="Roboto-Bold" w:cs="Times New Roman"/>
          <w:color w:val="008143"/>
          <w:sz w:val="26"/>
          <w:szCs w:val="26"/>
        </w:rPr>
      </w:pPr>
      <w:bookmarkStart w:id="321" w:name="_Toc164671329"/>
      <w:bookmarkStart w:id="322" w:name="_Toc164671599"/>
      <w:bookmarkStart w:id="323" w:name="_Toc169018636"/>
      <w:bookmarkStart w:id="324" w:name="_Toc169189088"/>
      <w:bookmarkStart w:id="325" w:name="_Toc169692890"/>
      <w:r w:rsidRPr="00755D97">
        <w:rPr>
          <w:rFonts w:ascii="Roboto-Bold" w:eastAsia="Yu Gothic Light" w:hAnsi="Roboto-Bold" w:cs="Times New Roman"/>
          <w:color w:val="008143"/>
          <w:sz w:val="26"/>
          <w:szCs w:val="26"/>
        </w:rPr>
        <w:t>What we are tracking (and why)</w:t>
      </w:r>
      <w:bookmarkEnd w:id="321"/>
      <w:bookmarkEnd w:id="322"/>
      <w:bookmarkEnd w:id="323"/>
      <w:bookmarkEnd w:id="324"/>
      <w:bookmarkEnd w:id="325"/>
    </w:p>
    <w:p w14:paraId="36BC08AD" w14:textId="4A9A6602" w:rsidR="00EE41ED" w:rsidRPr="00755D97" w:rsidRDefault="00EE41ED" w:rsidP="00EE41ED">
      <w:pPr>
        <w:rPr>
          <w:rFonts w:eastAsia="Calibri"/>
          <w:szCs w:val="18"/>
        </w:rPr>
      </w:pPr>
      <w:r w:rsidRPr="00CE7070">
        <w:rPr>
          <w:rFonts w:eastAsia="Calibri"/>
          <w:szCs w:val="18"/>
        </w:rPr>
        <w:t>This indicator tracks the prevalence of long-term physical conditions and their co-occurrence with 12-month mental disorders for people in Australia aged 16-85</w:t>
      </w:r>
      <w:r w:rsidRPr="00CE7070" w:rsidDel="00FE614D">
        <w:rPr>
          <w:rFonts w:eastAsia="Calibri"/>
          <w:szCs w:val="18"/>
        </w:rPr>
        <w:t xml:space="preserve"> </w:t>
      </w:r>
      <w:r w:rsidRPr="00CE7070">
        <w:rPr>
          <w:rFonts w:eastAsia="Calibri"/>
          <w:szCs w:val="18"/>
        </w:rPr>
        <w:t>years.</w:t>
      </w:r>
      <w:r w:rsidRPr="00CE7070" w:rsidDel="006331FA">
        <w:rPr>
          <w:rFonts w:eastAsia="Calibri"/>
          <w:szCs w:val="18"/>
        </w:rPr>
        <w:t xml:space="preserve"> </w:t>
      </w:r>
      <w:r w:rsidRPr="00CE7070">
        <w:rPr>
          <w:rFonts w:eastAsia="Calibri"/>
          <w:szCs w:val="18"/>
        </w:rPr>
        <w:t xml:space="preserve">For this indicator, long-term physical conditions are those where a person had been told by a doctor or nurse that they had a long-term physical health condition, which had lasted, or was expected to last, for 6 months or more. </w:t>
      </w:r>
    </w:p>
    <w:p w14:paraId="66A59E80" w14:textId="77777777" w:rsidR="00EE41ED" w:rsidRPr="00CE7070" w:rsidRDefault="00EE41ED" w:rsidP="00EE41ED">
      <w:pPr>
        <w:rPr>
          <w:rFonts w:eastAsia="Calibri"/>
          <w:szCs w:val="18"/>
        </w:rPr>
      </w:pPr>
      <w:r w:rsidRPr="00755D97">
        <w:rPr>
          <w:rFonts w:eastAsia="Calibri"/>
          <w:szCs w:val="18"/>
        </w:rPr>
        <w:t xml:space="preserve">People with mental </w:t>
      </w:r>
      <w:r>
        <w:rPr>
          <w:rFonts w:eastAsia="Calibri"/>
          <w:szCs w:val="18"/>
        </w:rPr>
        <w:t>illness</w:t>
      </w:r>
      <w:r w:rsidRPr="00755D97">
        <w:rPr>
          <w:rFonts w:eastAsia="Calibri"/>
          <w:szCs w:val="18"/>
        </w:rPr>
        <w:t xml:space="preserve"> typically experience worse physical health outcomes </w:t>
      </w:r>
      <w:r>
        <w:rPr>
          <w:rFonts w:eastAsia="Calibri"/>
          <w:szCs w:val="18"/>
        </w:rPr>
        <w:t>than people without mental illness.</w:t>
      </w:r>
      <w:r w:rsidRPr="00452F72">
        <w:rPr>
          <w:szCs w:val="18"/>
          <w:vertAlign w:val="superscript"/>
        </w:rPr>
        <w:footnoteReference w:id="19"/>
      </w:r>
      <w:r w:rsidRPr="00755D97">
        <w:rPr>
          <w:rFonts w:eastAsia="Calibri"/>
          <w:szCs w:val="18"/>
        </w:rPr>
        <w:t xml:space="preserve"> Higher rates of </w:t>
      </w:r>
      <w:r w:rsidRPr="00CE7070">
        <w:rPr>
          <w:rFonts w:eastAsia="Calibri"/>
          <w:szCs w:val="18"/>
        </w:rPr>
        <w:t xml:space="preserve">co-occurring </w:t>
      </w:r>
      <w:r w:rsidRPr="00755D97">
        <w:rPr>
          <w:rFonts w:eastAsia="Calibri"/>
          <w:szCs w:val="18"/>
        </w:rPr>
        <w:t xml:space="preserve">physical and mental </w:t>
      </w:r>
      <w:r>
        <w:rPr>
          <w:rFonts w:eastAsia="Calibri"/>
          <w:szCs w:val="18"/>
        </w:rPr>
        <w:t>condition</w:t>
      </w:r>
      <w:r w:rsidRPr="00CE7070">
        <w:rPr>
          <w:rFonts w:eastAsia="Calibri"/>
          <w:szCs w:val="18"/>
        </w:rPr>
        <w:t>s</w:t>
      </w:r>
      <w:r>
        <w:rPr>
          <w:rFonts w:eastAsia="Calibri"/>
          <w:szCs w:val="18"/>
        </w:rPr>
        <w:t xml:space="preserve"> </w:t>
      </w:r>
      <w:r w:rsidRPr="00755D97">
        <w:rPr>
          <w:rFonts w:eastAsia="Calibri"/>
          <w:szCs w:val="18"/>
        </w:rPr>
        <w:t xml:space="preserve">can result in reduced life expectancy, increased levels of ongoing disability, and reduced workforce participation. </w:t>
      </w:r>
      <w:r>
        <w:rPr>
          <w:rFonts w:eastAsia="Calibri"/>
          <w:szCs w:val="18"/>
        </w:rPr>
        <w:t>Reduction in</w:t>
      </w:r>
      <w:r w:rsidRPr="00755D97">
        <w:rPr>
          <w:rFonts w:eastAsia="Calibri"/>
          <w:szCs w:val="18"/>
        </w:rPr>
        <w:t xml:space="preserve"> the co</w:t>
      </w:r>
      <w:r w:rsidRPr="00CE7070">
        <w:rPr>
          <w:rFonts w:eastAsia="Calibri"/>
          <w:szCs w:val="18"/>
        </w:rPr>
        <w:noBreakHyphen/>
      </w:r>
      <w:r w:rsidRPr="00755D97">
        <w:rPr>
          <w:rFonts w:eastAsia="Calibri"/>
          <w:szCs w:val="18"/>
        </w:rPr>
        <w:t xml:space="preserve">occurrence of physical </w:t>
      </w:r>
      <w:r>
        <w:rPr>
          <w:rFonts w:eastAsia="Calibri"/>
          <w:szCs w:val="18"/>
        </w:rPr>
        <w:t xml:space="preserve">and mental health </w:t>
      </w:r>
      <w:r w:rsidRPr="00755D97">
        <w:rPr>
          <w:rFonts w:eastAsia="Calibri"/>
          <w:szCs w:val="18"/>
        </w:rPr>
        <w:t xml:space="preserve">conditions may signal an improvement in </w:t>
      </w:r>
      <w:r>
        <w:rPr>
          <w:rFonts w:eastAsia="Calibri"/>
          <w:szCs w:val="18"/>
        </w:rPr>
        <w:t>the system’s performance in improving the physical health of people with mental illness</w:t>
      </w:r>
      <w:r w:rsidRPr="00755D97">
        <w:rPr>
          <w:rFonts w:eastAsia="Calibri"/>
          <w:szCs w:val="18"/>
        </w:rPr>
        <w:t>. It may also have flow</w:t>
      </w:r>
      <w:r>
        <w:rPr>
          <w:rFonts w:eastAsia="Calibri"/>
          <w:szCs w:val="18"/>
        </w:rPr>
        <w:t>-</w:t>
      </w:r>
      <w:r w:rsidRPr="00755D97">
        <w:rPr>
          <w:rFonts w:eastAsia="Calibri"/>
          <w:szCs w:val="18"/>
        </w:rPr>
        <w:t xml:space="preserve">on effects for </w:t>
      </w:r>
      <w:r>
        <w:rPr>
          <w:rFonts w:eastAsia="Calibri"/>
          <w:szCs w:val="18"/>
        </w:rPr>
        <w:t>broader factors that influence mental health outcomes,</w:t>
      </w:r>
      <w:r w:rsidRPr="00755D97">
        <w:rPr>
          <w:rFonts w:eastAsia="Calibri"/>
          <w:szCs w:val="18"/>
        </w:rPr>
        <w:t xml:space="preserve"> such as improved employment rates or decreased financial stress.</w:t>
      </w:r>
    </w:p>
    <w:p w14:paraId="7ABE838A" w14:textId="77777777" w:rsidR="00EE41ED" w:rsidRPr="00755D97" w:rsidRDefault="00EE41ED" w:rsidP="00EE41ED">
      <w:pPr>
        <w:keepNext/>
        <w:keepLines/>
        <w:spacing w:before="60" w:after="60"/>
        <w:outlineLvl w:val="1"/>
        <w:rPr>
          <w:rFonts w:ascii="Roboto-Bold" w:eastAsia="Yu Gothic Light" w:hAnsi="Roboto-Bold" w:cs="Times New Roman"/>
          <w:color w:val="008143"/>
          <w:sz w:val="26"/>
          <w:szCs w:val="26"/>
        </w:rPr>
      </w:pPr>
      <w:bookmarkStart w:id="326" w:name="_Toc164671330"/>
      <w:bookmarkStart w:id="327" w:name="_Toc164671600"/>
      <w:bookmarkStart w:id="328" w:name="_Toc169018637"/>
      <w:bookmarkStart w:id="329" w:name="_Toc169189089"/>
      <w:bookmarkStart w:id="330" w:name="_Toc169692891"/>
      <w:r w:rsidRPr="00755D97">
        <w:rPr>
          <w:rFonts w:ascii="Roboto-Bold" w:eastAsia="Yu Gothic Light" w:hAnsi="Roboto-Bold" w:cs="Times New Roman"/>
          <w:color w:val="008143"/>
          <w:sz w:val="26"/>
          <w:szCs w:val="26"/>
        </w:rPr>
        <w:t>What the data tells us</w:t>
      </w:r>
      <w:bookmarkEnd w:id="326"/>
      <w:bookmarkEnd w:id="327"/>
      <w:bookmarkEnd w:id="328"/>
      <w:bookmarkEnd w:id="329"/>
      <w:bookmarkEnd w:id="330"/>
    </w:p>
    <w:p w14:paraId="79C94CAD" w14:textId="77777777" w:rsidR="00EE41ED" w:rsidRPr="00755D97" w:rsidRDefault="00EE41ED" w:rsidP="00EE41ED">
      <w:pPr>
        <w:keepNext/>
        <w:keepLines/>
        <w:spacing w:before="60" w:after="60"/>
        <w:outlineLvl w:val="2"/>
        <w:rPr>
          <w:rFonts w:ascii="Roboto" w:eastAsia="Yu Gothic Light" w:hAnsi="Roboto" w:cs="Times New Roman"/>
          <w:b/>
          <w:color w:val="545A60"/>
          <w:sz w:val="21"/>
        </w:rPr>
      </w:pPr>
      <w:bookmarkStart w:id="331" w:name="_Toc164671331"/>
      <w:bookmarkStart w:id="332" w:name="_Toc164671601"/>
      <w:bookmarkStart w:id="333" w:name="_Toc169018638"/>
      <w:bookmarkStart w:id="334" w:name="_Toc169189090"/>
      <w:bookmarkStart w:id="335" w:name="_Toc169692892"/>
      <w:r w:rsidRPr="00755D97">
        <w:rPr>
          <w:rFonts w:ascii="Roboto" w:eastAsia="Yu Gothic Light" w:hAnsi="Roboto" w:cs="Times New Roman"/>
          <w:b/>
          <w:color w:val="545A60"/>
          <w:sz w:val="21"/>
        </w:rPr>
        <w:t xml:space="preserve">Indicator </w:t>
      </w:r>
      <w:r>
        <w:rPr>
          <w:rFonts w:ascii="Roboto" w:eastAsia="Yu Gothic Light" w:hAnsi="Roboto" w:cs="Times New Roman"/>
          <w:b/>
          <w:color w:val="545A60"/>
          <w:sz w:val="21"/>
        </w:rPr>
        <w:t>f</w:t>
      </w:r>
      <w:r w:rsidRPr="00755D97">
        <w:rPr>
          <w:rFonts w:ascii="Roboto" w:eastAsia="Yu Gothic Light" w:hAnsi="Roboto" w:cs="Times New Roman"/>
          <w:b/>
          <w:color w:val="545A60"/>
          <w:sz w:val="21"/>
        </w:rPr>
        <w:t>indings</w:t>
      </w:r>
      <w:bookmarkEnd w:id="331"/>
      <w:bookmarkEnd w:id="332"/>
      <w:bookmarkEnd w:id="333"/>
      <w:bookmarkEnd w:id="334"/>
      <w:bookmarkEnd w:id="335"/>
    </w:p>
    <w:p w14:paraId="3A8F7951" w14:textId="77777777" w:rsidR="00EE41ED" w:rsidRPr="00755D97" w:rsidRDefault="00EE41ED" w:rsidP="00923664">
      <w:pPr>
        <w:spacing w:after="0"/>
        <w:outlineLvl w:val="3"/>
        <w:rPr>
          <w:rFonts w:ascii="Roboto-Bold" w:eastAsia="Calibri" w:hAnsi="Roboto-Bold"/>
          <w:color w:val="5B626C"/>
        </w:rPr>
      </w:pPr>
      <w:r w:rsidRPr="00755D97">
        <w:rPr>
          <w:rFonts w:ascii="Roboto-Bold" w:eastAsia="Calibri" w:hAnsi="Roboto-Bold"/>
          <w:color w:val="5B626C"/>
        </w:rPr>
        <w:t>Whole of population</w:t>
      </w:r>
    </w:p>
    <w:p w14:paraId="2D2DE4A1" w14:textId="20483791" w:rsidR="00EE41ED" w:rsidRPr="00891038" w:rsidRDefault="00EE41ED" w:rsidP="00EE41ED">
      <w:pPr>
        <w:rPr>
          <w:rFonts w:eastAsia="Calibri"/>
        </w:rPr>
      </w:pPr>
      <w:r w:rsidRPr="00891038">
        <w:rPr>
          <w:rFonts w:eastAsia="Calibri"/>
        </w:rPr>
        <w:t xml:space="preserve">In </w:t>
      </w:r>
      <w:r w:rsidR="005E1FFE" w:rsidRPr="00891038">
        <w:rPr>
          <w:rFonts w:eastAsia="Calibri"/>
        </w:rPr>
        <w:t>2020-2022</w:t>
      </w:r>
      <w:r w:rsidRPr="00891038">
        <w:rPr>
          <w:rFonts w:eastAsia="Calibri"/>
        </w:rPr>
        <w:t xml:space="preserve">, 7.5 million (37.9%) people in Australia aged 16-85 years had a long-term physical condition. An estimated 5.8 million people (29.5% of the population) had a physical condition only, while an estimated 1.7 million people (8.4% of the population) had both a mental and physical condition. </w:t>
      </w:r>
    </w:p>
    <w:p w14:paraId="54A8C3E9" w14:textId="7FE9CE8D" w:rsidR="00EE41ED" w:rsidRPr="00891038" w:rsidRDefault="00EE41ED" w:rsidP="00EE41ED">
      <w:pPr>
        <w:rPr>
          <w:rFonts w:eastAsia="Calibri"/>
        </w:rPr>
      </w:pPr>
      <w:r w:rsidRPr="00891038">
        <w:rPr>
          <w:rFonts w:eastAsia="Calibri"/>
        </w:rPr>
        <w:t xml:space="preserve">Time series data on long-term physical conditions are not available for this data source. However, other data sources show </w:t>
      </w:r>
      <w:r w:rsidR="00751C64" w:rsidRPr="00891038">
        <w:rPr>
          <w:rFonts w:eastAsia="Calibri"/>
        </w:rPr>
        <w:t>no change</w:t>
      </w:r>
      <w:r w:rsidRPr="00891038">
        <w:rPr>
          <w:rFonts w:eastAsia="Calibri"/>
        </w:rPr>
        <w:t xml:space="preserve"> over time in the proportion of people in Australia who have </w:t>
      </w:r>
      <w:r w:rsidR="005867FD" w:rsidRPr="00891038">
        <w:rPr>
          <w:rFonts w:eastAsia="Calibri"/>
        </w:rPr>
        <w:t>a</w:t>
      </w:r>
      <w:r w:rsidRPr="00891038">
        <w:rPr>
          <w:rFonts w:eastAsia="Calibri"/>
        </w:rPr>
        <w:t xml:space="preserve"> chronic </w:t>
      </w:r>
      <w:r w:rsidR="005867FD" w:rsidRPr="00891038">
        <w:rPr>
          <w:rFonts w:eastAsia="Calibri"/>
        </w:rPr>
        <w:t>physical</w:t>
      </w:r>
      <w:r w:rsidRPr="00891038">
        <w:rPr>
          <w:rFonts w:eastAsia="Calibri"/>
        </w:rPr>
        <w:t xml:space="preserve"> health condition (from </w:t>
      </w:r>
      <w:r w:rsidR="00764E64" w:rsidRPr="00891038">
        <w:rPr>
          <w:rFonts w:eastAsia="Calibri"/>
        </w:rPr>
        <w:t>37.3</w:t>
      </w:r>
      <w:r w:rsidRPr="00891038">
        <w:rPr>
          <w:rFonts w:eastAsia="Calibri"/>
        </w:rPr>
        <w:t xml:space="preserve">% in 2007-08, to </w:t>
      </w:r>
      <w:r w:rsidR="00764E64" w:rsidRPr="00891038">
        <w:rPr>
          <w:rFonts w:eastAsia="Calibri"/>
        </w:rPr>
        <w:t>38.7</w:t>
      </w:r>
      <w:r w:rsidRPr="00891038">
        <w:rPr>
          <w:rFonts w:eastAsia="Calibri"/>
        </w:rPr>
        <w:t xml:space="preserve">% in 2014-15 and </w:t>
      </w:r>
      <w:r w:rsidR="00846B79" w:rsidRPr="00891038">
        <w:rPr>
          <w:rFonts w:eastAsia="Calibri"/>
        </w:rPr>
        <w:t>37.4</w:t>
      </w:r>
      <w:r w:rsidRPr="00891038">
        <w:rPr>
          <w:rFonts w:eastAsia="Calibri"/>
        </w:rPr>
        <w:t>% in 2022)</w:t>
      </w:r>
      <w:r w:rsidR="005867FD" w:rsidRPr="00891038">
        <w:rPr>
          <w:rFonts w:eastAsia="Calibri"/>
        </w:rPr>
        <w:t>.</w:t>
      </w:r>
      <w:r w:rsidRPr="00891038">
        <w:rPr>
          <w:rStyle w:val="FootnoteReference"/>
          <w:rFonts w:eastAsia="Calibri"/>
        </w:rPr>
        <w:footnoteReference w:id="20"/>
      </w:r>
      <w:r w:rsidRPr="00891038">
        <w:rPr>
          <w:rFonts w:eastAsia="Calibri"/>
        </w:rPr>
        <w:t xml:space="preserve"> </w:t>
      </w:r>
    </w:p>
    <w:p w14:paraId="6970B029" w14:textId="77777777" w:rsidR="00EE41ED" w:rsidRPr="00891038" w:rsidRDefault="00EE41ED" w:rsidP="00923664">
      <w:pPr>
        <w:spacing w:after="0"/>
        <w:outlineLvl w:val="3"/>
        <w:rPr>
          <w:rFonts w:ascii="Roboto-Bold" w:eastAsia="Calibri" w:hAnsi="Roboto-Bold"/>
          <w:color w:val="5B626C"/>
        </w:rPr>
      </w:pPr>
      <w:r w:rsidRPr="00891038">
        <w:rPr>
          <w:rFonts w:ascii="Roboto-Bold" w:eastAsia="Calibri" w:hAnsi="Roboto-Bold"/>
          <w:color w:val="5B626C"/>
        </w:rPr>
        <w:t>Lived Experience</w:t>
      </w:r>
    </w:p>
    <w:p w14:paraId="655318FA" w14:textId="2D993B5D" w:rsidR="00EE41ED" w:rsidRPr="00891038" w:rsidRDefault="00EE41ED" w:rsidP="00D35A3B">
      <w:pPr>
        <w:rPr>
          <w:rFonts w:eastAsia="Calibri"/>
          <w:szCs w:val="18"/>
        </w:rPr>
      </w:pPr>
      <w:r w:rsidRPr="00891038">
        <w:rPr>
          <w:rFonts w:eastAsia="Calibri"/>
          <w:szCs w:val="18"/>
        </w:rPr>
        <w:t xml:space="preserve">For the 4.3 million people (21.5% of the population) aged 16-85 years with a 12-month mental disorder in </w:t>
      </w:r>
      <w:r w:rsidR="005E1FFE" w:rsidRPr="00891038">
        <w:rPr>
          <w:rFonts w:eastAsia="Calibri"/>
          <w:szCs w:val="18"/>
        </w:rPr>
        <w:t>2020-2022</w:t>
      </w:r>
      <w:r w:rsidRPr="00891038">
        <w:rPr>
          <w:rFonts w:eastAsia="Calibri"/>
          <w:szCs w:val="18"/>
        </w:rPr>
        <w:t>, 1.7</w:t>
      </w:r>
      <w:r w:rsidR="00B06601" w:rsidRPr="00891038">
        <w:rPr>
          <w:rFonts w:eastAsia="Calibri"/>
          <w:szCs w:val="18"/>
        </w:rPr>
        <w:t> </w:t>
      </w:r>
      <w:r w:rsidRPr="00891038">
        <w:rPr>
          <w:rFonts w:eastAsia="Calibri"/>
          <w:szCs w:val="18"/>
        </w:rPr>
        <w:t xml:space="preserve">million (8.4% of the population) also had a physical condition. </w:t>
      </w:r>
      <w:r w:rsidR="00FD09F4" w:rsidRPr="00891038">
        <w:rPr>
          <w:rFonts w:eastAsia="Calibri"/>
          <w:szCs w:val="18"/>
        </w:rPr>
        <w:t>A</w:t>
      </w:r>
      <w:r w:rsidR="00653B4A" w:rsidRPr="00891038">
        <w:rPr>
          <w:rFonts w:eastAsia="Calibri"/>
          <w:szCs w:val="18"/>
        </w:rPr>
        <w:t xml:space="preserve"> higher proportion</w:t>
      </w:r>
      <w:r w:rsidR="00FD09F4" w:rsidRPr="00891038">
        <w:rPr>
          <w:rFonts w:eastAsia="Calibri"/>
          <w:szCs w:val="18"/>
        </w:rPr>
        <w:t xml:space="preserve"> </w:t>
      </w:r>
      <w:r w:rsidR="00653B4A" w:rsidRPr="00891038">
        <w:rPr>
          <w:rFonts w:eastAsia="Calibri"/>
          <w:szCs w:val="18"/>
        </w:rPr>
        <w:t>(</w:t>
      </w:r>
      <w:r w:rsidRPr="00891038">
        <w:rPr>
          <w:rFonts w:eastAsia="Calibri"/>
          <w:szCs w:val="18"/>
        </w:rPr>
        <w:t>39.3%</w:t>
      </w:r>
      <w:r w:rsidR="00653B4A" w:rsidRPr="00891038">
        <w:rPr>
          <w:rFonts w:eastAsia="Calibri"/>
          <w:szCs w:val="18"/>
        </w:rPr>
        <w:t>)</w:t>
      </w:r>
      <w:r w:rsidRPr="00891038">
        <w:rPr>
          <w:rFonts w:eastAsia="Calibri"/>
          <w:szCs w:val="18"/>
        </w:rPr>
        <w:t xml:space="preserve"> of people with a mental disorder</w:t>
      </w:r>
      <w:r w:rsidR="00653B4A" w:rsidRPr="00891038">
        <w:rPr>
          <w:rFonts w:eastAsia="Calibri"/>
          <w:szCs w:val="18"/>
        </w:rPr>
        <w:t xml:space="preserve"> </w:t>
      </w:r>
      <w:r w:rsidRPr="00891038">
        <w:rPr>
          <w:rFonts w:eastAsia="Calibri"/>
          <w:szCs w:val="18"/>
        </w:rPr>
        <w:t>experienced a long-term physical condition</w:t>
      </w:r>
      <w:r w:rsidR="00653B4A" w:rsidRPr="00891038">
        <w:rPr>
          <w:rFonts w:eastAsia="Calibri"/>
          <w:szCs w:val="18"/>
        </w:rPr>
        <w:t xml:space="preserve"> compared to </w:t>
      </w:r>
      <w:r w:rsidRPr="00891038">
        <w:rPr>
          <w:rFonts w:eastAsia="Calibri"/>
          <w:szCs w:val="18"/>
        </w:rPr>
        <w:t>people without a mental disorder</w:t>
      </w:r>
      <w:r w:rsidR="00FD09F4" w:rsidRPr="00891038">
        <w:rPr>
          <w:rFonts w:eastAsia="Calibri"/>
          <w:szCs w:val="18"/>
        </w:rPr>
        <w:t xml:space="preserve"> </w:t>
      </w:r>
      <w:r w:rsidR="00653B4A" w:rsidRPr="00891038">
        <w:rPr>
          <w:rFonts w:eastAsia="Calibri"/>
          <w:szCs w:val="18"/>
        </w:rPr>
        <w:t>(</w:t>
      </w:r>
      <w:r w:rsidRPr="00891038">
        <w:rPr>
          <w:rFonts w:eastAsia="Calibri"/>
          <w:szCs w:val="18"/>
        </w:rPr>
        <w:t>37.5%</w:t>
      </w:r>
      <w:r w:rsidR="00653B4A" w:rsidRPr="00891038">
        <w:rPr>
          <w:rFonts w:eastAsia="Calibri"/>
          <w:szCs w:val="18"/>
        </w:rPr>
        <w:t>)</w:t>
      </w:r>
      <w:r w:rsidR="00381795" w:rsidRPr="00891038">
        <w:rPr>
          <w:rFonts w:eastAsia="Calibri"/>
          <w:szCs w:val="18"/>
        </w:rPr>
        <w:t>, however this difference was not statistically significant.</w:t>
      </w:r>
      <w:r w:rsidRPr="00891038">
        <w:rPr>
          <w:rFonts w:eastAsia="Calibri"/>
          <w:szCs w:val="18"/>
        </w:rPr>
        <w:t xml:space="preserve"> </w:t>
      </w:r>
      <w:r w:rsidR="00381795" w:rsidRPr="00891038" w:rsidDel="00381795">
        <w:rPr>
          <w:rFonts w:eastAsia="Calibri"/>
          <w:szCs w:val="18"/>
        </w:rPr>
        <w:t xml:space="preserve"> </w:t>
      </w:r>
    </w:p>
    <w:p w14:paraId="0430C359" w14:textId="77777777" w:rsidR="009E56D3" w:rsidRPr="00891038" w:rsidRDefault="009E56D3" w:rsidP="009E56D3">
      <w:pPr>
        <w:keepNext/>
        <w:keepLines/>
        <w:spacing w:before="60" w:after="60"/>
        <w:outlineLvl w:val="2"/>
        <w:rPr>
          <w:rFonts w:ascii="Roboto" w:eastAsia="Yu Gothic Light" w:hAnsi="Roboto" w:cs="Times New Roman"/>
          <w:b/>
          <w:color w:val="545A60"/>
          <w:sz w:val="21"/>
        </w:rPr>
      </w:pPr>
      <w:bookmarkStart w:id="336" w:name="_Toc164671332"/>
      <w:bookmarkStart w:id="337" w:name="_Toc164671602"/>
      <w:bookmarkStart w:id="338" w:name="_Toc169018639"/>
      <w:bookmarkStart w:id="339" w:name="_Toc169189091"/>
      <w:bookmarkStart w:id="340" w:name="_Toc169692893"/>
      <w:r w:rsidRPr="00891038">
        <w:rPr>
          <w:rFonts w:ascii="Roboto" w:eastAsia="Yu Gothic Light" w:hAnsi="Roboto" w:cs="Times New Roman"/>
          <w:b/>
          <w:color w:val="545A60"/>
          <w:sz w:val="21"/>
        </w:rPr>
        <w:t>How do these findings differ between groups?</w:t>
      </w:r>
      <w:bookmarkEnd w:id="336"/>
      <w:bookmarkEnd w:id="337"/>
      <w:bookmarkEnd w:id="338"/>
      <w:bookmarkEnd w:id="339"/>
      <w:bookmarkEnd w:id="340"/>
    </w:p>
    <w:p w14:paraId="5DC2DB56" w14:textId="77777777" w:rsidR="009E56D3" w:rsidRPr="00891038" w:rsidRDefault="009E56D3" w:rsidP="009E56D3">
      <w:pPr>
        <w:spacing w:after="0"/>
        <w:rPr>
          <w:rFonts w:ascii="Roboto-Bold" w:eastAsia="Calibri" w:hAnsi="Roboto-Bold"/>
          <w:color w:val="5B626C"/>
        </w:rPr>
      </w:pPr>
      <w:r w:rsidRPr="00891038">
        <w:rPr>
          <w:rFonts w:ascii="Roboto-Bold" w:eastAsia="Calibri" w:hAnsi="Roboto-Bold"/>
          <w:color w:val="5B626C"/>
        </w:rPr>
        <w:t>Whole of population</w:t>
      </w:r>
    </w:p>
    <w:p w14:paraId="17656051" w14:textId="6F7CDA76" w:rsidR="009E56D3" w:rsidRPr="00891038" w:rsidRDefault="009E56D3" w:rsidP="009E56D3">
      <w:pPr>
        <w:rPr>
          <w:rFonts w:eastAsia="Calibri"/>
        </w:rPr>
      </w:pPr>
      <w:r w:rsidRPr="00891038">
        <w:rPr>
          <w:rFonts w:eastAsia="Calibri"/>
        </w:rPr>
        <w:t>In 2020-2022, the proportion of people with a physical condition increased consistently with age. For people aged 16</w:t>
      </w:r>
      <w:r w:rsidR="008C4100" w:rsidRPr="00891038">
        <w:rPr>
          <w:rFonts w:eastAsia="Calibri"/>
        </w:rPr>
        <w:noBreakHyphen/>
      </w:r>
      <w:r w:rsidRPr="00891038">
        <w:rPr>
          <w:rFonts w:eastAsia="Calibri"/>
        </w:rPr>
        <w:t>24</w:t>
      </w:r>
      <w:r w:rsidR="008C4100" w:rsidRPr="00891038">
        <w:rPr>
          <w:rFonts w:eastAsia="Calibri"/>
        </w:rPr>
        <w:t> </w:t>
      </w:r>
      <w:r w:rsidRPr="00891038">
        <w:rPr>
          <w:rFonts w:eastAsia="Calibri"/>
        </w:rPr>
        <w:t>years, 15.4% had a physical condition, increasing to 34.7% for people aged 45-54 years and again to 83.1% for people aged 75-85 years.</w:t>
      </w:r>
    </w:p>
    <w:p w14:paraId="272CB062" w14:textId="77777777" w:rsidR="009E56D3" w:rsidRPr="00AB015B" w:rsidRDefault="009E56D3" w:rsidP="009E56D3">
      <w:pPr>
        <w:rPr>
          <w:rFonts w:eastAsia="Calibri"/>
        </w:rPr>
      </w:pPr>
      <w:r w:rsidRPr="00891038">
        <w:rPr>
          <w:rFonts w:eastAsia="Calibri"/>
        </w:rPr>
        <w:t>A higher proportion of females had a physical condition (40.1%) compared to males (35.6%) in 2020-2022. However, this difference was significant only amongst older age groups. For people aged 65-74 years, 76.8% of females and 69.0% of males had a physical condition; similarly for the 75-85 age group, 86.4% of females and 78.3% of males had a physical condition.</w:t>
      </w:r>
      <w:r w:rsidRPr="00755D97">
        <w:rPr>
          <w:rFonts w:eastAsia="Calibri"/>
        </w:rPr>
        <w:t xml:space="preserve"> </w:t>
      </w:r>
    </w:p>
    <w:p w14:paraId="787778D7" w14:textId="47D1148D" w:rsidR="009E56D3" w:rsidRPr="00AB015B" w:rsidRDefault="009E56D3" w:rsidP="009E56D3">
      <w:pPr>
        <w:rPr>
          <w:rFonts w:eastAsia="Calibri"/>
        </w:rPr>
      </w:pPr>
      <w:r>
        <w:rPr>
          <w:rFonts w:eastAsia="Calibri"/>
        </w:rPr>
        <w:lastRenderedPageBreak/>
        <w:t>As seen in Figure A10, across most age groups a higher proportion of people with a mental disorder had a physical condition compared to people without a mental disorder. This difference was most pronounced for people aged 55</w:t>
      </w:r>
      <w:r w:rsidR="008C4100">
        <w:rPr>
          <w:rFonts w:eastAsia="Calibri"/>
        </w:rPr>
        <w:noBreakHyphen/>
      </w:r>
      <w:r>
        <w:rPr>
          <w:rFonts w:eastAsia="Calibri"/>
        </w:rPr>
        <w:t>64</w:t>
      </w:r>
      <w:r w:rsidR="008C4100">
        <w:rPr>
          <w:rFonts w:eastAsia="Calibri"/>
        </w:rPr>
        <w:t> </w:t>
      </w:r>
      <w:r>
        <w:rPr>
          <w:rFonts w:eastAsia="Calibri"/>
        </w:rPr>
        <w:t>year</w:t>
      </w:r>
      <w:r w:rsidR="009416BD">
        <w:rPr>
          <w:rFonts w:eastAsia="Calibri"/>
        </w:rPr>
        <w:t>s</w:t>
      </w:r>
      <w:r>
        <w:rPr>
          <w:rFonts w:eastAsia="Calibri"/>
        </w:rPr>
        <w:t xml:space="preserve">. </w:t>
      </w:r>
    </w:p>
    <w:p w14:paraId="47146118" w14:textId="57D12390" w:rsidR="00EE41ED" w:rsidRPr="00755D97" w:rsidRDefault="00EE41ED" w:rsidP="009A2262">
      <w:pPr>
        <w:spacing w:after="120"/>
        <w:outlineLvl w:val="3"/>
        <w:rPr>
          <w:rFonts w:ascii="Roboto" w:eastAsia="Calibri" w:hAnsi="Roboto"/>
          <w:color w:val="5B626C"/>
        </w:rPr>
      </w:pPr>
      <w:r w:rsidRPr="00755D97">
        <w:rPr>
          <w:rFonts w:ascii="Roboto" w:eastAsia="Calibri" w:hAnsi="Roboto"/>
          <w:color w:val="008143"/>
        </w:rPr>
        <w:t xml:space="preserve">Figure </w:t>
      </w:r>
      <w:r>
        <w:rPr>
          <w:rFonts w:ascii="Roboto" w:eastAsia="Calibri" w:hAnsi="Roboto"/>
          <w:color w:val="008143"/>
        </w:rPr>
        <w:t>A10</w:t>
      </w:r>
      <w:r w:rsidRPr="00755D97">
        <w:rPr>
          <w:rFonts w:ascii="Roboto" w:eastAsia="Calibri" w:hAnsi="Roboto"/>
          <w:color w:val="008143"/>
        </w:rPr>
        <w:t xml:space="preserve">. </w:t>
      </w:r>
      <w:r w:rsidRPr="00891038">
        <w:rPr>
          <w:rFonts w:ascii="Roboto" w:eastAsia="Calibri" w:hAnsi="Roboto"/>
          <w:color w:val="5B626C"/>
          <w:szCs w:val="18"/>
        </w:rPr>
        <w:t>Proportion of people of people in Australia aged 16-85 years with a physical condition, by age group and mental disorder status, 2020-2022</w:t>
      </w:r>
    </w:p>
    <w:p w14:paraId="73DDC163" w14:textId="4BD4BA97" w:rsidR="00EE41ED" w:rsidRPr="00755D97" w:rsidRDefault="00FB792A" w:rsidP="00EB08BA">
      <w:pPr>
        <w:spacing w:after="600" w:line="240" w:lineRule="auto"/>
        <w:rPr>
          <w:rFonts w:ascii="Times New Roman" w:eastAsia="Times New Roman" w:hAnsi="Times New Roman" w:cs="Times New Roman"/>
          <w:lang w:val="en-AU" w:eastAsia="en-AU"/>
        </w:rPr>
      </w:pPr>
      <w:r>
        <w:rPr>
          <w:noProof/>
        </w:rPr>
        <w:drawing>
          <wp:inline distT="0" distB="0" distL="0" distR="0" wp14:anchorId="6033BD49" wp14:editId="2EB3B792">
            <wp:extent cx="6115050" cy="3781425"/>
            <wp:effectExtent l="0" t="0" r="0" b="9525"/>
            <wp:docPr id="1620931274" name="Graphic 1620931274" descr="The content of this figure is described in the text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931274" name="Graphic 1620931274" descr="The content of this figure is described in the text above. "/>
                    <pic:cNvPicPr/>
                  </pic:nvPicPr>
                  <pic:blipFill>
                    <a:blip r:embed="rId65">
                      <a:extLst>
                        <a:ext uri="{96DAC541-7B7A-43D3-8B79-37D633B846F1}">
                          <asvg:svgBlip xmlns:asvg="http://schemas.microsoft.com/office/drawing/2016/SVG/main" r:embed="rId66"/>
                        </a:ext>
                      </a:extLst>
                    </a:blip>
                    <a:stretch>
                      <a:fillRect/>
                    </a:stretch>
                  </pic:blipFill>
                  <pic:spPr>
                    <a:xfrm>
                      <a:off x="0" y="0"/>
                      <a:ext cx="6115050" cy="3781425"/>
                    </a:xfrm>
                    <a:prstGeom prst="rect">
                      <a:avLst/>
                    </a:prstGeom>
                  </pic:spPr>
                </pic:pic>
              </a:graphicData>
            </a:graphic>
          </wp:inline>
        </w:drawing>
      </w:r>
    </w:p>
    <w:p w14:paraId="3B5F78D6" w14:textId="77777777" w:rsidR="00EE41ED" w:rsidRDefault="00EE41ED" w:rsidP="00EE41ED">
      <w:pPr>
        <w:spacing w:after="0"/>
        <w:rPr>
          <w:rFonts w:ascii="Roboto-Bold" w:eastAsia="Calibri" w:hAnsi="Roboto-Bold"/>
          <w:color w:val="5B626C"/>
        </w:rPr>
      </w:pPr>
      <w:r>
        <w:rPr>
          <w:rFonts w:ascii="Roboto-Bold" w:eastAsia="Calibri" w:hAnsi="Roboto-Bold"/>
          <w:color w:val="5B626C"/>
        </w:rPr>
        <w:t>Lived Experience</w:t>
      </w:r>
    </w:p>
    <w:p w14:paraId="58AB793D" w14:textId="5BFB4E64" w:rsidR="00EE41ED" w:rsidRDefault="00EE41ED" w:rsidP="00EE41ED">
      <w:pPr>
        <w:rPr>
          <w:rFonts w:eastAsia="Calibri"/>
        </w:rPr>
      </w:pPr>
      <w:r w:rsidRPr="00CE7070">
        <w:rPr>
          <w:rFonts w:eastAsia="Calibri"/>
        </w:rPr>
        <w:t xml:space="preserve">In </w:t>
      </w:r>
      <w:r w:rsidR="005E1FFE">
        <w:rPr>
          <w:rFonts w:eastAsia="Calibri"/>
        </w:rPr>
        <w:t>2020-</w:t>
      </w:r>
      <w:r w:rsidR="005E1FFE" w:rsidRPr="00891038">
        <w:rPr>
          <w:rFonts w:eastAsia="Calibri"/>
        </w:rPr>
        <w:t>2022</w:t>
      </w:r>
      <w:r w:rsidRPr="00891038">
        <w:rPr>
          <w:rFonts w:eastAsia="Calibri"/>
        </w:rPr>
        <w:t>, across the whole population, there was a higher proportion of females with a 12-month mental disorder and co-occurring physical condition (10.5%) compared to males (6.3%). Furthermore, among people with a 12-month mental disorder, a higher proportion of males had no accompanying physical condition (65.2%) compared to females (57.3%). While the proportion of people with a physical condition increases with age, the proportion of people with a 12</w:t>
      </w:r>
      <w:r w:rsidR="008C4100" w:rsidRPr="00891038">
        <w:rPr>
          <w:rFonts w:eastAsia="Calibri"/>
        </w:rPr>
        <w:noBreakHyphen/>
      </w:r>
      <w:r w:rsidRPr="00891038">
        <w:rPr>
          <w:rFonts w:eastAsia="Calibri"/>
        </w:rPr>
        <w:t>month mental disorder that co-occurs with</w:t>
      </w:r>
      <w:r w:rsidRPr="00CE7070">
        <w:rPr>
          <w:rFonts w:eastAsia="Calibri"/>
        </w:rPr>
        <w:t xml:space="preserve"> a physical condition remains relatively stable across age groups. </w:t>
      </w:r>
    </w:p>
    <w:p w14:paraId="45570EA6" w14:textId="77777777" w:rsidR="00EE41ED" w:rsidRPr="00755D97" w:rsidRDefault="00EE41ED" w:rsidP="00BD77E3">
      <w:pPr>
        <w:keepNext/>
        <w:keepLines/>
        <w:spacing w:before="480" w:after="60"/>
        <w:outlineLvl w:val="1"/>
        <w:rPr>
          <w:rFonts w:ascii="Roboto-Bold" w:eastAsia="Yu Gothic Light" w:hAnsi="Roboto-Bold" w:cs="Times New Roman"/>
          <w:color w:val="008143"/>
          <w:sz w:val="26"/>
          <w:szCs w:val="26"/>
        </w:rPr>
      </w:pPr>
      <w:bookmarkStart w:id="341" w:name="_Toc164671333"/>
      <w:bookmarkStart w:id="342" w:name="_Toc164671603"/>
      <w:bookmarkStart w:id="343" w:name="_Toc169018640"/>
      <w:bookmarkStart w:id="344" w:name="_Toc169189092"/>
      <w:bookmarkStart w:id="345" w:name="_Toc169692894"/>
      <w:r w:rsidRPr="00755D97">
        <w:rPr>
          <w:rFonts w:ascii="Roboto-Bold" w:eastAsia="Yu Gothic Light" w:hAnsi="Roboto-Bold" w:cs="Times New Roman"/>
          <w:color w:val="008143"/>
          <w:sz w:val="26"/>
          <w:szCs w:val="26"/>
        </w:rPr>
        <w:t>Technical information</w:t>
      </w:r>
      <w:bookmarkEnd w:id="341"/>
      <w:bookmarkEnd w:id="342"/>
      <w:bookmarkEnd w:id="343"/>
      <w:bookmarkEnd w:id="344"/>
      <w:bookmarkEnd w:id="345"/>
    </w:p>
    <w:p w14:paraId="37D9C8F4" w14:textId="77777777" w:rsidR="00EE41ED" w:rsidRPr="003D6E8B" w:rsidRDefault="00EE41ED" w:rsidP="003D6E8B">
      <w:pPr>
        <w:keepNext/>
        <w:keepLines/>
        <w:spacing w:before="120" w:after="60"/>
        <w:outlineLvl w:val="2"/>
        <w:rPr>
          <w:rFonts w:ascii="Roboto" w:eastAsia="Yu Gothic Light" w:hAnsi="Roboto" w:cs="Times New Roman"/>
          <w:b/>
          <w:color w:val="545A60"/>
          <w:sz w:val="21"/>
        </w:rPr>
      </w:pPr>
      <w:bookmarkStart w:id="346" w:name="_Toc169018641"/>
      <w:bookmarkStart w:id="347" w:name="_Toc169189093"/>
      <w:bookmarkStart w:id="348" w:name="_Toc169692895"/>
      <w:bookmarkStart w:id="349" w:name="_Toc164671334"/>
      <w:bookmarkStart w:id="350" w:name="_Toc164671604"/>
      <w:r w:rsidRPr="003D6E8B">
        <w:rPr>
          <w:rFonts w:ascii="Roboto" w:eastAsia="Yu Gothic Light" w:hAnsi="Roboto" w:cs="Times New Roman"/>
          <w:b/>
          <w:color w:val="545A60"/>
          <w:sz w:val="21"/>
        </w:rPr>
        <w:t>Source</w:t>
      </w:r>
      <w:bookmarkEnd w:id="346"/>
      <w:bookmarkEnd w:id="347"/>
      <w:bookmarkEnd w:id="348"/>
    </w:p>
    <w:p w14:paraId="38FEF987" w14:textId="161A281C" w:rsidR="00EE41ED" w:rsidRPr="00CE7070" w:rsidRDefault="00EE41ED" w:rsidP="00EE41ED">
      <w:pPr>
        <w:rPr>
          <w:rFonts w:eastAsia="Calibri"/>
        </w:rPr>
      </w:pPr>
      <w:r w:rsidRPr="00CE7070">
        <w:rPr>
          <w:rFonts w:eastAsia="Calibri"/>
        </w:rPr>
        <w:t xml:space="preserve">Australian Bureau of Statistics (ABS) </w:t>
      </w:r>
      <w:r w:rsidRPr="007A18AE">
        <w:rPr>
          <w:rFonts w:eastAsia="Calibri"/>
          <w:i/>
        </w:rPr>
        <w:t>National Study of Mental Health and Wellbeing</w:t>
      </w:r>
      <w:r w:rsidR="00DF3F92" w:rsidRPr="007A18AE">
        <w:rPr>
          <w:rFonts w:eastAsia="Calibri"/>
          <w:i/>
          <w:iCs/>
        </w:rPr>
        <w:t xml:space="preserve"> </w:t>
      </w:r>
      <w:r w:rsidR="00DF3F92">
        <w:rPr>
          <w:rFonts w:eastAsia="Calibri"/>
        </w:rPr>
        <w:t>(NSMHW</w:t>
      </w:r>
      <w:r w:rsidR="007B3986">
        <w:rPr>
          <w:rFonts w:eastAsia="Calibri"/>
        </w:rPr>
        <w:t>)</w:t>
      </w:r>
      <w:r w:rsidRPr="00CE7070">
        <w:rPr>
          <w:rFonts w:eastAsia="Calibri"/>
        </w:rPr>
        <w:t xml:space="preserve">, </w:t>
      </w:r>
      <w:r w:rsidRPr="007A18AE">
        <w:rPr>
          <w:rFonts w:eastAsia="Calibri"/>
          <w:i/>
        </w:rPr>
        <w:t>2020-2022</w:t>
      </w:r>
      <w:r w:rsidRPr="00CE7070">
        <w:rPr>
          <w:rFonts w:eastAsia="Calibri"/>
        </w:rPr>
        <w:t xml:space="preserve">; </w:t>
      </w:r>
      <w:bookmarkEnd w:id="349"/>
      <w:bookmarkEnd w:id="350"/>
      <w:r w:rsidRPr="00CE7070">
        <w:rPr>
          <w:rFonts w:eastAsia="Calibri"/>
        </w:rPr>
        <w:t xml:space="preserve">ABS </w:t>
      </w:r>
      <w:r w:rsidRPr="007A18AE">
        <w:rPr>
          <w:rFonts w:eastAsia="Calibri"/>
          <w:i/>
        </w:rPr>
        <w:t xml:space="preserve">National Health </w:t>
      </w:r>
      <w:r w:rsidR="00CE7070" w:rsidRPr="007A18AE">
        <w:rPr>
          <w:rFonts w:eastAsia="Calibri"/>
          <w:i/>
        </w:rPr>
        <w:t>Survey</w:t>
      </w:r>
      <w:r w:rsidR="007B3986">
        <w:rPr>
          <w:rFonts w:eastAsia="Calibri"/>
        </w:rPr>
        <w:t xml:space="preserve"> (NHS)</w:t>
      </w:r>
      <w:r w:rsidR="00CE7070" w:rsidRPr="00CE7070">
        <w:rPr>
          <w:rFonts w:eastAsia="Calibri"/>
        </w:rPr>
        <w:t>,</w:t>
      </w:r>
      <w:r w:rsidRPr="00CE7070">
        <w:rPr>
          <w:rFonts w:eastAsia="Calibri"/>
        </w:rPr>
        <w:t xml:space="preserve"> </w:t>
      </w:r>
      <w:r w:rsidRPr="007A18AE">
        <w:rPr>
          <w:rFonts w:eastAsia="Calibri"/>
          <w:i/>
        </w:rPr>
        <w:t>2022</w:t>
      </w:r>
      <w:r w:rsidRPr="00CE7070">
        <w:rPr>
          <w:rFonts w:eastAsia="Calibri"/>
        </w:rPr>
        <w:t xml:space="preserve">; ABS </w:t>
      </w:r>
      <w:r w:rsidRPr="007A18AE">
        <w:rPr>
          <w:rFonts w:eastAsia="Calibri"/>
          <w:i/>
        </w:rPr>
        <w:t>National Health Survey, 2022</w:t>
      </w:r>
      <w:r w:rsidRPr="00CE7070">
        <w:rPr>
          <w:rFonts w:eastAsia="Calibri"/>
        </w:rPr>
        <w:t xml:space="preserve">; ABS </w:t>
      </w:r>
      <w:r w:rsidRPr="007A18AE">
        <w:rPr>
          <w:rFonts w:eastAsia="Calibri"/>
          <w:i/>
        </w:rPr>
        <w:t>National Health Survey, 2017-18</w:t>
      </w:r>
      <w:r w:rsidRPr="00CE7070">
        <w:rPr>
          <w:rFonts w:eastAsia="Calibri"/>
        </w:rPr>
        <w:t xml:space="preserve">; ABS </w:t>
      </w:r>
      <w:r w:rsidRPr="007A18AE">
        <w:rPr>
          <w:rFonts w:eastAsia="Calibri"/>
          <w:i/>
        </w:rPr>
        <w:t>National Health Survey, 2014-15</w:t>
      </w:r>
      <w:r w:rsidRPr="00CE7070">
        <w:rPr>
          <w:rFonts w:eastAsia="Calibri"/>
        </w:rPr>
        <w:t xml:space="preserve">; ABS </w:t>
      </w:r>
      <w:r w:rsidRPr="007A18AE">
        <w:rPr>
          <w:rFonts w:eastAsia="Calibri"/>
          <w:i/>
        </w:rPr>
        <w:t>Australian Health Survey, 2011-12</w:t>
      </w:r>
      <w:r w:rsidRPr="00CE7070">
        <w:rPr>
          <w:rFonts w:eastAsia="Calibri"/>
        </w:rPr>
        <w:t xml:space="preserve">; ABS </w:t>
      </w:r>
      <w:r w:rsidRPr="007A18AE">
        <w:rPr>
          <w:rFonts w:eastAsia="Calibri"/>
          <w:i/>
        </w:rPr>
        <w:t>National Health Survey, 2007-08</w:t>
      </w:r>
      <w:r w:rsidRPr="00CE7070">
        <w:rPr>
          <w:rFonts w:eastAsia="Calibri"/>
        </w:rPr>
        <w:t>.</w:t>
      </w:r>
    </w:p>
    <w:p w14:paraId="28B7956C" w14:textId="77777777" w:rsidR="00EE41ED" w:rsidRPr="003D6E8B" w:rsidRDefault="00EE41ED" w:rsidP="003D6E8B">
      <w:pPr>
        <w:keepNext/>
        <w:keepLines/>
        <w:spacing w:before="120" w:after="60"/>
        <w:outlineLvl w:val="2"/>
        <w:rPr>
          <w:rFonts w:ascii="Roboto" w:eastAsia="Yu Gothic Light" w:hAnsi="Roboto" w:cs="Times New Roman"/>
          <w:b/>
          <w:color w:val="545A60"/>
          <w:sz w:val="21"/>
        </w:rPr>
      </w:pPr>
      <w:bookmarkStart w:id="351" w:name="_Toc169018642"/>
      <w:bookmarkStart w:id="352" w:name="_Toc169189094"/>
      <w:bookmarkStart w:id="353" w:name="_Toc169692896"/>
      <w:bookmarkStart w:id="354" w:name="_Toc164671335"/>
      <w:bookmarkStart w:id="355" w:name="_Toc164671605"/>
      <w:r w:rsidRPr="003D6E8B">
        <w:rPr>
          <w:rFonts w:ascii="Roboto" w:eastAsia="Yu Gothic Light" w:hAnsi="Roboto" w:cs="Times New Roman"/>
          <w:b/>
          <w:color w:val="545A60"/>
          <w:sz w:val="21"/>
        </w:rPr>
        <w:t>Frequency of data collection</w:t>
      </w:r>
      <w:bookmarkEnd w:id="351"/>
      <w:bookmarkEnd w:id="352"/>
      <w:bookmarkEnd w:id="353"/>
    </w:p>
    <w:p w14:paraId="25EC20DC" w14:textId="4DE7D7AE" w:rsidR="00EE41ED" w:rsidRPr="00CE7070" w:rsidRDefault="00EE41ED" w:rsidP="00EE41ED">
      <w:pPr>
        <w:rPr>
          <w:rFonts w:eastAsia="Calibri"/>
        </w:rPr>
      </w:pPr>
      <w:r w:rsidRPr="00CE7070">
        <w:rPr>
          <w:rFonts w:eastAsia="Calibri"/>
        </w:rPr>
        <w:t xml:space="preserve">NSMHW – Irregular. Future release date unknown </w:t>
      </w:r>
      <w:proofErr w:type="gramStart"/>
      <w:r w:rsidRPr="00CE7070">
        <w:rPr>
          <w:rFonts w:eastAsia="Calibri"/>
        </w:rPr>
        <w:t>at this time</w:t>
      </w:r>
      <w:proofErr w:type="gramEnd"/>
      <w:r w:rsidRPr="00CE7070">
        <w:rPr>
          <w:rFonts w:eastAsia="Calibri"/>
        </w:rPr>
        <w:t>.</w:t>
      </w:r>
      <w:bookmarkEnd w:id="354"/>
      <w:bookmarkEnd w:id="355"/>
      <w:r w:rsidRPr="00CE7070">
        <w:rPr>
          <w:rFonts w:eastAsia="Calibri"/>
        </w:rPr>
        <w:br/>
        <w:t>NHS – Approximately every three years. Note some differences in frequency of collection due to COVID-19.</w:t>
      </w:r>
    </w:p>
    <w:p w14:paraId="6EB55C7B" w14:textId="77777777" w:rsidR="00EE41ED" w:rsidRPr="003D6E8B" w:rsidRDefault="00EE41ED" w:rsidP="003D6E8B">
      <w:pPr>
        <w:keepNext/>
        <w:keepLines/>
        <w:spacing w:before="120" w:after="60"/>
        <w:outlineLvl w:val="2"/>
        <w:rPr>
          <w:rFonts w:ascii="Roboto" w:eastAsia="Yu Gothic Light" w:hAnsi="Roboto" w:cs="Times New Roman"/>
          <w:b/>
          <w:color w:val="545A60"/>
          <w:sz w:val="21"/>
        </w:rPr>
      </w:pPr>
      <w:bookmarkStart w:id="356" w:name="_Toc169018643"/>
      <w:bookmarkStart w:id="357" w:name="_Toc169189095"/>
      <w:bookmarkStart w:id="358" w:name="_Toc169692897"/>
      <w:bookmarkStart w:id="359" w:name="_Toc164671336"/>
      <w:bookmarkStart w:id="360" w:name="_Toc164671606"/>
      <w:r w:rsidRPr="003D6E8B">
        <w:rPr>
          <w:rFonts w:ascii="Roboto" w:eastAsia="Yu Gothic Light" w:hAnsi="Roboto" w:cs="Times New Roman"/>
          <w:b/>
          <w:color w:val="545A60"/>
          <w:sz w:val="21"/>
        </w:rPr>
        <w:lastRenderedPageBreak/>
        <w:t>Limitations</w:t>
      </w:r>
      <w:bookmarkEnd w:id="356"/>
      <w:bookmarkEnd w:id="357"/>
      <w:bookmarkEnd w:id="358"/>
    </w:p>
    <w:p w14:paraId="3EA9BC3E" w14:textId="053552C5" w:rsidR="00EE41ED" w:rsidRPr="00D35222" w:rsidRDefault="00EE41ED" w:rsidP="00D35222">
      <w:pPr>
        <w:pStyle w:val="ListParagraph"/>
        <w:numPr>
          <w:ilvl w:val="0"/>
          <w:numId w:val="41"/>
        </w:numPr>
        <w:rPr>
          <w:rFonts w:eastAsia="Calibri"/>
        </w:rPr>
      </w:pPr>
      <w:r w:rsidRPr="00D35222">
        <w:rPr>
          <w:rFonts w:eastAsia="Calibri"/>
        </w:rPr>
        <w:t xml:space="preserve">Due to the differences in questions used to assess physical </w:t>
      </w:r>
      <w:r w:rsidR="00067FCD">
        <w:rPr>
          <w:rFonts w:eastAsia="Calibri"/>
        </w:rPr>
        <w:t xml:space="preserve">health </w:t>
      </w:r>
      <w:r w:rsidRPr="00D35222">
        <w:rPr>
          <w:rFonts w:eastAsia="Calibri"/>
        </w:rPr>
        <w:t>condition</w:t>
      </w:r>
      <w:r w:rsidR="00067FCD">
        <w:rPr>
          <w:rFonts w:eastAsia="Calibri"/>
        </w:rPr>
        <w:t>s,</w:t>
      </w:r>
      <w:r w:rsidR="00554923">
        <w:rPr>
          <w:rFonts w:eastAsia="Calibri"/>
        </w:rPr>
        <w:t xml:space="preserve"> </w:t>
      </w:r>
      <w:r w:rsidR="00554923" w:rsidRPr="007D7976">
        <w:t xml:space="preserve">comparisons </w:t>
      </w:r>
      <w:r w:rsidR="00554923">
        <w:t xml:space="preserve">between the 2007 </w:t>
      </w:r>
      <w:r w:rsidR="00554923" w:rsidRPr="00D50DDA">
        <w:rPr>
          <w:i/>
          <w:iCs/>
        </w:rPr>
        <w:t>National Survey of Mental Health and Wellbeing</w:t>
      </w:r>
      <w:r w:rsidRPr="006E5CB6">
        <w:t xml:space="preserve"> </w:t>
      </w:r>
      <w:r w:rsidR="00554923">
        <w:t xml:space="preserve">and 2020-2022 </w:t>
      </w:r>
      <w:r w:rsidR="00554923" w:rsidRPr="00D50DDA">
        <w:rPr>
          <w:i/>
          <w:iCs/>
        </w:rPr>
        <w:t>National S</w:t>
      </w:r>
      <w:r w:rsidR="002E0682">
        <w:rPr>
          <w:i/>
          <w:iCs/>
        </w:rPr>
        <w:t>tudy</w:t>
      </w:r>
      <w:r w:rsidR="00554923" w:rsidRPr="00D50DDA">
        <w:rPr>
          <w:i/>
          <w:iCs/>
        </w:rPr>
        <w:t xml:space="preserve"> of Mental Health and Wellbeing</w:t>
      </w:r>
      <w:r w:rsidRPr="00D35222">
        <w:rPr>
          <w:rFonts w:eastAsia="Calibri"/>
        </w:rPr>
        <w:t xml:space="preserve"> for co</w:t>
      </w:r>
      <w:r w:rsidR="00785E31">
        <w:rPr>
          <w:rFonts w:eastAsia="Calibri"/>
        </w:rPr>
        <w:noBreakHyphen/>
      </w:r>
      <w:r w:rsidRPr="00D35222">
        <w:rPr>
          <w:rFonts w:eastAsia="Calibri"/>
        </w:rPr>
        <w:t>occurring mental and physical conditions are not possible.</w:t>
      </w:r>
    </w:p>
    <w:p w14:paraId="10A75D2F" w14:textId="77777777" w:rsidR="00EE41ED" w:rsidRPr="00D35222" w:rsidRDefault="00EE41ED" w:rsidP="00D35222">
      <w:pPr>
        <w:pStyle w:val="ListParagraph"/>
        <w:numPr>
          <w:ilvl w:val="0"/>
          <w:numId w:val="41"/>
        </w:numPr>
        <w:rPr>
          <w:rFonts w:eastAsia="Calibri"/>
        </w:rPr>
      </w:pPr>
      <w:r w:rsidRPr="00D35222">
        <w:rPr>
          <w:rFonts w:eastAsia="Calibri"/>
        </w:rPr>
        <w:t>When interpreting findings presented for this indicator, it is important to consider that the effects physical conditions have on someone’s life can vary greatly. For instance, an individual living with asthma may have a very different experience with their mental health when compared to someone living with diabetes.</w:t>
      </w:r>
    </w:p>
    <w:bookmarkEnd w:id="359"/>
    <w:bookmarkEnd w:id="360"/>
    <w:p w14:paraId="7FAE9290" w14:textId="77C50A57" w:rsidR="00EE41ED" w:rsidRPr="00D35222" w:rsidRDefault="00EE41ED" w:rsidP="00D35222">
      <w:pPr>
        <w:pStyle w:val="ListParagraph"/>
        <w:numPr>
          <w:ilvl w:val="0"/>
          <w:numId w:val="41"/>
        </w:numPr>
        <w:rPr>
          <w:rFonts w:eastAsia="Calibri"/>
        </w:rPr>
      </w:pPr>
      <w:r w:rsidRPr="00D35222">
        <w:rPr>
          <w:rFonts w:eastAsia="Calibri"/>
        </w:rPr>
        <w:t xml:space="preserve">NSHMW – Detailed information on the methodology is available at the </w:t>
      </w:r>
      <w:hyperlink r:id="rId67">
        <w:r w:rsidRPr="00D35222">
          <w:rPr>
            <w:rFonts w:eastAsia="Yu Gothic Light" w:cs="Times New Roman"/>
            <w:color w:val="008143"/>
            <w:u w:val="single"/>
          </w:rPr>
          <w:t>ABS website</w:t>
        </w:r>
      </w:hyperlink>
      <w:r w:rsidRPr="00D35222">
        <w:rPr>
          <w:rFonts w:eastAsia="Calibri"/>
        </w:rPr>
        <w:t>.</w:t>
      </w:r>
    </w:p>
    <w:p w14:paraId="67398AE2" w14:textId="2A2726FA" w:rsidR="00EE41ED" w:rsidRPr="00D35222" w:rsidRDefault="00EE41ED" w:rsidP="00D35222">
      <w:pPr>
        <w:pStyle w:val="ListParagraph"/>
        <w:numPr>
          <w:ilvl w:val="0"/>
          <w:numId w:val="41"/>
        </w:numPr>
        <w:rPr>
          <w:rFonts w:eastAsia="Calibri"/>
        </w:rPr>
      </w:pPr>
      <w:r w:rsidRPr="00D35222">
        <w:rPr>
          <w:rFonts w:eastAsia="Calibri"/>
        </w:rPr>
        <w:t xml:space="preserve">NHS – Detailed information on the methodology is available on the </w:t>
      </w:r>
      <w:hyperlink r:id="rId68">
        <w:r w:rsidR="003C28C3" w:rsidRPr="00DD7EC3">
          <w:rPr>
            <w:rFonts w:eastAsia="Yu Gothic Light" w:cs="Times New Roman"/>
            <w:color w:val="008143"/>
            <w:szCs w:val="18"/>
            <w:u w:val="single"/>
          </w:rPr>
          <w:t>ABS website</w:t>
        </w:r>
      </w:hyperlink>
      <w:r w:rsidRPr="00D35222">
        <w:rPr>
          <w:rFonts w:eastAsia="Calibri"/>
        </w:rPr>
        <w:t xml:space="preserve">.  </w:t>
      </w:r>
    </w:p>
    <w:p w14:paraId="2591E196" w14:textId="77777777" w:rsidR="00EE41ED" w:rsidRPr="003D6E8B" w:rsidRDefault="00EE41ED" w:rsidP="003D6E8B">
      <w:pPr>
        <w:keepNext/>
        <w:keepLines/>
        <w:spacing w:before="120" w:after="60"/>
        <w:outlineLvl w:val="2"/>
        <w:rPr>
          <w:rFonts w:ascii="Roboto" w:eastAsia="Yu Gothic Light" w:hAnsi="Roboto" w:cs="Times New Roman"/>
          <w:b/>
          <w:color w:val="545A60"/>
          <w:sz w:val="21"/>
        </w:rPr>
      </w:pPr>
      <w:bookmarkStart w:id="361" w:name="_Toc169018644"/>
      <w:bookmarkStart w:id="362" w:name="_Toc169189096"/>
      <w:bookmarkStart w:id="363" w:name="_Toc169692898"/>
      <w:bookmarkStart w:id="364" w:name="_Toc164671337"/>
      <w:bookmarkStart w:id="365" w:name="_Toc164671607"/>
      <w:r w:rsidRPr="003D6E8B">
        <w:rPr>
          <w:rFonts w:ascii="Roboto" w:eastAsia="Yu Gothic Light" w:hAnsi="Roboto" w:cs="Times New Roman"/>
          <w:b/>
          <w:color w:val="545A60"/>
          <w:sz w:val="21"/>
        </w:rPr>
        <w:t>Additional notes</w:t>
      </w:r>
      <w:bookmarkEnd w:id="361"/>
      <w:bookmarkEnd w:id="362"/>
      <w:bookmarkEnd w:id="363"/>
    </w:p>
    <w:p w14:paraId="6887F707" w14:textId="11D93528" w:rsidR="00EE41ED" w:rsidRPr="00D35222" w:rsidRDefault="00EE41ED" w:rsidP="00D35222">
      <w:pPr>
        <w:pStyle w:val="ListParagraph"/>
        <w:numPr>
          <w:ilvl w:val="0"/>
          <w:numId w:val="42"/>
        </w:numPr>
        <w:rPr>
          <w:rFonts w:eastAsia="Calibri"/>
        </w:rPr>
      </w:pPr>
      <w:r w:rsidRPr="00D35222">
        <w:rPr>
          <w:rFonts w:eastAsia="Calibri"/>
        </w:rPr>
        <w:t xml:space="preserve">Cross sectional analyses presented for the </w:t>
      </w:r>
      <w:r w:rsidR="005E1FFE">
        <w:rPr>
          <w:rFonts w:eastAsia="Calibri"/>
        </w:rPr>
        <w:t>2020-2022</w:t>
      </w:r>
      <w:r w:rsidRPr="00D35222">
        <w:rPr>
          <w:rFonts w:eastAsia="Calibri"/>
        </w:rPr>
        <w:t xml:space="preserve"> reference period are </w:t>
      </w:r>
      <w:r w:rsidR="00666307">
        <w:rPr>
          <w:rFonts w:eastAsia="Calibri"/>
        </w:rPr>
        <w:t>sourced</w:t>
      </w:r>
      <w:r w:rsidR="00666307" w:rsidRPr="00D35222">
        <w:rPr>
          <w:rFonts w:eastAsia="Calibri"/>
        </w:rPr>
        <w:t xml:space="preserve"> </w:t>
      </w:r>
      <w:r w:rsidRPr="00D35222">
        <w:rPr>
          <w:rFonts w:eastAsia="Calibri"/>
        </w:rPr>
        <w:t xml:space="preserve">from </w:t>
      </w:r>
      <w:r w:rsidR="00666307">
        <w:rPr>
          <w:rFonts w:eastAsia="Calibri"/>
        </w:rPr>
        <w:t>t</w:t>
      </w:r>
      <w:r w:rsidRPr="00D35222">
        <w:rPr>
          <w:rFonts w:eastAsia="Calibri"/>
        </w:rPr>
        <w:t xml:space="preserve">he NSMHW, whereas time series analyses are </w:t>
      </w:r>
      <w:r w:rsidR="00EF4333">
        <w:rPr>
          <w:rFonts w:eastAsia="Calibri"/>
        </w:rPr>
        <w:t>sourced</w:t>
      </w:r>
      <w:r w:rsidR="00EF4333" w:rsidRPr="00D35222">
        <w:rPr>
          <w:rFonts w:eastAsia="Calibri"/>
        </w:rPr>
        <w:t xml:space="preserve"> </w:t>
      </w:r>
      <w:r w:rsidRPr="00D35222">
        <w:rPr>
          <w:rFonts w:eastAsia="Calibri"/>
        </w:rPr>
        <w:t xml:space="preserve">from the </w:t>
      </w:r>
      <w:r w:rsidR="004610B1">
        <w:rPr>
          <w:rFonts w:eastAsia="Calibri"/>
        </w:rPr>
        <w:t>NHS</w:t>
      </w:r>
      <w:r w:rsidRPr="00D35222">
        <w:rPr>
          <w:rFonts w:eastAsia="Calibri"/>
        </w:rPr>
        <w:t xml:space="preserve">. While descriptive statistics differ between these data sources due to methodological differences, the general pattern of findings is consistent.   </w:t>
      </w:r>
    </w:p>
    <w:p w14:paraId="431CC8F2" w14:textId="77777777" w:rsidR="00EE41ED" w:rsidRPr="00D35222" w:rsidRDefault="00EE41ED" w:rsidP="00D35222">
      <w:pPr>
        <w:pStyle w:val="ListParagraph"/>
        <w:numPr>
          <w:ilvl w:val="0"/>
          <w:numId w:val="42"/>
        </w:numPr>
        <w:rPr>
          <w:rFonts w:eastAsia="Calibri"/>
        </w:rPr>
      </w:pPr>
      <w:r w:rsidRPr="00D35222">
        <w:rPr>
          <w:rFonts w:eastAsia="Calibri"/>
        </w:rPr>
        <w:t xml:space="preserve">Comparisons between males and females are based on sex recorded at birth (i.e., what was determined by sex characteristics observed at birth or infancy). </w:t>
      </w:r>
    </w:p>
    <w:p w14:paraId="4255B9FD" w14:textId="63D5C7BC" w:rsidR="00EE41ED" w:rsidRPr="00D35222" w:rsidRDefault="0092733A" w:rsidP="00D35222">
      <w:pPr>
        <w:pStyle w:val="ListParagraph"/>
        <w:numPr>
          <w:ilvl w:val="0"/>
          <w:numId w:val="42"/>
        </w:numPr>
        <w:rPr>
          <w:rFonts w:eastAsia="Calibri"/>
        </w:rPr>
      </w:pPr>
      <w:r w:rsidRPr="00EE41ED">
        <w:rPr>
          <w:rFonts w:eastAsia="Calibri"/>
          <w:szCs w:val="18"/>
        </w:rPr>
        <w:t>A 12-month mental disorder refers to people who met the diagnostic criteria for having a mental disorder at some time in their life and had sufficient symptoms of that disorder in the 12 months prior to completing the survey. A person may have more than one 12-month mental disorder</w:t>
      </w:r>
      <w:r w:rsidR="00EE41ED" w:rsidRPr="00D35222">
        <w:rPr>
          <w:rFonts w:eastAsia="Calibri"/>
        </w:rPr>
        <w:t xml:space="preserve">. Mental disorders are classified according to the World Health Organization’s International Classification of Diseases, Tenth Revision (ICD-10). </w:t>
      </w:r>
    </w:p>
    <w:p w14:paraId="06FFC47E" w14:textId="1B5C6572" w:rsidR="00A816DD" w:rsidRPr="00D35222" w:rsidRDefault="008307B7" w:rsidP="00D35222">
      <w:pPr>
        <w:pStyle w:val="ListParagraph"/>
        <w:numPr>
          <w:ilvl w:val="0"/>
          <w:numId w:val="42"/>
        </w:numPr>
        <w:rPr>
          <w:rFonts w:eastAsia="Calibri"/>
        </w:rPr>
      </w:pPr>
      <w:r>
        <w:rPr>
          <w:rFonts w:eastAsia="Calibri"/>
        </w:rPr>
        <w:t>Within the context of</w:t>
      </w:r>
      <w:r w:rsidR="00C52776">
        <w:rPr>
          <w:rFonts w:eastAsia="Calibri"/>
        </w:rPr>
        <w:t xml:space="preserve"> public health surveillance</w:t>
      </w:r>
      <w:r w:rsidR="00AB4A83">
        <w:rPr>
          <w:rFonts w:eastAsia="Calibri"/>
        </w:rPr>
        <w:t xml:space="preserve">, </w:t>
      </w:r>
      <w:r w:rsidR="00756E39">
        <w:rPr>
          <w:rFonts w:eastAsia="Calibri"/>
        </w:rPr>
        <w:t>it is important to consider</w:t>
      </w:r>
      <w:r w:rsidR="008B1B0B">
        <w:rPr>
          <w:rFonts w:eastAsia="Calibri"/>
        </w:rPr>
        <w:t xml:space="preserve"> conditions which</w:t>
      </w:r>
      <w:r w:rsidR="00DB5DCF">
        <w:rPr>
          <w:rFonts w:eastAsia="Calibri"/>
        </w:rPr>
        <w:t xml:space="preserve"> pose significant health problems</w:t>
      </w:r>
      <w:r w:rsidR="00AC2B0A">
        <w:rPr>
          <w:rFonts w:eastAsia="Calibri"/>
        </w:rPr>
        <w:t>.</w:t>
      </w:r>
      <w:r w:rsidR="00D471DC">
        <w:rPr>
          <w:rFonts w:eastAsia="Calibri"/>
        </w:rPr>
        <w:t xml:space="preserve"> Findings from the NHS include s</w:t>
      </w:r>
      <w:r w:rsidR="00B27A2D" w:rsidRPr="00B27A2D">
        <w:rPr>
          <w:rFonts w:eastAsia="Calibri"/>
        </w:rPr>
        <w:t xml:space="preserve">elected </w:t>
      </w:r>
      <w:r w:rsidR="008308EC">
        <w:rPr>
          <w:rFonts w:eastAsia="Calibri"/>
        </w:rPr>
        <w:t>‘</w:t>
      </w:r>
      <w:r w:rsidR="00B27A2D" w:rsidRPr="00B27A2D">
        <w:rPr>
          <w:rFonts w:eastAsia="Calibri"/>
        </w:rPr>
        <w:t>chronic physical health conditions</w:t>
      </w:r>
      <w:r w:rsidR="008308EC">
        <w:rPr>
          <w:rFonts w:eastAsia="Calibri"/>
        </w:rPr>
        <w:t>’</w:t>
      </w:r>
      <w:r w:rsidR="00B27A2D" w:rsidRPr="00B27A2D">
        <w:rPr>
          <w:rFonts w:eastAsia="Calibri"/>
        </w:rPr>
        <w:t xml:space="preserve"> </w:t>
      </w:r>
      <w:r w:rsidR="00BC76C3">
        <w:rPr>
          <w:rFonts w:eastAsia="Calibri"/>
        </w:rPr>
        <w:t>that include</w:t>
      </w:r>
      <w:r w:rsidR="00B27A2D" w:rsidRPr="00B27A2D">
        <w:rPr>
          <w:rFonts w:eastAsia="Calibri"/>
        </w:rPr>
        <w:t xml:space="preserve"> arthritis, asthma, back problems (</w:t>
      </w:r>
      <w:proofErr w:type="spellStart"/>
      <w:r w:rsidR="00B27A2D" w:rsidRPr="00B27A2D">
        <w:rPr>
          <w:rFonts w:eastAsia="Calibri"/>
        </w:rPr>
        <w:t>dorsopathies</w:t>
      </w:r>
      <w:proofErr w:type="spellEnd"/>
      <w:r w:rsidR="00B27A2D" w:rsidRPr="00B27A2D">
        <w:rPr>
          <w:rFonts w:eastAsia="Calibri"/>
        </w:rPr>
        <w:t xml:space="preserve">), cancer (malignant neoplasms), chronic obstructive pulmonary disease (COPD), diabetes mellitus, heart, stroke and vascular disease, kidney disease and osteoporosis. </w:t>
      </w:r>
      <w:r w:rsidR="00950F16">
        <w:rPr>
          <w:rFonts w:eastAsia="Calibri"/>
        </w:rPr>
        <w:t>The NHS I</w:t>
      </w:r>
      <w:r w:rsidR="00B27A2D" w:rsidRPr="00B27A2D">
        <w:rPr>
          <w:rFonts w:eastAsia="Calibri"/>
        </w:rPr>
        <w:t>ncludes persons who have a current health condition which has lasted, or is expected to last, for 6 months or more; except for persons reporting diabetes mellitus and/or heart, stroke and vascular disease which are included irrespective of whether the condition is current and/or long-term.</w:t>
      </w:r>
    </w:p>
    <w:p w14:paraId="6DCD0316" w14:textId="77777777" w:rsidR="00EE41ED" w:rsidRPr="00D35222" w:rsidRDefault="00EE41ED" w:rsidP="00D35222">
      <w:pPr>
        <w:pStyle w:val="ListParagraph"/>
        <w:numPr>
          <w:ilvl w:val="0"/>
          <w:numId w:val="42"/>
        </w:numPr>
        <w:rPr>
          <w:rFonts w:eastAsia="Calibri"/>
        </w:rPr>
      </w:pPr>
      <w:r w:rsidRPr="00D35222" w:rsidDel="002D21EC">
        <w:rPr>
          <w:rFonts w:eastAsia="Calibri"/>
        </w:rPr>
        <w:t>S</w:t>
      </w:r>
      <w:r w:rsidRPr="00D35222">
        <w:rPr>
          <w:rFonts w:eastAsia="Calibri"/>
        </w:rPr>
        <w:t>ome proportions may not add up to 100% due to number perturbation implemented by the data source owner.</w:t>
      </w:r>
      <w:bookmarkEnd w:id="364"/>
      <w:bookmarkEnd w:id="365"/>
    </w:p>
    <w:p w14:paraId="6CFC5D93" w14:textId="77777777" w:rsidR="00EE41ED" w:rsidRPr="00755D97" w:rsidRDefault="00EE41ED" w:rsidP="00EE41ED">
      <w:pPr>
        <w:spacing w:after="0" w:line="240" w:lineRule="auto"/>
        <w:rPr>
          <w:rFonts w:eastAsia="Calibri"/>
        </w:rPr>
      </w:pPr>
      <w:r w:rsidRPr="00755D97">
        <w:rPr>
          <w:rFonts w:eastAsia="Calibri"/>
        </w:rPr>
        <w:br w:type="page"/>
      </w:r>
    </w:p>
    <w:p w14:paraId="289EB089" w14:textId="77777777" w:rsidR="00EE41ED" w:rsidRPr="00755D97" w:rsidRDefault="00EE41ED" w:rsidP="007B7DB1">
      <w:pPr>
        <w:pStyle w:val="Heading1"/>
        <w:rPr>
          <w:rFonts w:eastAsia="Yu Gothic Light" w:cs="Times New Roman"/>
        </w:rPr>
      </w:pPr>
      <w:bookmarkStart w:id="366" w:name="_Toc169692899"/>
      <w:bookmarkStart w:id="367" w:name="_Toc169868022"/>
      <w:r>
        <w:rPr>
          <w:rFonts w:eastAsia="Yu Gothic Light"/>
        </w:rPr>
        <w:lastRenderedPageBreak/>
        <w:t>CI 11</w:t>
      </w:r>
      <w:r w:rsidRPr="00755D97" w:rsidDel="00FA762F">
        <w:rPr>
          <w:rFonts w:eastAsia="Yu Gothic Light" w:cs="Times New Roman"/>
        </w:rPr>
        <w:t>: Alcohol consumption</w:t>
      </w:r>
      <w:bookmarkEnd w:id="366"/>
      <w:bookmarkEnd w:id="367"/>
    </w:p>
    <w:p w14:paraId="6AE75368" w14:textId="77777777" w:rsidR="00EE41ED" w:rsidRPr="00755D97" w:rsidRDefault="00EE41ED" w:rsidP="00EE41ED">
      <w:pPr>
        <w:keepNext/>
        <w:keepLines/>
        <w:spacing w:before="60" w:after="60"/>
        <w:outlineLvl w:val="1"/>
        <w:rPr>
          <w:rFonts w:ascii="Roboto-Bold" w:eastAsia="Yu Gothic Light" w:hAnsi="Roboto-Bold" w:cs="Times New Roman"/>
          <w:color w:val="008143"/>
          <w:sz w:val="26"/>
          <w:szCs w:val="26"/>
        </w:rPr>
      </w:pPr>
      <w:bookmarkStart w:id="368" w:name="_Toc169018646"/>
      <w:bookmarkStart w:id="369" w:name="_Toc169189098"/>
      <w:bookmarkStart w:id="370" w:name="_Toc169692900"/>
      <w:r w:rsidRPr="00755D97">
        <w:rPr>
          <w:rFonts w:ascii="Roboto-Bold" w:eastAsia="Yu Gothic Light" w:hAnsi="Roboto-Bold" w:cs="Times New Roman"/>
          <w:color w:val="008143"/>
          <w:sz w:val="26"/>
          <w:szCs w:val="26"/>
        </w:rPr>
        <w:t>What we are tracking (and why)</w:t>
      </w:r>
      <w:bookmarkEnd w:id="368"/>
      <w:bookmarkEnd w:id="369"/>
      <w:bookmarkEnd w:id="370"/>
    </w:p>
    <w:p w14:paraId="47779C3D" w14:textId="237A6DCC" w:rsidR="00EE41ED" w:rsidRPr="00036405" w:rsidRDefault="00EE41ED" w:rsidP="00EE41ED">
      <w:pPr>
        <w:rPr>
          <w:rFonts w:eastAsia="Calibri"/>
          <w:lang w:val="en-AU"/>
        </w:rPr>
      </w:pPr>
      <w:r>
        <w:rPr>
          <w:rFonts w:eastAsia="Calibri"/>
          <w:lang w:val="en-AU"/>
        </w:rPr>
        <w:t>This indicator tracks</w:t>
      </w:r>
      <w:r w:rsidRPr="00036405">
        <w:rPr>
          <w:rFonts w:eastAsia="Calibri"/>
          <w:lang w:val="en-AU"/>
        </w:rPr>
        <w:t xml:space="preserve"> the proportion of people in Australia aged </w:t>
      </w:r>
      <w:r>
        <w:rPr>
          <w:rFonts w:eastAsia="Calibri"/>
          <w:lang w:val="en-AU"/>
        </w:rPr>
        <w:t>14</w:t>
      </w:r>
      <w:r w:rsidRPr="00036405">
        <w:rPr>
          <w:rFonts w:eastAsia="Calibri"/>
          <w:lang w:val="en-AU"/>
        </w:rPr>
        <w:t xml:space="preserve"> years and over who</w:t>
      </w:r>
      <w:r>
        <w:rPr>
          <w:rFonts w:eastAsia="Calibri"/>
          <w:lang w:val="en-AU"/>
        </w:rPr>
        <w:t xml:space="preserve"> exceeded the Australian guidelines to reduce health risks from drinking alcohol</w:t>
      </w:r>
      <w:r w:rsidRPr="00CE7070">
        <w:rPr>
          <w:vertAlign w:val="superscript"/>
        </w:rPr>
        <w:footnoteReference w:id="21"/>
      </w:r>
      <w:r>
        <w:rPr>
          <w:rFonts w:eastAsia="Calibri"/>
          <w:lang w:val="en-AU"/>
        </w:rPr>
        <w:t xml:space="preserve"> (the Australian Alcohol Guidelines) released in 2020. For this indicator, exceeding the guideline</w:t>
      </w:r>
      <w:r w:rsidR="005E1FFE">
        <w:rPr>
          <w:rFonts w:eastAsia="Calibri"/>
          <w:lang w:val="en-AU"/>
        </w:rPr>
        <w:t>s</w:t>
      </w:r>
      <w:r>
        <w:rPr>
          <w:rFonts w:eastAsia="Calibri"/>
          <w:lang w:val="en-AU"/>
        </w:rPr>
        <w:t xml:space="preserve"> is interpreted as c</w:t>
      </w:r>
      <w:r w:rsidRPr="00036405">
        <w:rPr>
          <w:rFonts w:eastAsia="Calibri"/>
          <w:lang w:val="en-AU"/>
        </w:rPr>
        <w:t>onsuming</w:t>
      </w:r>
      <w:r w:rsidR="00B836CB">
        <w:rPr>
          <w:rFonts w:eastAsia="Calibri"/>
          <w:lang w:val="en-AU"/>
        </w:rPr>
        <w:t xml:space="preserve"> on average in the previous 12-months</w:t>
      </w:r>
      <w:r w:rsidRPr="00036405">
        <w:rPr>
          <w:rFonts w:eastAsia="Calibri"/>
          <w:lang w:val="en-AU"/>
        </w:rPr>
        <w:t xml:space="preserve"> more than 10</w:t>
      </w:r>
      <w:r w:rsidR="005E1FFE">
        <w:rPr>
          <w:rFonts w:eastAsia="Calibri"/>
          <w:lang w:val="en-AU"/>
        </w:rPr>
        <w:t> </w:t>
      </w:r>
      <w:r>
        <w:rPr>
          <w:rFonts w:eastAsia="Calibri"/>
          <w:lang w:val="en-AU"/>
        </w:rPr>
        <w:t xml:space="preserve">standard </w:t>
      </w:r>
      <w:r w:rsidRPr="00036405">
        <w:rPr>
          <w:rFonts w:eastAsia="Calibri"/>
          <w:lang w:val="en-AU"/>
        </w:rPr>
        <w:t xml:space="preserve">drinks </w:t>
      </w:r>
      <w:r w:rsidR="00B836CB">
        <w:rPr>
          <w:rFonts w:eastAsia="Calibri"/>
          <w:lang w:val="en-AU"/>
        </w:rPr>
        <w:t>per</w:t>
      </w:r>
      <w:r w:rsidRPr="00036405">
        <w:rPr>
          <w:rFonts w:eastAsia="Calibri"/>
          <w:lang w:val="en-AU"/>
        </w:rPr>
        <w:t xml:space="preserve"> week</w:t>
      </w:r>
      <w:r>
        <w:rPr>
          <w:rFonts w:eastAsia="Calibri"/>
          <w:lang w:val="en-AU"/>
        </w:rPr>
        <w:t xml:space="preserve">, consuming </w:t>
      </w:r>
      <w:r w:rsidRPr="00CE7070">
        <w:rPr>
          <w:rFonts w:eastAsia="Calibri"/>
          <w:lang w:val="en-AU"/>
        </w:rPr>
        <w:t xml:space="preserve">more than 4 standard drinks on any day at least monthly, or exceeding both components. </w:t>
      </w:r>
    </w:p>
    <w:p w14:paraId="52B1B9E2" w14:textId="77777777" w:rsidR="00EE41ED" w:rsidRPr="00CE7070" w:rsidRDefault="00EE41ED" w:rsidP="00EE41ED">
      <w:pPr>
        <w:rPr>
          <w:rFonts w:eastAsia="Calibri"/>
          <w:lang w:val="en-AU"/>
        </w:rPr>
      </w:pPr>
      <w:r w:rsidRPr="00CE7070">
        <w:rPr>
          <w:rFonts w:eastAsia="Calibri"/>
          <w:lang w:val="en-AU"/>
        </w:rPr>
        <w:t>Consuming alcohol at harmful levels is shown to increase the risk of experiencing some physical conditions and may contribute to existing mental illness. It can also contribute to violence and assaults, avoidable injury, motor accidents and birth defects.</w:t>
      </w:r>
      <w:r w:rsidRPr="00CE7070">
        <w:rPr>
          <w:vertAlign w:val="superscript"/>
          <w:lang w:val="en-AU"/>
        </w:rPr>
        <w:footnoteReference w:id="22"/>
      </w:r>
      <w:r w:rsidRPr="00CE7070">
        <w:rPr>
          <w:rFonts w:eastAsia="Calibri"/>
          <w:lang w:val="en-AU"/>
        </w:rPr>
        <w:t xml:space="preserve"> A low or decreasing proportion of people who consume alcohol at harmful levels may signal improvements in the general health and wellbeing of people in Australia and reduced demand on the health and mental health system.</w:t>
      </w:r>
    </w:p>
    <w:p w14:paraId="0734F842" w14:textId="77777777" w:rsidR="00EE41ED" w:rsidRPr="00755D97" w:rsidRDefault="00EE41ED" w:rsidP="00EE41ED">
      <w:pPr>
        <w:keepNext/>
        <w:keepLines/>
        <w:spacing w:before="60" w:after="60"/>
        <w:outlineLvl w:val="1"/>
        <w:rPr>
          <w:rFonts w:ascii="Roboto-Bold" w:eastAsia="Yu Gothic Light" w:hAnsi="Roboto-Bold" w:cs="Times New Roman"/>
          <w:color w:val="008143"/>
          <w:sz w:val="26"/>
          <w:szCs w:val="26"/>
        </w:rPr>
      </w:pPr>
      <w:bookmarkStart w:id="371" w:name="_Toc169018647"/>
      <w:bookmarkStart w:id="372" w:name="_Toc169189099"/>
      <w:bookmarkStart w:id="373" w:name="_Toc169692901"/>
      <w:r w:rsidRPr="00755D97">
        <w:rPr>
          <w:rFonts w:ascii="Roboto-Bold" w:eastAsia="Yu Gothic Light" w:hAnsi="Roboto-Bold" w:cs="Times New Roman"/>
          <w:color w:val="008143"/>
          <w:sz w:val="26"/>
          <w:szCs w:val="26"/>
        </w:rPr>
        <w:t>What the data tells us</w:t>
      </w:r>
      <w:bookmarkEnd w:id="371"/>
      <w:bookmarkEnd w:id="372"/>
      <w:bookmarkEnd w:id="373"/>
    </w:p>
    <w:p w14:paraId="1624B7B3" w14:textId="77777777" w:rsidR="00EE41ED" w:rsidRPr="00755D97" w:rsidRDefault="00EE41ED" w:rsidP="00EE41ED">
      <w:pPr>
        <w:keepNext/>
        <w:keepLines/>
        <w:spacing w:before="60" w:after="60"/>
        <w:outlineLvl w:val="2"/>
        <w:rPr>
          <w:rFonts w:ascii="Roboto" w:eastAsia="Yu Gothic Light" w:hAnsi="Roboto" w:cs="Times New Roman"/>
          <w:b/>
          <w:color w:val="545A60"/>
          <w:sz w:val="21"/>
        </w:rPr>
      </w:pPr>
      <w:bookmarkStart w:id="374" w:name="_Toc169018648"/>
      <w:bookmarkStart w:id="375" w:name="_Toc169189100"/>
      <w:bookmarkStart w:id="376" w:name="_Toc169692902"/>
      <w:r w:rsidRPr="00755D97">
        <w:rPr>
          <w:rFonts w:ascii="Roboto" w:eastAsia="Yu Gothic Light" w:hAnsi="Roboto" w:cs="Times New Roman"/>
          <w:b/>
          <w:color w:val="545A60"/>
          <w:sz w:val="21"/>
        </w:rPr>
        <w:t xml:space="preserve">Indicator </w:t>
      </w:r>
      <w:r>
        <w:rPr>
          <w:rFonts w:ascii="Roboto" w:eastAsia="Yu Gothic Light" w:hAnsi="Roboto" w:cs="Times New Roman"/>
          <w:b/>
          <w:color w:val="545A60"/>
          <w:sz w:val="21"/>
        </w:rPr>
        <w:t>f</w:t>
      </w:r>
      <w:r w:rsidRPr="00755D97">
        <w:rPr>
          <w:rFonts w:ascii="Roboto" w:eastAsia="Yu Gothic Light" w:hAnsi="Roboto" w:cs="Times New Roman"/>
          <w:b/>
          <w:color w:val="545A60"/>
          <w:sz w:val="21"/>
        </w:rPr>
        <w:t>indings</w:t>
      </w:r>
      <w:bookmarkEnd w:id="374"/>
      <w:bookmarkEnd w:id="375"/>
      <w:bookmarkEnd w:id="376"/>
    </w:p>
    <w:p w14:paraId="19A7F897" w14:textId="77777777" w:rsidR="00EE41ED" w:rsidRPr="00BD6B10" w:rsidRDefault="00EE41ED" w:rsidP="00EE41ED">
      <w:pPr>
        <w:spacing w:after="0"/>
        <w:rPr>
          <w:rFonts w:ascii="Roboto-Bold" w:eastAsia="Calibri" w:hAnsi="Roboto-Bold"/>
          <w:color w:val="5B626C"/>
        </w:rPr>
      </w:pPr>
      <w:r w:rsidRPr="000C4DD7">
        <w:rPr>
          <w:rFonts w:ascii="Roboto-Bold" w:eastAsia="Calibri" w:hAnsi="Roboto-Bold"/>
          <w:color w:val="5B626C"/>
        </w:rPr>
        <w:t>Whole of population</w:t>
      </w:r>
    </w:p>
    <w:p w14:paraId="5BF872EC" w14:textId="197E84C7" w:rsidR="00EE41ED" w:rsidRDefault="00EE41ED" w:rsidP="00EE41ED">
      <w:pPr>
        <w:rPr>
          <w:rFonts w:eastAsia="Calibri"/>
        </w:rPr>
      </w:pPr>
      <w:r>
        <w:rPr>
          <w:rFonts w:eastAsia="Calibri"/>
        </w:rPr>
        <w:t>In 2022-</w:t>
      </w:r>
      <w:r w:rsidR="00D042EB">
        <w:rPr>
          <w:rFonts w:eastAsia="Calibri"/>
        </w:rPr>
        <w:t>20</w:t>
      </w:r>
      <w:r>
        <w:rPr>
          <w:rFonts w:eastAsia="Calibri"/>
        </w:rPr>
        <w:t xml:space="preserve">23, 30.7% </w:t>
      </w:r>
      <w:r w:rsidRPr="00755D97">
        <w:rPr>
          <w:rFonts w:eastAsia="Calibri"/>
        </w:rPr>
        <w:t xml:space="preserve">of people in Australia aged </w:t>
      </w:r>
      <w:r>
        <w:rPr>
          <w:rFonts w:eastAsia="Calibri"/>
        </w:rPr>
        <w:t>14</w:t>
      </w:r>
      <w:r w:rsidRPr="00755D97">
        <w:rPr>
          <w:rFonts w:eastAsia="Calibri"/>
        </w:rPr>
        <w:t xml:space="preserve"> years and over exceeded </w:t>
      </w:r>
      <w:r>
        <w:rPr>
          <w:rFonts w:eastAsia="Calibri"/>
        </w:rPr>
        <w:t xml:space="preserve">the </w:t>
      </w:r>
      <w:r w:rsidRPr="00755D97">
        <w:rPr>
          <w:rFonts w:eastAsia="Calibri"/>
        </w:rPr>
        <w:t xml:space="preserve">Australian Alcohol </w:t>
      </w:r>
      <w:r>
        <w:rPr>
          <w:rFonts w:eastAsia="Calibri"/>
        </w:rPr>
        <w:t>G</w:t>
      </w:r>
      <w:r w:rsidRPr="00755D97">
        <w:rPr>
          <w:rFonts w:eastAsia="Calibri"/>
        </w:rPr>
        <w:t>uideline</w:t>
      </w:r>
      <w:r>
        <w:rPr>
          <w:rFonts w:eastAsia="Calibri"/>
        </w:rPr>
        <w:t>s. This equates to about 6.6 million people. There has been a steady downwards trend in the proportion of people in Australia who exceeded the guidelines since 2010 (37.7%), which has been slightly less pronounced in recent years (from 33.2%</w:t>
      </w:r>
      <w:r w:rsidR="008C4100">
        <w:rPr>
          <w:rFonts w:eastAsia="Calibri"/>
        </w:rPr>
        <w:t> </w:t>
      </w:r>
      <w:r>
        <w:rPr>
          <w:rFonts w:eastAsia="Calibri"/>
        </w:rPr>
        <w:t xml:space="preserve">in 2016 to 32.0% in 2019 and 30.7% in 2022-23).  </w:t>
      </w:r>
    </w:p>
    <w:p w14:paraId="655DBF2B" w14:textId="77777777" w:rsidR="00EE41ED" w:rsidRPr="00BD6B10" w:rsidRDefault="00EE41ED" w:rsidP="00EE41ED">
      <w:pPr>
        <w:spacing w:after="0"/>
        <w:rPr>
          <w:rFonts w:ascii="Roboto-Bold" w:eastAsia="Calibri" w:hAnsi="Roboto-Bold"/>
          <w:color w:val="5B626C"/>
        </w:rPr>
      </w:pPr>
      <w:r w:rsidRPr="000C4DD7">
        <w:rPr>
          <w:rFonts w:ascii="Roboto-Bold" w:eastAsia="Calibri" w:hAnsi="Roboto-Bold"/>
          <w:color w:val="5B626C"/>
        </w:rPr>
        <w:t>Lived Experience</w:t>
      </w:r>
    </w:p>
    <w:p w14:paraId="587BC2FD" w14:textId="1219E656" w:rsidR="00EE41ED" w:rsidRDefault="00EE41ED" w:rsidP="00EE41ED">
      <w:pPr>
        <w:rPr>
          <w:rFonts w:eastAsia="Calibri"/>
        </w:rPr>
      </w:pPr>
      <w:r>
        <w:rPr>
          <w:rFonts w:eastAsia="Calibri"/>
        </w:rPr>
        <w:t>As shown in Figure A11, in 2022-</w:t>
      </w:r>
      <w:r w:rsidR="00D042EB">
        <w:rPr>
          <w:rFonts w:eastAsia="Calibri"/>
        </w:rPr>
        <w:t>20</w:t>
      </w:r>
      <w:r>
        <w:rPr>
          <w:rFonts w:eastAsia="Calibri"/>
        </w:rPr>
        <w:t xml:space="preserve">23 a higher proportion of people with a mental illness aged 18 years and over </w:t>
      </w:r>
      <w:r w:rsidRPr="00755D97">
        <w:rPr>
          <w:rFonts w:eastAsia="Calibri"/>
        </w:rPr>
        <w:t xml:space="preserve">exceeded </w:t>
      </w:r>
      <w:r>
        <w:rPr>
          <w:rFonts w:eastAsia="Calibri"/>
        </w:rPr>
        <w:t xml:space="preserve">the </w:t>
      </w:r>
      <w:r w:rsidRPr="00755D97">
        <w:rPr>
          <w:rFonts w:eastAsia="Calibri"/>
        </w:rPr>
        <w:t>Australian Alcohol</w:t>
      </w:r>
      <w:r>
        <w:rPr>
          <w:rFonts w:eastAsia="Calibri"/>
        </w:rPr>
        <w:t xml:space="preserve"> G</w:t>
      </w:r>
      <w:r w:rsidRPr="00755D97">
        <w:rPr>
          <w:rFonts w:eastAsia="Calibri"/>
        </w:rPr>
        <w:t>uideline</w:t>
      </w:r>
      <w:r>
        <w:rPr>
          <w:rFonts w:eastAsia="Calibri"/>
        </w:rPr>
        <w:t xml:space="preserve">s (36.9%) than people without a mental illness (31.6%). This gap has increased over time. </w:t>
      </w:r>
    </w:p>
    <w:p w14:paraId="1EF4531B" w14:textId="77777777" w:rsidR="00EE41ED" w:rsidRPr="00755D97" w:rsidRDefault="00EE41ED" w:rsidP="009A2262">
      <w:pPr>
        <w:spacing w:after="120"/>
        <w:rPr>
          <w:rFonts w:ascii="Roboto" w:eastAsia="Calibri" w:hAnsi="Roboto"/>
          <w:color w:val="5B626C"/>
        </w:rPr>
      </w:pPr>
      <w:r w:rsidRPr="00755D97">
        <w:rPr>
          <w:rFonts w:ascii="Roboto" w:eastAsia="Calibri" w:hAnsi="Roboto"/>
          <w:color w:val="008143"/>
        </w:rPr>
        <w:t xml:space="preserve">Figure </w:t>
      </w:r>
      <w:r>
        <w:rPr>
          <w:rFonts w:ascii="Roboto" w:eastAsia="Calibri" w:hAnsi="Roboto"/>
          <w:color w:val="008143"/>
        </w:rPr>
        <w:t>A11</w:t>
      </w:r>
      <w:r w:rsidRPr="00755D97">
        <w:rPr>
          <w:rFonts w:ascii="Roboto" w:eastAsia="Calibri" w:hAnsi="Roboto"/>
          <w:color w:val="008143"/>
        </w:rPr>
        <w:t xml:space="preserve">. </w:t>
      </w:r>
      <w:r>
        <w:rPr>
          <w:rFonts w:ascii="Roboto" w:eastAsia="Calibri" w:hAnsi="Roboto"/>
          <w:color w:val="5B626C"/>
        </w:rPr>
        <w:t>Proportion of people aged 18 years and over who exceeded the Australian Alcohol Guidelines by mental health status, 2010 to 2022-2023</w:t>
      </w:r>
    </w:p>
    <w:p w14:paraId="1E24FB91" w14:textId="19E52519" w:rsidR="00EE41ED" w:rsidRPr="00755D97" w:rsidRDefault="00FB792A" w:rsidP="005E1FFE">
      <w:pPr>
        <w:spacing w:after="0"/>
        <w:outlineLvl w:val="3"/>
        <w:rPr>
          <w:rFonts w:ascii="Roboto" w:eastAsia="Calibri" w:hAnsi="Roboto"/>
          <w:color w:val="5B626C"/>
        </w:rPr>
      </w:pPr>
      <w:r>
        <w:rPr>
          <w:noProof/>
        </w:rPr>
        <w:drawing>
          <wp:inline distT="0" distB="0" distL="0" distR="0" wp14:anchorId="2A71A119" wp14:editId="1ED8C9FB">
            <wp:extent cx="6116320" cy="2557780"/>
            <wp:effectExtent l="0" t="0" r="0" b="0"/>
            <wp:docPr id="1620931275" name="Graphic 1620931275" descr="The content of this figure is described in the text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931275" name="Graphic 1620931275" descr="The content of this figure is described in the text above. "/>
                    <pic:cNvPicPr/>
                  </pic:nvPicPr>
                  <pic:blipFill>
                    <a:blip r:embed="rId69">
                      <a:extLst>
                        <a:ext uri="{96DAC541-7B7A-43D3-8B79-37D633B846F1}">
                          <asvg:svgBlip xmlns:asvg="http://schemas.microsoft.com/office/drawing/2016/SVG/main" r:embed="rId70"/>
                        </a:ext>
                      </a:extLst>
                    </a:blip>
                    <a:stretch>
                      <a:fillRect/>
                    </a:stretch>
                  </pic:blipFill>
                  <pic:spPr>
                    <a:xfrm>
                      <a:off x="0" y="0"/>
                      <a:ext cx="6116320" cy="2557780"/>
                    </a:xfrm>
                    <a:prstGeom prst="rect">
                      <a:avLst/>
                    </a:prstGeom>
                  </pic:spPr>
                </pic:pic>
              </a:graphicData>
            </a:graphic>
          </wp:inline>
        </w:drawing>
      </w:r>
    </w:p>
    <w:p w14:paraId="5265BA23" w14:textId="5FC5CB0A" w:rsidR="00EE41ED" w:rsidRPr="00BD6B10" w:rsidRDefault="00EE41ED" w:rsidP="00EE41ED">
      <w:pPr>
        <w:rPr>
          <w:rFonts w:eastAsia="Calibri"/>
        </w:rPr>
      </w:pPr>
      <w:r>
        <w:rPr>
          <w:rFonts w:eastAsia="Calibri"/>
        </w:rPr>
        <w:lastRenderedPageBreak/>
        <w:t xml:space="preserve">When looking at specific drinking behaviours, close to one-third (30.4%) of people with a mental illness consumed </w:t>
      </w:r>
      <w:r w:rsidR="00763146">
        <w:rPr>
          <w:rFonts w:eastAsia="Calibri"/>
        </w:rPr>
        <w:t xml:space="preserve">on average </w:t>
      </w:r>
      <w:r>
        <w:rPr>
          <w:rFonts w:eastAsia="Calibri"/>
        </w:rPr>
        <w:t>more than 10 standard drinks per week</w:t>
      </w:r>
      <w:r w:rsidR="00763146">
        <w:rPr>
          <w:rFonts w:eastAsia="Calibri"/>
        </w:rPr>
        <w:t xml:space="preserve"> in the previous 12-months</w:t>
      </w:r>
      <w:r>
        <w:rPr>
          <w:rFonts w:eastAsia="Calibri"/>
        </w:rPr>
        <w:t>, compared to one-quarter (25.3%) of people without a mental illness. Similarly, 29.0% of people with a mental illness consumed more than 4 standard drinks in a single day at least monthly</w:t>
      </w:r>
      <w:r w:rsidR="00763146">
        <w:rPr>
          <w:rFonts w:eastAsia="Calibri"/>
        </w:rPr>
        <w:t xml:space="preserve"> on average in the previous 12-months</w:t>
      </w:r>
      <w:r>
        <w:rPr>
          <w:rFonts w:eastAsia="Calibri"/>
        </w:rPr>
        <w:t xml:space="preserve">, compared to 24.6% of people without a mental illness. These rates are comparable to previous years. </w:t>
      </w:r>
    </w:p>
    <w:p w14:paraId="23A2BC9D" w14:textId="77777777" w:rsidR="00EE41ED" w:rsidRPr="00755D97" w:rsidRDefault="00EE41ED" w:rsidP="00F255BF">
      <w:pPr>
        <w:spacing w:before="60" w:after="60"/>
        <w:outlineLvl w:val="3"/>
        <w:rPr>
          <w:rFonts w:ascii="Roboto" w:eastAsia="Yu Gothic Light" w:hAnsi="Roboto" w:cs="Times New Roman"/>
          <w:b/>
          <w:color w:val="545A60"/>
          <w:sz w:val="21"/>
        </w:rPr>
      </w:pPr>
      <w:r w:rsidRPr="00755D97">
        <w:rPr>
          <w:rFonts w:ascii="Roboto" w:eastAsia="Yu Gothic Light" w:hAnsi="Roboto" w:cs="Times New Roman"/>
          <w:b/>
          <w:color w:val="545A60"/>
          <w:sz w:val="21"/>
        </w:rPr>
        <w:t>How do these findings differ between groups?</w:t>
      </w:r>
    </w:p>
    <w:p w14:paraId="352A9C17" w14:textId="6DBC9DAD" w:rsidR="00EE41ED" w:rsidRDefault="00EE41ED" w:rsidP="00EE41ED">
      <w:pPr>
        <w:rPr>
          <w:rFonts w:eastAsia="Calibri"/>
        </w:rPr>
      </w:pPr>
      <w:r>
        <w:rPr>
          <w:rFonts w:eastAsia="Calibri"/>
        </w:rPr>
        <w:t>In 2022-</w:t>
      </w:r>
      <w:r w:rsidR="003F76A3">
        <w:rPr>
          <w:rFonts w:eastAsia="Calibri"/>
        </w:rPr>
        <w:t>20</w:t>
      </w:r>
      <w:r>
        <w:rPr>
          <w:rFonts w:eastAsia="Calibri"/>
        </w:rPr>
        <w:t>23,</w:t>
      </w:r>
      <w:r w:rsidRPr="00755D97">
        <w:rPr>
          <w:rFonts w:eastAsia="Calibri"/>
        </w:rPr>
        <w:t xml:space="preserve"> the proportion of people in Australia who exceeded the </w:t>
      </w:r>
      <w:r>
        <w:rPr>
          <w:rFonts w:eastAsia="Calibri"/>
          <w:lang w:val="en-AU"/>
        </w:rPr>
        <w:t xml:space="preserve">Australian Alcohol Guidelines varied according to both </w:t>
      </w:r>
      <w:r w:rsidR="003F76A3">
        <w:rPr>
          <w:rFonts w:eastAsia="Calibri"/>
        </w:rPr>
        <w:t>gender</w:t>
      </w:r>
      <w:r w:rsidR="003F76A3" w:rsidRPr="00755D97">
        <w:rPr>
          <w:rFonts w:eastAsia="Calibri"/>
        </w:rPr>
        <w:t xml:space="preserve"> </w:t>
      </w:r>
      <w:r w:rsidRPr="00755D97">
        <w:rPr>
          <w:rFonts w:eastAsia="Calibri"/>
        </w:rPr>
        <w:t xml:space="preserve">and age. </w:t>
      </w:r>
      <w:r>
        <w:rPr>
          <w:rFonts w:eastAsia="Calibri"/>
        </w:rPr>
        <w:t xml:space="preserve">Among people aged 14 years and over, 31.8% of males consumed </w:t>
      </w:r>
      <w:r w:rsidR="003F76A3">
        <w:rPr>
          <w:rFonts w:eastAsia="Calibri"/>
        </w:rPr>
        <w:t xml:space="preserve">on average </w:t>
      </w:r>
      <w:r>
        <w:rPr>
          <w:rFonts w:eastAsia="Calibri"/>
        </w:rPr>
        <w:t>more than 10 standard drinks per week</w:t>
      </w:r>
      <w:r w:rsidR="00E35E7F">
        <w:rPr>
          <w:rFonts w:eastAsia="Calibri"/>
        </w:rPr>
        <w:t xml:space="preserve"> in the previous 12-months</w:t>
      </w:r>
      <w:r>
        <w:rPr>
          <w:rFonts w:eastAsia="Calibri"/>
        </w:rPr>
        <w:t xml:space="preserve"> compared to 17.8% of females. A similar difference was observed when comparing rates for people who consumed</w:t>
      </w:r>
      <w:r w:rsidR="00E35E7F">
        <w:rPr>
          <w:rFonts w:eastAsia="Calibri"/>
        </w:rPr>
        <w:t xml:space="preserve"> on average</w:t>
      </w:r>
      <w:r>
        <w:rPr>
          <w:rFonts w:eastAsia="Calibri"/>
        </w:rPr>
        <w:t xml:space="preserve"> more than 4 standard drinks in a single day at least monthly</w:t>
      </w:r>
      <w:r w:rsidR="00DA26EA">
        <w:rPr>
          <w:rFonts w:eastAsia="Calibri"/>
        </w:rPr>
        <w:t xml:space="preserve"> in the previous 12-months</w:t>
      </w:r>
      <w:r>
        <w:rPr>
          <w:rFonts w:eastAsia="Calibri"/>
        </w:rPr>
        <w:t>, but not as often as weekly (</w:t>
      </w:r>
      <w:r w:rsidR="005E1FFE">
        <w:rPr>
          <w:rFonts w:eastAsia="Calibri"/>
        </w:rPr>
        <w:t>M</w:t>
      </w:r>
      <w:r>
        <w:rPr>
          <w:rFonts w:eastAsia="Calibri"/>
        </w:rPr>
        <w:t xml:space="preserve">ales: 12.7%, </w:t>
      </w:r>
      <w:r w:rsidR="005E1FFE">
        <w:rPr>
          <w:rFonts w:eastAsia="Calibri"/>
        </w:rPr>
        <w:t>F</w:t>
      </w:r>
      <w:r>
        <w:rPr>
          <w:rFonts w:eastAsia="Calibri"/>
        </w:rPr>
        <w:t>emales: 8.7%).</w:t>
      </w:r>
    </w:p>
    <w:p w14:paraId="3EB2FC04" w14:textId="035E438D" w:rsidR="00EE41ED" w:rsidRDefault="00EE41ED" w:rsidP="00EE41ED">
      <w:pPr>
        <w:rPr>
          <w:rFonts w:eastAsia="Calibri"/>
        </w:rPr>
      </w:pPr>
      <w:r>
        <w:rPr>
          <w:rFonts w:eastAsia="Calibri"/>
        </w:rPr>
        <w:t xml:space="preserve">In general, in 2022-2023 younger people were more likely to have exceeded the Australian Alcohol Guidelines by drinking more than 4 standard drinks in a single day at least monthly, while older people were more likely to do so by consuming more than 10 standard drinks </w:t>
      </w:r>
      <w:r w:rsidR="00310281">
        <w:rPr>
          <w:rFonts w:eastAsia="Calibri"/>
        </w:rPr>
        <w:t xml:space="preserve">per </w:t>
      </w:r>
      <w:r w:rsidR="00052138">
        <w:rPr>
          <w:rFonts w:eastAsia="Calibri"/>
        </w:rPr>
        <w:t>week in the previous 12-months</w:t>
      </w:r>
      <w:r>
        <w:rPr>
          <w:rFonts w:eastAsia="Calibri"/>
        </w:rPr>
        <w:t>. The proportion of people who exceeded the Australian Alcohol Guidelines has been relatively consistent since 2016 across different age groups. However, among people aged 14</w:t>
      </w:r>
      <w:r w:rsidR="005E1FFE">
        <w:rPr>
          <w:rFonts w:eastAsia="Calibri"/>
        </w:rPr>
        <w:noBreakHyphen/>
      </w:r>
      <w:r>
        <w:rPr>
          <w:rFonts w:eastAsia="Calibri"/>
        </w:rPr>
        <w:t>17</w:t>
      </w:r>
      <w:r w:rsidR="005E1FFE">
        <w:rPr>
          <w:rFonts w:eastAsia="Calibri"/>
        </w:rPr>
        <w:t> </w:t>
      </w:r>
      <w:r>
        <w:rPr>
          <w:rFonts w:eastAsia="Calibri"/>
        </w:rPr>
        <w:t xml:space="preserve">years there was a reduction in the proportion of people exceeding the </w:t>
      </w:r>
      <w:r w:rsidRPr="00755D97">
        <w:rPr>
          <w:rFonts w:eastAsia="Calibri"/>
        </w:rPr>
        <w:t xml:space="preserve">Australian </w:t>
      </w:r>
      <w:r w:rsidR="00012725">
        <w:rPr>
          <w:rFonts w:eastAsia="Calibri"/>
        </w:rPr>
        <w:t>Alcohol</w:t>
      </w:r>
      <w:r w:rsidRPr="00755D97">
        <w:rPr>
          <w:rFonts w:eastAsia="Calibri"/>
        </w:rPr>
        <w:t xml:space="preserve"> </w:t>
      </w:r>
      <w:r>
        <w:rPr>
          <w:rFonts w:eastAsia="Calibri"/>
        </w:rPr>
        <w:t>G</w:t>
      </w:r>
      <w:r w:rsidRPr="00755D97">
        <w:rPr>
          <w:rFonts w:eastAsia="Calibri"/>
        </w:rPr>
        <w:t>uideline</w:t>
      </w:r>
      <w:r>
        <w:rPr>
          <w:rFonts w:eastAsia="Calibri"/>
        </w:rPr>
        <w:t xml:space="preserve">s </w:t>
      </w:r>
      <w:r w:rsidR="000D2B66">
        <w:rPr>
          <w:rFonts w:eastAsia="Calibri"/>
        </w:rPr>
        <w:t>for adults</w:t>
      </w:r>
      <w:r w:rsidR="002117DA">
        <w:rPr>
          <w:rStyle w:val="FootnoteReference"/>
          <w:rFonts w:eastAsia="Calibri"/>
        </w:rPr>
        <w:footnoteReference w:id="23"/>
      </w:r>
      <w:r>
        <w:rPr>
          <w:rFonts w:eastAsia="Calibri"/>
        </w:rPr>
        <w:t xml:space="preserve"> between 2019 (9.5%) and 2022-2023 (5.5%)</w:t>
      </w:r>
      <w:r w:rsidR="005E1FFE">
        <w:rPr>
          <w:rFonts w:eastAsia="Calibri"/>
        </w:rPr>
        <w:t>.</w:t>
      </w:r>
      <w:r w:rsidR="00FE75D7">
        <w:rPr>
          <w:rFonts w:eastAsia="Calibri"/>
        </w:rPr>
        <w:t xml:space="preserve"> </w:t>
      </w:r>
    </w:p>
    <w:p w14:paraId="737B013D" w14:textId="77777777" w:rsidR="00EE41ED" w:rsidRDefault="00EE41ED" w:rsidP="00EE41ED">
      <w:pPr>
        <w:rPr>
          <w:rFonts w:eastAsia="Calibri"/>
        </w:rPr>
      </w:pPr>
      <w:r>
        <w:rPr>
          <w:rFonts w:eastAsia="Calibri"/>
        </w:rPr>
        <w:t xml:space="preserve">Data disaggregated by age and sex for people with a mental illness is currently unavailable. </w:t>
      </w:r>
    </w:p>
    <w:p w14:paraId="50EB6E8E" w14:textId="77777777" w:rsidR="00EE41ED" w:rsidRPr="003D6E8B" w:rsidRDefault="00EE41ED" w:rsidP="00BD77E3">
      <w:pPr>
        <w:keepNext/>
        <w:keepLines/>
        <w:spacing w:before="480" w:after="60"/>
        <w:outlineLvl w:val="1"/>
        <w:rPr>
          <w:rFonts w:ascii="Roboto-Bold" w:eastAsia="Yu Gothic Light" w:hAnsi="Roboto-Bold" w:cs="Times New Roman"/>
          <w:color w:val="008143"/>
          <w:sz w:val="26"/>
          <w:szCs w:val="26"/>
        </w:rPr>
      </w:pPr>
      <w:bookmarkStart w:id="377" w:name="_Toc169018649"/>
      <w:bookmarkStart w:id="378" w:name="_Toc169189101"/>
      <w:bookmarkStart w:id="379" w:name="_Toc169692903"/>
      <w:r w:rsidRPr="00755D97">
        <w:rPr>
          <w:rFonts w:ascii="Roboto-Bold" w:eastAsia="Yu Gothic Light" w:hAnsi="Roboto-Bold" w:cs="Times New Roman"/>
          <w:color w:val="008143"/>
          <w:sz w:val="26"/>
          <w:szCs w:val="26"/>
        </w:rPr>
        <w:t>Technical information</w:t>
      </w:r>
      <w:bookmarkEnd w:id="377"/>
      <w:bookmarkEnd w:id="378"/>
      <w:bookmarkEnd w:id="379"/>
    </w:p>
    <w:p w14:paraId="72FD1EEA" w14:textId="77777777" w:rsidR="00EE41ED" w:rsidRPr="003D6E8B" w:rsidRDefault="00EE41ED" w:rsidP="003D6E8B">
      <w:pPr>
        <w:keepNext/>
        <w:keepLines/>
        <w:spacing w:before="120" w:after="60"/>
        <w:outlineLvl w:val="2"/>
        <w:rPr>
          <w:rFonts w:ascii="Roboto" w:eastAsia="Yu Gothic Light" w:hAnsi="Roboto" w:cs="Times New Roman"/>
          <w:b/>
          <w:color w:val="545A60"/>
          <w:sz w:val="21"/>
        </w:rPr>
      </w:pPr>
      <w:bookmarkStart w:id="380" w:name="_Toc169018650"/>
      <w:bookmarkStart w:id="381" w:name="_Toc169189102"/>
      <w:bookmarkStart w:id="382" w:name="_Toc169692904"/>
      <w:r w:rsidRPr="00755D97">
        <w:rPr>
          <w:rFonts w:ascii="Roboto" w:eastAsia="Yu Gothic Light" w:hAnsi="Roboto" w:cs="Times New Roman"/>
          <w:b/>
          <w:color w:val="545A60"/>
          <w:sz w:val="21"/>
        </w:rPr>
        <w:t>Source</w:t>
      </w:r>
      <w:bookmarkEnd w:id="380"/>
      <w:bookmarkEnd w:id="381"/>
      <w:bookmarkEnd w:id="382"/>
      <w:r w:rsidRPr="00755D97">
        <w:rPr>
          <w:rFonts w:ascii="Roboto" w:eastAsia="Yu Gothic Light" w:hAnsi="Roboto" w:cs="Times New Roman"/>
          <w:b/>
          <w:color w:val="545A60"/>
          <w:sz w:val="21"/>
        </w:rPr>
        <w:t xml:space="preserve"> </w:t>
      </w:r>
    </w:p>
    <w:p w14:paraId="7397F556" w14:textId="77777777" w:rsidR="00EE41ED" w:rsidRPr="00A86E74" w:rsidRDefault="00EE41ED" w:rsidP="00EE41ED">
      <w:pPr>
        <w:rPr>
          <w:rFonts w:eastAsia="Calibri"/>
        </w:rPr>
      </w:pPr>
      <w:r w:rsidRPr="00CE7070">
        <w:rPr>
          <w:rFonts w:eastAsia="Calibri"/>
        </w:rPr>
        <w:t xml:space="preserve">Australian Institute of Health and Welfare (AIHW) </w:t>
      </w:r>
      <w:r w:rsidRPr="00AF492C">
        <w:rPr>
          <w:rFonts w:eastAsia="Calibri"/>
          <w:i/>
        </w:rPr>
        <w:t>National Drug Strategy Household Survey, 2022-2023</w:t>
      </w:r>
      <w:r w:rsidRPr="00CE7070">
        <w:rPr>
          <w:rFonts w:eastAsia="Calibri"/>
        </w:rPr>
        <w:t xml:space="preserve">; AIHW </w:t>
      </w:r>
      <w:r w:rsidRPr="00AF492C">
        <w:rPr>
          <w:rFonts w:eastAsia="Calibri"/>
          <w:i/>
        </w:rPr>
        <w:t>National Drug Strategy Household Survey, 2019</w:t>
      </w:r>
      <w:r w:rsidRPr="00CE7070">
        <w:rPr>
          <w:rFonts w:eastAsia="Calibri"/>
        </w:rPr>
        <w:t xml:space="preserve">; AIHW </w:t>
      </w:r>
      <w:r w:rsidRPr="00AF492C">
        <w:rPr>
          <w:rFonts w:eastAsia="Calibri"/>
          <w:i/>
        </w:rPr>
        <w:t>National Drug Strategy Household Survey, 2016</w:t>
      </w:r>
      <w:r w:rsidRPr="00CE7070">
        <w:rPr>
          <w:rFonts w:eastAsia="Calibri"/>
        </w:rPr>
        <w:t xml:space="preserve">; AIHW </w:t>
      </w:r>
      <w:r w:rsidRPr="00AF492C">
        <w:rPr>
          <w:rFonts w:eastAsia="Calibri"/>
          <w:i/>
        </w:rPr>
        <w:t>National Drug Strategy Household Survey, 2013</w:t>
      </w:r>
      <w:r w:rsidRPr="00CE7070">
        <w:rPr>
          <w:rFonts w:eastAsia="Calibri"/>
        </w:rPr>
        <w:t xml:space="preserve">; AIHW </w:t>
      </w:r>
      <w:r w:rsidRPr="00AF492C">
        <w:rPr>
          <w:rFonts w:eastAsia="Calibri"/>
          <w:i/>
        </w:rPr>
        <w:t>National Drug Strategy Household Survey, 2010.</w:t>
      </w:r>
    </w:p>
    <w:p w14:paraId="27ABC7AD" w14:textId="77777777" w:rsidR="00EE41ED" w:rsidRDefault="00EE41ED" w:rsidP="00EE41ED">
      <w:pPr>
        <w:keepNext/>
        <w:keepLines/>
        <w:spacing w:before="120" w:after="60"/>
        <w:outlineLvl w:val="2"/>
        <w:rPr>
          <w:rFonts w:ascii="Roboto" w:eastAsia="Yu Gothic Light" w:hAnsi="Roboto" w:cs="Times New Roman"/>
          <w:b/>
          <w:color w:val="545A60"/>
          <w:sz w:val="21"/>
        </w:rPr>
      </w:pPr>
      <w:bookmarkStart w:id="383" w:name="_Toc169018651"/>
      <w:bookmarkStart w:id="384" w:name="_Toc169189103"/>
      <w:bookmarkStart w:id="385" w:name="_Toc169692905"/>
      <w:r w:rsidRPr="00755D97">
        <w:rPr>
          <w:rFonts w:ascii="Roboto" w:eastAsia="Yu Gothic Light" w:hAnsi="Roboto" w:cs="Times New Roman"/>
          <w:b/>
          <w:color w:val="545A60"/>
          <w:sz w:val="21"/>
        </w:rPr>
        <w:t>Frequency of data collection</w:t>
      </w:r>
      <w:bookmarkEnd w:id="383"/>
      <w:bookmarkEnd w:id="384"/>
      <w:bookmarkEnd w:id="385"/>
    </w:p>
    <w:p w14:paraId="0417ECD3" w14:textId="77777777" w:rsidR="00EE41ED" w:rsidRPr="00CE7070" w:rsidRDefault="00EE41ED" w:rsidP="00CE7070">
      <w:pPr>
        <w:rPr>
          <w:rFonts w:eastAsia="Calibri"/>
        </w:rPr>
      </w:pPr>
      <w:r w:rsidRPr="00CE7070">
        <w:rPr>
          <w:rFonts w:eastAsia="Calibri"/>
        </w:rPr>
        <w:t>Approximately every three years.</w:t>
      </w:r>
    </w:p>
    <w:p w14:paraId="24E51E3D" w14:textId="77777777" w:rsidR="00EE41ED" w:rsidRDefault="00EE41ED" w:rsidP="00EE41ED">
      <w:pPr>
        <w:keepNext/>
        <w:keepLines/>
        <w:spacing w:before="120" w:after="60"/>
        <w:outlineLvl w:val="2"/>
        <w:rPr>
          <w:rFonts w:ascii="Roboto" w:eastAsia="Yu Gothic Light" w:hAnsi="Roboto" w:cs="Times New Roman"/>
          <w:b/>
          <w:color w:val="545A60"/>
          <w:sz w:val="21"/>
        </w:rPr>
      </w:pPr>
      <w:bookmarkStart w:id="386" w:name="_Toc169018652"/>
      <w:bookmarkStart w:id="387" w:name="_Toc169189104"/>
      <w:bookmarkStart w:id="388" w:name="_Toc169692906"/>
      <w:r w:rsidRPr="00755D97">
        <w:rPr>
          <w:rFonts w:ascii="Roboto" w:eastAsia="Yu Gothic Light" w:hAnsi="Roboto" w:cs="Times New Roman"/>
          <w:b/>
          <w:color w:val="545A60"/>
          <w:sz w:val="21"/>
        </w:rPr>
        <w:t>Limitations</w:t>
      </w:r>
      <w:bookmarkEnd w:id="386"/>
      <w:bookmarkEnd w:id="387"/>
      <w:bookmarkEnd w:id="388"/>
    </w:p>
    <w:p w14:paraId="04C5DDDC" w14:textId="52523D75" w:rsidR="00EE41ED" w:rsidRPr="00CE7070" w:rsidRDefault="00E1423F" w:rsidP="00C6635C">
      <w:pPr>
        <w:pStyle w:val="ListParagraph"/>
        <w:numPr>
          <w:ilvl w:val="0"/>
          <w:numId w:val="43"/>
        </w:numPr>
        <w:rPr>
          <w:rFonts w:eastAsia="Calibri"/>
        </w:rPr>
      </w:pPr>
      <w:r>
        <w:rPr>
          <w:rFonts w:eastAsia="Calibri"/>
        </w:rPr>
        <w:t xml:space="preserve">Data are self-reported, and people may not accurately report information relating to </w:t>
      </w:r>
      <w:r w:rsidR="003C686F">
        <w:rPr>
          <w:rFonts w:eastAsia="Calibri"/>
        </w:rPr>
        <w:t>alcohol consumption</w:t>
      </w:r>
      <w:r w:rsidR="00C856F5">
        <w:rPr>
          <w:rFonts w:eastAsia="Calibri"/>
        </w:rPr>
        <w:t xml:space="preserve">. </w:t>
      </w:r>
      <w:r w:rsidR="00EE41ED" w:rsidRPr="00CE7070">
        <w:rPr>
          <w:rFonts w:eastAsia="Calibri"/>
        </w:rPr>
        <w:t>Detailed information on the methodology</w:t>
      </w:r>
      <w:r w:rsidR="008C1A15">
        <w:rPr>
          <w:rFonts w:eastAsia="Calibri"/>
        </w:rPr>
        <w:t>, including limitations,</w:t>
      </w:r>
      <w:r w:rsidR="00EE41ED" w:rsidRPr="00CE7070">
        <w:rPr>
          <w:rFonts w:eastAsia="Calibri"/>
        </w:rPr>
        <w:t xml:space="preserve"> is available on the </w:t>
      </w:r>
      <w:hyperlink r:id="rId71" w:history="1">
        <w:r w:rsidR="00EE41ED" w:rsidRPr="00CE7070">
          <w:rPr>
            <w:rFonts w:eastAsia="Yu Gothic Light" w:cs="Times New Roman"/>
            <w:color w:val="008143"/>
            <w:u w:val="single"/>
          </w:rPr>
          <w:t>AIHW website</w:t>
        </w:r>
      </w:hyperlink>
      <w:r w:rsidR="00EE41ED" w:rsidRPr="00CE7070">
        <w:rPr>
          <w:rFonts w:eastAsia="Calibri"/>
        </w:rPr>
        <w:t xml:space="preserve">.  </w:t>
      </w:r>
    </w:p>
    <w:p w14:paraId="35DCF047" w14:textId="77777777" w:rsidR="00EE41ED" w:rsidRPr="00476842" w:rsidRDefault="00EE41ED" w:rsidP="00EE41ED">
      <w:pPr>
        <w:keepNext/>
        <w:keepLines/>
        <w:spacing w:before="120" w:after="60"/>
        <w:outlineLvl w:val="2"/>
      </w:pPr>
      <w:bookmarkStart w:id="389" w:name="_Toc169018653"/>
      <w:bookmarkStart w:id="390" w:name="_Toc169189105"/>
      <w:bookmarkStart w:id="391" w:name="_Toc169692907"/>
      <w:r w:rsidRPr="00755D97">
        <w:rPr>
          <w:rFonts w:ascii="Roboto" w:eastAsia="Yu Gothic Light" w:hAnsi="Roboto" w:cs="Times New Roman"/>
          <w:b/>
          <w:color w:val="545A60"/>
          <w:sz w:val="21"/>
        </w:rPr>
        <w:t>Additional notes</w:t>
      </w:r>
      <w:bookmarkEnd w:id="389"/>
      <w:bookmarkEnd w:id="390"/>
      <w:bookmarkEnd w:id="391"/>
      <w:r w:rsidRPr="00755D97">
        <w:rPr>
          <w:rFonts w:ascii="Roboto" w:eastAsia="Yu Gothic Light" w:hAnsi="Roboto" w:cs="Times New Roman"/>
          <w:b/>
          <w:color w:val="545A60"/>
          <w:sz w:val="21"/>
        </w:rPr>
        <w:t xml:space="preserve"> </w:t>
      </w:r>
    </w:p>
    <w:p w14:paraId="77FAA5D6" w14:textId="77777777" w:rsidR="00EE41ED" w:rsidRPr="00D35222" w:rsidRDefault="00EE41ED" w:rsidP="008C66A2">
      <w:pPr>
        <w:pStyle w:val="ListParagraph"/>
        <w:numPr>
          <w:ilvl w:val="0"/>
          <w:numId w:val="58"/>
        </w:numPr>
        <w:rPr>
          <w:rFonts w:eastAsia="Calibri"/>
        </w:rPr>
      </w:pPr>
      <w:r w:rsidRPr="00D35222">
        <w:rPr>
          <w:rFonts w:eastAsia="Calibri"/>
        </w:rPr>
        <w:t xml:space="preserve">It is important to note that the Australian Alcohol Guidelines minimise the risks associated with consuming alcohol, but they do not eliminate the risk entirely. </w:t>
      </w:r>
    </w:p>
    <w:p w14:paraId="65B8FEF9" w14:textId="77777777" w:rsidR="00EE41ED" w:rsidRPr="00D35222" w:rsidRDefault="00EE41ED" w:rsidP="008C66A2">
      <w:pPr>
        <w:pStyle w:val="ListParagraph"/>
        <w:numPr>
          <w:ilvl w:val="0"/>
          <w:numId w:val="58"/>
        </w:numPr>
        <w:rPr>
          <w:rFonts w:eastAsia="Calibri"/>
        </w:rPr>
      </w:pPr>
      <w:r w:rsidRPr="00D35222">
        <w:rPr>
          <w:rFonts w:eastAsia="Calibri"/>
        </w:rPr>
        <w:t xml:space="preserve">People with a mental illness include those who self-reported that they had been diagnosed or received treatment for depression, an anxiety disorder, schizophrenia, bi-polar disorder, other form of psychosis or an eating disorder in the previous 12 months. </w:t>
      </w:r>
    </w:p>
    <w:p w14:paraId="504D935C" w14:textId="1E75CFB0" w:rsidR="00EE41ED" w:rsidRPr="00C374B3" w:rsidRDefault="00EE41ED">
      <w:pPr>
        <w:pStyle w:val="ListParagraph"/>
        <w:numPr>
          <w:ilvl w:val="0"/>
          <w:numId w:val="58"/>
        </w:numPr>
        <w:rPr>
          <w:rFonts w:eastAsia="Calibri"/>
          <w:szCs w:val="18"/>
        </w:rPr>
      </w:pPr>
      <w:r w:rsidRPr="00D35222">
        <w:rPr>
          <w:rFonts w:eastAsia="Calibri"/>
        </w:rPr>
        <w:t xml:space="preserve">For analyses presented for people with a mental illness, the age range of the sample population is 18 years and over. For other analyses presented, the age range of the sample population is 14 years and over. </w:t>
      </w:r>
      <w:r>
        <w:br w:type="page"/>
      </w:r>
    </w:p>
    <w:p w14:paraId="4B1B1E1E" w14:textId="77777777" w:rsidR="00EE41ED" w:rsidRPr="00755D97" w:rsidRDefault="00EE41ED" w:rsidP="007404A6">
      <w:pPr>
        <w:pStyle w:val="Heading1"/>
        <w:rPr>
          <w:rFonts w:eastAsia="Yu Gothic Light" w:cs="Times New Roman"/>
        </w:rPr>
      </w:pPr>
      <w:bookmarkStart w:id="392" w:name="_Toc164671360"/>
      <w:bookmarkStart w:id="393" w:name="_Toc164671630"/>
      <w:bookmarkStart w:id="394" w:name="_Toc169692908"/>
      <w:bookmarkStart w:id="395" w:name="_Toc169868023"/>
      <w:r>
        <w:rPr>
          <w:rFonts w:eastAsia="Yu Gothic Light"/>
        </w:rPr>
        <w:lastRenderedPageBreak/>
        <w:t xml:space="preserve">CI 12: </w:t>
      </w:r>
      <w:r w:rsidRPr="00755D97">
        <w:rPr>
          <w:rFonts w:eastAsia="Yu Gothic Light" w:cs="Times New Roman"/>
        </w:rPr>
        <w:t xml:space="preserve">Feeling </w:t>
      </w:r>
      <w:proofErr w:type="gramStart"/>
      <w:r w:rsidRPr="00755D97">
        <w:rPr>
          <w:rFonts w:eastAsia="Yu Gothic Light" w:cs="Times New Roman"/>
        </w:rPr>
        <w:t>lonely</w:t>
      </w:r>
      <w:bookmarkEnd w:id="392"/>
      <w:bookmarkEnd w:id="393"/>
      <w:bookmarkEnd w:id="394"/>
      <w:bookmarkEnd w:id="395"/>
      <w:proofErr w:type="gramEnd"/>
    </w:p>
    <w:p w14:paraId="6A5F3BBD" w14:textId="77777777" w:rsidR="00EE41ED" w:rsidRPr="00755D97" w:rsidRDefault="00EE41ED" w:rsidP="00EE41ED">
      <w:pPr>
        <w:keepNext/>
        <w:keepLines/>
        <w:spacing w:before="60" w:after="60"/>
        <w:outlineLvl w:val="1"/>
        <w:rPr>
          <w:rFonts w:ascii="Roboto-Bold" w:eastAsia="Yu Gothic Light" w:hAnsi="Roboto-Bold" w:cs="Times New Roman"/>
          <w:color w:val="008143"/>
          <w:sz w:val="26"/>
          <w:szCs w:val="26"/>
        </w:rPr>
      </w:pPr>
      <w:bookmarkStart w:id="396" w:name="_Toc164671361"/>
      <w:bookmarkStart w:id="397" w:name="_Toc164671631"/>
      <w:bookmarkStart w:id="398" w:name="_Toc169018655"/>
      <w:bookmarkStart w:id="399" w:name="_Toc169189107"/>
      <w:bookmarkStart w:id="400" w:name="_Toc169692909"/>
      <w:r w:rsidRPr="00755D97">
        <w:rPr>
          <w:rFonts w:ascii="Roboto-Bold" w:eastAsia="Yu Gothic Light" w:hAnsi="Roboto-Bold" w:cs="Times New Roman"/>
          <w:color w:val="008143"/>
          <w:sz w:val="26"/>
          <w:szCs w:val="26"/>
        </w:rPr>
        <w:t>What we are tracking (and why)</w:t>
      </w:r>
      <w:bookmarkEnd w:id="396"/>
      <w:bookmarkEnd w:id="397"/>
      <w:bookmarkEnd w:id="398"/>
      <w:bookmarkEnd w:id="399"/>
      <w:bookmarkEnd w:id="400"/>
    </w:p>
    <w:p w14:paraId="6283AF81" w14:textId="77777777" w:rsidR="00EE41ED" w:rsidRPr="00121A20" w:rsidRDefault="00EE41ED" w:rsidP="00EE41ED">
      <w:pPr>
        <w:rPr>
          <w:rFonts w:eastAsia="Calibri"/>
          <w:lang w:val="en-AU"/>
        </w:rPr>
      </w:pPr>
      <w:r>
        <w:rPr>
          <w:rFonts w:eastAsia="Calibri"/>
          <w:lang w:val="en-AU"/>
        </w:rPr>
        <w:t xml:space="preserve">This indicator tracks the proportion of people in Australia aged 15 years and over who reported feeling lonely. </w:t>
      </w:r>
    </w:p>
    <w:p w14:paraId="60E7952E" w14:textId="02DF8D71" w:rsidR="00EE41ED" w:rsidRPr="00D35A3B" w:rsidRDefault="00EE41ED" w:rsidP="00D35A3B">
      <w:pPr>
        <w:rPr>
          <w:rFonts w:eastAsia="Calibri"/>
          <w:lang w:val="en-AU"/>
        </w:rPr>
      </w:pPr>
      <w:r w:rsidRPr="00CE7070">
        <w:rPr>
          <w:rFonts w:eastAsia="Calibri"/>
          <w:lang w:val="en-AU"/>
        </w:rPr>
        <w:t>Loneliness can be described as a subjective unpleasant or distressing feeling of a lack of connection to other people, along with a desire for more or more satisfying, social relationships.</w:t>
      </w:r>
      <w:r w:rsidRPr="008E4518">
        <w:rPr>
          <w:rFonts w:eastAsia="Calibri"/>
          <w:vertAlign w:val="superscript"/>
          <w:lang w:val="en-AU"/>
        </w:rPr>
        <w:footnoteReference w:id="24"/>
      </w:r>
      <w:r w:rsidRPr="00CE7070">
        <w:rPr>
          <w:rFonts w:eastAsia="Calibri"/>
          <w:lang w:val="en-AU"/>
        </w:rPr>
        <w:t xml:space="preserve"> People who feel lonely are more likely to experience depression</w:t>
      </w:r>
      <w:r w:rsidR="00D2526F">
        <w:rPr>
          <w:rStyle w:val="FootnoteReference"/>
          <w:rFonts w:eastAsia="Calibri"/>
          <w:lang w:val="en-AU"/>
        </w:rPr>
        <w:footnoteReference w:id="25"/>
      </w:r>
      <w:r w:rsidRPr="00CE7070">
        <w:rPr>
          <w:rFonts w:eastAsia="Calibri"/>
          <w:lang w:val="en-AU"/>
        </w:rPr>
        <w:t>, social anxiety</w:t>
      </w:r>
      <w:r w:rsidR="0001335F">
        <w:rPr>
          <w:rStyle w:val="FootnoteReference"/>
          <w:rFonts w:eastAsia="Calibri"/>
          <w:lang w:val="en-AU"/>
        </w:rPr>
        <w:footnoteReference w:id="26"/>
      </w:r>
      <w:r w:rsidRPr="00CE7070">
        <w:rPr>
          <w:rFonts w:eastAsia="Calibri"/>
          <w:lang w:val="en-AU"/>
        </w:rPr>
        <w:t>, poorer wellbeing, and premature death.</w:t>
      </w:r>
      <w:r w:rsidRPr="008E4518">
        <w:rPr>
          <w:rFonts w:eastAsia="Calibri"/>
          <w:vertAlign w:val="superscript"/>
          <w:lang w:val="en-AU"/>
        </w:rPr>
        <w:footnoteReference w:id="27"/>
      </w:r>
      <w:r w:rsidRPr="00CE7070" w:rsidDel="000A6734">
        <w:rPr>
          <w:rFonts w:eastAsia="Calibri"/>
          <w:lang w:val="en-AU"/>
        </w:rPr>
        <w:t xml:space="preserve"> </w:t>
      </w:r>
      <w:r w:rsidRPr="00CE7070">
        <w:rPr>
          <w:rFonts w:eastAsia="Calibri"/>
          <w:lang w:val="en-AU"/>
        </w:rPr>
        <w:t>Decreases in the rates of loneliness across the population may signify improvements in external factors that impact mental health and wellbeing across society.</w:t>
      </w:r>
    </w:p>
    <w:p w14:paraId="2F52EB3D" w14:textId="77777777" w:rsidR="00EE41ED" w:rsidRPr="00755D97" w:rsidRDefault="00EE41ED" w:rsidP="00EE41ED">
      <w:pPr>
        <w:keepNext/>
        <w:keepLines/>
        <w:spacing w:before="60" w:after="60"/>
        <w:outlineLvl w:val="1"/>
        <w:rPr>
          <w:rFonts w:ascii="Roboto-Bold" w:eastAsia="Yu Gothic Light" w:hAnsi="Roboto-Bold" w:cs="Times New Roman"/>
          <w:color w:val="008143"/>
          <w:sz w:val="26"/>
          <w:szCs w:val="26"/>
        </w:rPr>
      </w:pPr>
      <w:bookmarkStart w:id="401" w:name="_Toc164671362"/>
      <w:bookmarkStart w:id="402" w:name="_Toc164671632"/>
      <w:bookmarkStart w:id="403" w:name="_Toc169018656"/>
      <w:bookmarkStart w:id="404" w:name="_Toc169189108"/>
      <w:bookmarkStart w:id="405" w:name="_Toc169692910"/>
      <w:r w:rsidRPr="00755D97">
        <w:rPr>
          <w:rFonts w:ascii="Roboto-Bold" w:eastAsia="Yu Gothic Light" w:hAnsi="Roboto-Bold" w:cs="Times New Roman"/>
          <w:color w:val="008143"/>
          <w:sz w:val="26"/>
          <w:szCs w:val="26"/>
        </w:rPr>
        <w:t>What the data tells us</w:t>
      </w:r>
      <w:bookmarkEnd w:id="401"/>
      <w:bookmarkEnd w:id="402"/>
      <w:bookmarkEnd w:id="403"/>
      <w:bookmarkEnd w:id="404"/>
      <w:bookmarkEnd w:id="405"/>
    </w:p>
    <w:p w14:paraId="1B1761B9" w14:textId="77777777" w:rsidR="00EE41ED" w:rsidRPr="00755D97" w:rsidRDefault="00EE41ED" w:rsidP="00EE41ED">
      <w:pPr>
        <w:keepNext/>
        <w:keepLines/>
        <w:spacing w:before="60" w:after="60"/>
        <w:outlineLvl w:val="2"/>
        <w:rPr>
          <w:rFonts w:ascii="Roboto" w:eastAsia="Yu Gothic Light" w:hAnsi="Roboto" w:cs="Times New Roman"/>
          <w:b/>
          <w:color w:val="545A60"/>
          <w:sz w:val="21"/>
        </w:rPr>
      </w:pPr>
      <w:bookmarkStart w:id="406" w:name="_Toc164671363"/>
      <w:bookmarkStart w:id="407" w:name="_Toc164671633"/>
      <w:bookmarkStart w:id="408" w:name="_Toc169018657"/>
      <w:bookmarkStart w:id="409" w:name="_Toc169189109"/>
      <w:bookmarkStart w:id="410" w:name="_Toc169692911"/>
      <w:r w:rsidRPr="00755D97">
        <w:rPr>
          <w:rFonts w:ascii="Roboto" w:eastAsia="Yu Gothic Light" w:hAnsi="Roboto" w:cs="Times New Roman"/>
          <w:b/>
          <w:color w:val="545A60"/>
          <w:sz w:val="21"/>
        </w:rPr>
        <w:t xml:space="preserve">Indicator </w:t>
      </w:r>
      <w:r>
        <w:rPr>
          <w:rFonts w:ascii="Roboto" w:eastAsia="Yu Gothic Light" w:hAnsi="Roboto" w:cs="Times New Roman"/>
          <w:b/>
          <w:color w:val="545A60"/>
          <w:sz w:val="21"/>
        </w:rPr>
        <w:t>f</w:t>
      </w:r>
      <w:r w:rsidRPr="00755D97">
        <w:rPr>
          <w:rFonts w:ascii="Roboto" w:eastAsia="Yu Gothic Light" w:hAnsi="Roboto" w:cs="Times New Roman"/>
          <w:b/>
          <w:color w:val="545A60"/>
          <w:sz w:val="21"/>
        </w:rPr>
        <w:t>indings</w:t>
      </w:r>
      <w:bookmarkEnd w:id="406"/>
      <w:bookmarkEnd w:id="407"/>
      <w:bookmarkEnd w:id="408"/>
      <w:bookmarkEnd w:id="409"/>
      <w:bookmarkEnd w:id="410"/>
    </w:p>
    <w:p w14:paraId="6B0CB286" w14:textId="77777777" w:rsidR="00EE41ED" w:rsidRPr="000C4DD7" w:rsidRDefault="00EE41ED" w:rsidP="00EE41ED">
      <w:pPr>
        <w:spacing w:after="0"/>
        <w:rPr>
          <w:rFonts w:ascii="Roboto-Bold" w:eastAsia="Calibri" w:hAnsi="Roboto-Bold"/>
          <w:color w:val="5B626C"/>
        </w:rPr>
      </w:pPr>
      <w:r w:rsidRPr="000C4DD7">
        <w:rPr>
          <w:rFonts w:ascii="Roboto-Bold" w:eastAsia="Calibri" w:hAnsi="Roboto-Bold"/>
          <w:color w:val="5B626C"/>
        </w:rPr>
        <w:t>Whole of population</w:t>
      </w:r>
    </w:p>
    <w:p w14:paraId="6129A0FC" w14:textId="53590B81" w:rsidR="00EE41ED" w:rsidRPr="00121A20" w:rsidRDefault="00EE41ED" w:rsidP="00EE41ED">
      <w:pPr>
        <w:rPr>
          <w:rFonts w:eastAsia="Calibri"/>
        </w:rPr>
      </w:pPr>
      <w:r>
        <w:rPr>
          <w:rFonts w:eastAsia="Calibri"/>
        </w:rPr>
        <w:t xml:space="preserve">Overall, 16.4% of people in Australia aged 15 years and over reported feeling lonely in 2022. As seen in </w:t>
      </w:r>
      <w:r w:rsidR="00851183">
        <w:rPr>
          <w:rFonts w:eastAsia="Calibri"/>
        </w:rPr>
        <w:t>F</w:t>
      </w:r>
      <w:r>
        <w:rPr>
          <w:rFonts w:eastAsia="Calibri"/>
        </w:rPr>
        <w:t>igure A12, this proportion is slightly higher than previous years, albeit not significantly different (2011: 15.2%, 2015: 15%, 2019:</w:t>
      </w:r>
      <w:r w:rsidDel="00243650">
        <w:rPr>
          <w:rFonts w:eastAsia="Calibri"/>
        </w:rPr>
        <w:t xml:space="preserve"> </w:t>
      </w:r>
      <w:r>
        <w:rPr>
          <w:rFonts w:eastAsia="Calibri"/>
        </w:rPr>
        <w:t xml:space="preserve">15.6%). </w:t>
      </w:r>
    </w:p>
    <w:p w14:paraId="1511C961" w14:textId="77777777" w:rsidR="00EE41ED" w:rsidRDefault="00EE41ED" w:rsidP="009A2262">
      <w:pPr>
        <w:spacing w:after="120"/>
        <w:outlineLvl w:val="3"/>
        <w:rPr>
          <w:rFonts w:ascii="Roboto" w:eastAsia="Calibri" w:hAnsi="Roboto"/>
          <w:color w:val="5B626C"/>
        </w:rPr>
      </w:pPr>
      <w:r w:rsidRPr="00755D97">
        <w:rPr>
          <w:rFonts w:ascii="Roboto" w:eastAsia="Calibri" w:hAnsi="Roboto"/>
          <w:color w:val="008143"/>
        </w:rPr>
        <w:t xml:space="preserve">Figure </w:t>
      </w:r>
      <w:r>
        <w:rPr>
          <w:rFonts w:ascii="Roboto" w:eastAsia="Calibri" w:hAnsi="Roboto"/>
          <w:color w:val="008143"/>
        </w:rPr>
        <w:t>A12</w:t>
      </w:r>
      <w:r w:rsidRPr="00755D97">
        <w:rPr>
          <w:rFonts w:ascii="Roboto" w:eastAsia="Calibri" w:hAnsi="Roboto"/>
          <w:color w:val="008143"/>
        </w:rPr>
        <w:t xml:space="preserve">. </w:t>
      </w:r>
      <w:r>
        <w:rPr>
          <w:rFonts w:ascii="Roboto" w:eastAsia="Calibri" w:hAnsi="Roboto"/>
          <w:color w:val="5B626C"/>
        </w:rPr>
        <w:t>Proportion of people in Australia aged 15 and over</w:t>
      </w:r>
      <w:r w:rsidDel="000C75A0">
        <w:rPr>
          <w:rFonts w:ascii="Roboto" w:eastAsia="Calibri" w:hAnsi="Roboto"/>
          <w:color w:val="5B626C"/>
        </w:rPr>
        <w:t xml:space="preserve"> </w:t>
      </w:r>
      <w:r>
        <w:rPr>
          <w:rFonts w:ascii="Roboto" w:eastAsia="Calibri" w:hAnsi="Roboto"/>
          <w:color w:val="5B626C"/>
        </w:rPr>
        <w:t>who reported feeling lonely, 2011-2022</w:t>
      </w:r>
    </w:p>
    <w:p w14:paraId="3F57E8BB" w14:textId="3DF3A0D6" w:rsidR="003F4001" w:rsidRDefault="00713CE3" w:rsidP="008C4100">
      <w:pPr>
        <w:outlineLvl w:val="3"/>
        <w:rPr>
          <w:rFonts w:eastAsia="Calibri"/>
        </w:rPr>
      </w:pPr>
      <w:r>
        <w:rPr>
          <w:noProof/>
        </w:rPr>
        <w:drawing>
          <wp:inline distT="0" distB="0" distL="0" distR="0" wp14:anchorId="615AD48C" wp14:editId="3493D045">
            <wp:extent cx="6115050" cy="3457575"/>
            <wp:effectExtent l="0" t="0" r="0" b="9525"/>
            <wp:docPr id="1620931276" name="Graphic 1620931276" descr="The content of this figure is described in the text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931276" name="Graphic 1620931276" descr="The content of this figure is described in the text above. "/>
                    <pic:cNvPicPr/>
                  </pic:nvPicPr>
                  <pic:blipFill>
                    <a:blip r:embed="rId72">
                      <a:extLst>
                        <a:ext uri="{96DAC541-7B7A-43D3-8B79-37D633B846F1}">
                          <asvg:svgBlip xmlns:asvg="http://schemas.microsoft.com/office/drawing/2016/SVG/main" r:embed="rId73"/>
                        </a:ext>
                      </a:extLst>
                    </a:blip>
                    <a:stretch>
                      <a:fillRect/>
                    </a:stretch>
                  </pic:blipFill>
                  <pic:spPr>
                    <a:xfrm>
                      <a:off x="0" y="0"/>
                      <a:ext cx="6115050" cy="3457575"/>
                    </a:xfrm>
                    <a:prstGeom prst="rect">
                      <a:avLst/>
                    </a:prstGeom>
                  </pic:spPr>
                </pic:pic>
              </a:graphicData>
            </a:graphic>
          </wp:inline>
        </w:drawing>
      </w:r>
    </w:p>
    <w:p w14:paraId="2173851D" w14:textId="77777777" w:rsidR="00EE41ED" w:rsidRPr="000C4DD7" w:rsidRDefault="00EE41ED" w:rsidP="006A0232">
      <w:pPr>
        <w:spacing w:before="120" w:after="0"/>
        <w:rPr>
          <w:rFonts w:ascii="Roboto-Bold" w:eastAsia="Calibri" w:hAnsi="Roboto-Bold"/>
          <w:color w:val="5B626C"/>
        </w:rPr>
      </w:pPr>
      <w:r w:rsidRPr="000C4DD7">
        <w:rPr>
          <w:rFonts w:ascii="Roboto-Bold" w:eastAsia="Calibri" w:hAnsi="Roboto-Bold"/>
          <w:color w:val="5B626C"/>
        </w:rPr>
        <w:lastRenderedPageBreak/>
        <w:t>Lived Experience</w:t>
      </w:r>
    </w:p>
    <w:p w14:paraId="67C666F9" w14:textId="77777777" w:rsidR="00EE41ED" w:rsidRPr="008A475E" w:rsidRDefault="00EE41ED" w:rsidP="00EE41ED">
      <w:pPr>
        <w:rPr>
          <w:rFonts w:ascii="Roboto" w:eastAsia="Yu Gothic Light" w:hAnsi="Roboto" w:cs="Times New Roman"/>
          <w:b/>
          <w:color w:val="545A60"/>
          <w:szCs w:val="20"/>
        </w:rPr>
      </w:pPr>
      <w:r>
        <w:rPr>
          <w:rFonts w:eastAsia="Calibri"/>
        </w:rPr>
        <w:t xml:space="preserve">Among people in Australia aged 15 and over with a long-term mental health condition, 34.0% reported feeling lonely in 2022. This proportion is </w:t>
      </w:r>
      <w:proofErr w:type="gramStart"/>
      <w:r>
        <w:rPr>
          <w:rFonts w:eastAsia="Calibri"/>
        </w:rPr>
        <w:t>similar to</w:t>
      </w:r>
      <w:proofErr w:type="gramEnd"/>
      <w:r>
        <w:rPr>
          <w:rFonts w:eastAsia="Calibri"/>
        </w:rPr>
        <w:t xml:space="preserve"> previous years (2011: 36.2%, 2015: 40.5%, 2019: 35.4%) and is more than double the rate observed for the whole population. </w:t>
      </w:r>
    </w:p>
    <w:p w14:paraId="41695C90" w14:textId="1A1B2E28" w:rsidR="00EE41ED" w:rsidRPr="00755D97" w:rsidRDefault="00EE41ED" w:rsidP="00EE41ED">
      <w:pPr>
        <w:rPr>
          <w:rFonts w:ascii="Roboto" w:eastAsia="Calibri" w:hAnsi="Roboto"/>
          <w:color w:val="5B626C"/>
        </w:rPr>
      </w:pPr>
      <w:r>
        <w:rPr>
          <w:rFonts w:eastAsia="Calibri"/>
          <w:lang w:val="en-AU"/>
        </w:rPr>
        <w:t xml:space="preserve">In 2022, </w:t>
      </w:r>
      <w:proofErr w:type="gramStart"/>
      <w:r>
        <w:rPr>
          <w:rFonts w:eastAsia="Calibri"/>
          <w:lang w:val="en-AU"/>
        </w:rPr>
        <w:t>similar to</w:t>
      </w:r>
      <w:proofErr w:type="gramEnd"/>
      <w:r>
        <w:rPr>
          <w:rFonts w:eastAsia="Calibri"/>
          <w:lang w:val="en-AU"/>
        </w:rPr>
        <w:t xml:space="preserve"> previous years, p</w:t>
      </w:r>
      <w:r w:rsidRPr="00CC23AC">
        <w:rPr>
          <w:rFonts w:eastAsia="Calibri"/>
          <w:lang w:val="en-AU"/>
        </w:rPr>
        <w:t>eople who reported being diagnosed with a long-term health condition, disability or impairment</w:t>
      </w:r>
      <w:r>
        <w:rPr>
          <w:rFonts w:eastAsia="Calibri"/>
          <w:lang w:val="en-AU"/>
        </w:rPr>
        <w:t xml:space="preserve"> were more likely to report feeling lonely (20.4%) compared to people who did not (</w:t>
      </w:r>
      <w:r w:rsidRPr="00A86E74">
        <w:rPr>
          <w:rFonts w:eastAsia="Calibri"/>
          <w:lang w:val="en-AU"/>
        </w:rPr>
        <w:t>13.1%</w:t>
      </w:r>
      <w:r>
        <w:rPr>
          <w:rFonts w:eastAsia="Calibri"/>
          <w:lang w:val="en-AU"/>
        </w:rPr>
        <w:t xml:space="preserve">). However, rates were not as high as </w:t>
      </w:r>
      <w:r w:rsidR="00A871B2">
        <w:rPr>
          <w:rFonts w:eastAsia="Calibri"/>
          <w:lang w:val="en-AU"/>
        </w:rPr>
        <w:t xml:space="preserve">those </w:t>
      </w:r>
      <w:r>
        <w:rPr>
          <w:rFonts w:eastAsia="Calibri"/>
          <w:lang w:val="en-AU"/>
        </w:rPr>
        <w:t xml:space="preserve">observed for people with a long-term mental health condition. </w:t>
      </w:r>
    </w:p>
    <w:p w14:paraId="0210CEB1" w14:textId="77777777" w:rsidR="00EE41ED" w:rsidRPr="00755D97" w:rsidRDefault="00EE41ED" w:rsidP="00EE41ED">
      <w:pPr>
        <w:keepNext/>
        <w:keepLines/>
        <w:spacing w:before="60" w:after="60"/>
        <w:outlineLvl w:val="2"/>
        <w:rPr>
          <w:rFonts w:ascii="Roboto" w:eastAsia="Yu Gothic Light" w:hAnsi="Roboto" w:cs="Times New Roman"/>
          <w:b/>
          <w:color w:val="545A60"/>
          <w:sz w:val="21"/>
        </w:rPr>
      </w:pPr>
      <w:bookmarkStart w:id="411" w:name="_Toc164671364"/>
      <w:bookmarkStart w:id="412" w:name="_Toc164671634"/>
      <w:bookmarkStart w:id="413" w:name="_Toc169018658"/>
      <w:bookmarkStart w:id="414" w:name="_Toc169189110"/>
      <w:bookmarkStart w:id="415" w:name="_Toc169692912"/>
      <w:r w:rsidRPr="00755D97">
        <w:rPr>
          <w:rFonts w:ascii="Roboto" w:eastAsia="Yu Gothic Light" w:hAnsi="Roboto" w:cs="Times New Roman"/>
          <w:b/>
          <w:color w:val="545A60"/>
          <w:sz w:val="21"/>
        </w:rPr>
        <w:t>How do these findings differ between groups?</w:t>
      </w:r>
      <w:bookmarkEnd w:id="411"/>
      <w:bookmarkEnd w:id="412"/>
      <w:bookmarkEnd w:id="413"/>
      <w:bookmarkEnd w:id="414"/>
      <w:bookmarkEnd w:id="415"/>
    </w:p>
    <w:p w14:paraId="59D60FA0" w14:textId="77777777" w:rsidR="00EE41ED" w:rsidRPr="000C4DD7" w:rsidRDefault="00EE41ED" w:rsidP="00EE41ED">
      <w:pPr>
        <w:spacing w:after="0"/>
        <w:rPr>
          <w:rFonts w:ascii="Roboto-Bold" w:eastAsia="Calibri" w:hAnsi="Roboto-Bold"/>
          <w:color w:val="5B626C"/>
        </w:rPr>
      </w:pPr>
      <w:r w:rsidRPr="000C4DD7">
        <w:rPr>
          <w:rFonts w:ascii="Roboto-Bold" w:eastAsia="Calibri" w:hAnsi="Roboto-Bold"/>
          <w:color w:val="5B626C"/>
        </w:rPr>
        <w:t>Whole of population</w:t>
      </w:r>
    </w:p>
    <w:p w14:paraId="0422573B" w14:textId="77777777" w:rsidR="00EE41ED" w:rsidRDefault="00EE41ED" w:rsidP="00EE41ED">
      <w:pPr>
        <w:rPr>
          <w:rFonts w:eastAsia="Calibri"/>
          <w:lang w:val="en-AU"/>
        </w:rPr>
      </w:pPr>
      <w:r>
        <w:rPr>
          <w:rFonts w:eastAsia="Calibri"/>
          <w:lang w:val="en-AU"/>
        </w:rPr>
        <w:t>In 2022, across the whole population, a similar proportion of males (16.3%) and females (16.5%) reported feeling lonely. When comparing proportions across age groups, there was also limited variation. The lowest rate of people feeling lonely was observed for people aged 65 years and over (16.0%) and the highest was for people aged 35-64 years (16.7%).</w:t>
      </w:r>
    </w:p>
    <w:p w14:paraId="34791E58" w14:textId="77777777" w:rsidR="00EE41ED" w:rsidRPr="00121A20" w:rsidRDefault="00EE41ED" w:rsidP="00EE41ED">
      <w:pPr>
        <w:rPr>
          <w:rFonts w:eastAsia="Calibri"/>
          <w:lang w:val="en-AU"/>
        </w:rPr>
      </w:pPr>
      <w:r w:rsidRPr="003545E5">
        <w:rPr>
          <w:rFonts w:eastAsia="Calibri"/>
          <w:lang w:val="en-AU"/>
        </w:rPr>
        <w:t>There was no consistent pattern in terms of the difference in the proportion reporting loneliness between males and females and age groups over time.</w:t>
      </w:r>
    </w:p>
    <w:p w14:paraId="258DDA61" w14:textId="77777777" w:rsidR="00EE41ED" w:rsidRPr="000C4DD7" w:rsidRDefault="00EE41ED" w:rsidP="00EE41ED">
      <w:pPr>
        <w:spacing w:after="0"/>
        <w:rPr>
          <w:rFonts w:ascii="Roboto-Bold" w:eastAsia="Calibri" w:hAnsi="Roboto-Bold"/>
          <w:color w:val="5B626C"/>
        </w:rPr>
      </w:pPr>
      <w:r w:rsidRPr="000C4DD7">
        <w:rPr>
          <w:rFonts w:ascii="Roboto-Bold" w:eastAsia="Calibri" w:hAnsi="Roboto-Bold"/>
          <w:color w:val="5B626C"/>
        </w:rPr>
        <w:t>Lived Experience</w:t>
      </w:r>
    </w:p>
    <w:p w14:paraId="4DFF8EDC" w14:textId="438FA155" w:rsidR="00EE41ED" w:rsidRDefault="00EE41ED" w:rsidP="00EE41ED">
      <w:pPr>
        <w:rPr>
          <w:rFonts w:eastAsia="Calibri"/>
        </w:rPr>
      </w:pPr>
      <w:r>
        <w:rPr>
          <w:rFonts w:eastAsia="Calibri"/>
        </w:rPr>
        <w:t xml:space="preserve">Compared to the relatively uniform findings for the whole population, there was a greater degree of variation across age groups and sexes for people with a long-term mental health condition who reported loneliness. These differences were not found to be statistically </w:t>
      </w:r>
      <w:r w:rsidR="00CE7070">
        <w:rPr>
          <w:rFonts w:eastAsia="Calibri"/>
        </w:rPr>
        <w:t xml:space="preserve">significant </w:t>
      </w:r>
      <w:r>
        <w:rPr>
          <w:rFonts w:eastAsia="Calibri"/>
        </w:rPr>
        <w:t xml:space="preserve">due to the smaller sample sizes involved. </w:t>
      </w:r>
    </w:p>
    <w:p w14:paraId="60185CAB" w14:textId="1A2273ED" w:rsidR="00EE41ED" w:rsidRPr="00755D97" w:rsidRDefault="00EE41ED" w:rsidP="00EE41ED">
      <w:pPr>
        <w:rPr>
          <w:rFonts w:eastAsia="Calibri"/>
        </w:rPr>
      </w:pPr>
      <w:r>
        <w:rPr>
          <w:rFonts w:eastAsia="Calibri"/>
        </w:rPr>
        <w:t xml:space="preserve">In 2022, among people with a long-term mental health condition, 39.9% of males and 30.1% of females reported feeling lonely. These proportions are </w:t>
      </w:r>
      <w:proofErr w:type="gramStart"/>
      <w:r>
        <w:rPr>
          <w:rFonts w:eastAsia="Calibri"/>
        </w:rPr>
        <w:t>similar to</w:t>
      </w:r>
      <w:proofErr w:type="gramEnd"/>
      <w:r>
        <w:rPr>
          <w:rFonts w:eastAsia="Calibri"/>
        </w:rPr>
        <w:t xml:space="preserve"> those observed in 2011</w:t>
      </w:r>
      <w:r w:rsidR="00087203">
        <w:rPr>
          <w:rFonts w:eastAsia="Calibri"/>
        </w:rPr>
        <w:t xml:space="preserve"> (Males: </w:t>
      </w:r>
      <w:r w:rsidR="00A579A1">
        <w:rPr>
          <w:rFonts w:eastAsia="Calibri"/>
        </w:rPr>
        <w:t>33.9</w:t>
      </w:r>
      <w:r w:rsidR="00087203">
        <w:rPr>
          <w:rFonts w:eastAsia="Calibri"/>
        </w:rPr>
        <w:t xml:space="preserve">%, Females: </w:t>
      </w:r>
      <w:r w:rsidR="00374EF7">
        <w:rPr>
          <w:rFonts w:eastAsia="Calibri"/>
        </w:rPr>
        <w:t>38.2</w:t>
      </w:r>
      <w:r w:rsidR="00087203">
        <w:rPr>
          <w:rFonts w:eastAsia="Calibri"/>
        </w:rPr>
        <w:t>%)</w:t>
      </w:r>
      <w:r>
        <w:rPr>
          <w:rFonts w:eastAsia="Calibri"/>
        </w:rPr>
        <w:t>, 2015</w:t>
      </w:r>
      <w:r w:rsidR="00087203">
        <w:rPr>
          <w:rFonts w:eastAsia="Calibri"/>
        </w:rPr>
        <w:t xml:space="preserve"> (Males: </w:t>
      </w:r>
      <w:r w:rsidR="00091C7A">
        <w:rPr>
          <w:rFonts w:eastAsia="Calibri"/>
        </w:rPr>
        <w:t>45.7</w:t>
      </w:r>
      <w:r w:rsidR="00087203">
        <w:rPr>
          <w:rFonts w:eastAsia="Calibri"/>
        </w:rPr>
        <w:t xml:space="preserve">%, Females: </w:t>
      </w:r>
      <w:r w:rsidR="00917CB3">
        <w:rPr>
          <w:rFonts w:eastAsia="Calibri"/>
        </w:rPr>
        <w:t>36.1</w:t>
      </w:r>
      <w:r w:rsidR="00087203">
        <w:rPr>
          <w:rFonts w:eastAsia="Calibri"/>
        </w:rPr>
        <w:t>%)</w:t>
      </w:r>
      <w:r>
        <w:rPr>
          <w:rFonts w:eastAsia="Calibri"/>
        </w:rPr>
        <w:t xml:space="preserve"> and 2019</w:t>
      </w:r>
      <w:r w:rsidR="00087203">
        <w:rPr>
          <w:rFonts w:eastAsia="Calibri"/>
        </w:rPr>
        <w:t xml:space="preserve"> (Males: </w:t>
      </w:r>
      <w:r w:rsidR="004B7EFE">
        <w:rPr>
          <w:rFonts w:eastAsia="Calibri"/>
        </w:rPr>
        <w:t>33.2</w:t>
      </w:r>
      <w:r w:rsidR="00087203">
        <w:rPr>
          <w:rFonts w:eastAsia="Calibri"/>
        </w:rPr>
        <w:t xml:space="preserve">%, Females: </w:t>
      </w:r>
      <w:r w:rsidR="00A36BFA">
        <w:rPr>
          <w:rFonts w:eastAsia="Calibri"/>
        </w:rPr>
        <w:t>36.9</w:t>
      </w:r>
      <w:r w:rsidR="00087203">
        <w:rPr>
          <w:rFonts w:eastAsia="Calibri"/>
        </w:rPr>
        <w:t>%)</w:t>
      </w:r>
      <w:r>
        <w:rPr>
          <w:rFonts w:eastAsia="Calibri"/>
        </w:rPr>
        <w:t>. In</w:t>
      </w:r>
      <w:r w:rsidR="00B049B0">
        <w:rPr>
          <w:rFonts w:eastAsia="Calibri"/>
        </w:rPr>
        <w:t xml:space="preserve"> </w:t>
      </w:r>
      <w:r>
        <w:rPr>
          <w:rFonts w:eastAsia="Calibri"/>
        </w:rPr>
        <w:t>2022, the highest rate of people feeling lonely was for the 35-64 years age group (35.8%), followed by the 15-34 years aged group (33.4%) and the 65</w:t>
      </w:r>
      <w:r w:rsidR="008617DB">
        <w:rPr>
          <w:rFonts w:eastAsia="Calibri"/>
        </w:rPr>
        <w:t> </w:t>
      </w:r>
      <w:r>
        <w:rPr>
          <w:rFonts w:eastAsia="Calibri"/>
        </w:rPr>
        <w:t>years and over age group (28.8%).</w:t>
      </w:r>
    </w:p>
    <w:p w14:paraId="21A808A7" w14:textId="77777777" w:rsidR="00EE41ED" w:rsidRPr="00755D97" w:rsidRDefault="00EE41ED" w:rsidP="00BD77E3">
      <w:pPr>
        <w:keepLines/>
        <w:spacing w:before="480" w:after="60"/>
        <w:outlineLvl w:val="1"/>
        <w:rPr>
          <w:rFonts w:ascii="Roboto-Bold" w:eastAsia="Yu Gothic Light" w:hAnsi="Roboto-Bold" w:cs="Times New Roman"/>
          <w:color w:val="008143"/>
          <w:sz w:val="26"/>
          <w:szCs w:val="26"/>
        </w:rPr>
      </w:pPr>
      <w:bookmarkStart w:id="416" w:name="_Toc164671365"/>
      <w:bookmarkStart w:id="417" w:name="_Toc164671635"/>
      <w:bookmarkStart w:id="418" w:name="_Toc169018659"/>
      <w:bookmarkStart w:id="419" w:name="_Toc169189111"/>
      <w:bookmarkStart w:id="420" w:name="_Toc169692913"/>
      <w:r w:rsidRPr="00755D97">
        <w:rPr>
          <w:rFonts w:ascii="Roboto-Bold" w:eastAsia="Yu Gothic Light" w:hAnsi="Roboto-Bold" w:cs="Times New Roman"/>
          <w:color w:val="008143"/>
          <w:sz w:val="26"/>
          <w:szCs w:val="26"/>
        </w:rPr>
        <w:t>Technical information</w:t>
      </w:r>
      <w:bookmarkEnd w:id="416"/>
      <w:bookmarkEnd w:id="417"/>
      <w:bookmarkEnd w:id="418"/>
      <w:bookmarkEnd w:id="419"/>
      <w:bookmarkEnd w:id="420"/>
    </w:p>
    <w:p w14:paraId="4660C429" w14:textId="77777777" w:rsidR="00EE41ED" w:rsidRDefault="00EE41ED" w:rsidP="00CE7070">
      <w:pPr>
        <w:keepLines/>
        <w:spacing w:before="120" w:after="60"/>
        <w:outlineLvl w:val="2"/>
        <w:rPr>
          <w:rFonts w:ascii="Roboto" w:eastAsia="Yu Gothic Light" w:hAnsi="Roboto" w:cs="Times New Roman"/>
          <w:b/>
          <w:color w:val="545A60"/>
          <w:sz w:val="21"/>
        </w:rPr>
      </w:pPr>
      <w:bookmarkStart w:id="421" w:name="_Toc169018660"/>
      <w:bookmarkStart w:id="422" w:name="_Toc169189112"/>
      <w:bookmarkStart w:id="423" w:name="_Toc169692914"/>
      <w:r w:rsidRPr="00755D97">
        <w:rPr>
          <w:rFonts w:ascii="Roboto" w:eastAsia="Yu Gothic Light" w:hAnsi="Roboto" w:cs="Times New Roman"/>
          <w:b/>
          <w:color w:val="545A60"/>
          <w:sz w:val="21"/>
        </w:rPr>
        <w:t>Source</w:t>
      </w:r>
      <w:bookmarkEnd w:id="421"/>
      <w:bookmarkEnd w:id="422"/>
      <w:bookmarkEnd w:id="423"/>
    </w:p>
    <w:p w14:paraId="553AB083" w14:textId="74D30615" w:rsidR="003604BD" w:rsidRPr="00CE7070" w:rsidRDefault="00EE41ED" w:rsidP="00CE7070">
      <w:pPr>
        <w:rPr>
          <w:rFonts w:eastAsia="Calibri"/>
        </w:rPr>
      </w:pPr>
      <w:r w:rsidRPr="00456D62">
        <w:rPr>
          <w:rFonts w:eastAsia="Calibri"/>
        </w:rPr>
        <w:t>Melbourne Institute</w:t>
      </w:r>
      <w:r w:rsidR="004B35B7">
        <w:rPr>
          <w:rFonts w:eastAsia="Calibri"/>
        </w:rPr>
        <w:t xml:space="preserve"> of Applied </w:t>
      </w:r>
      <w:r w:rsidR="0056372C">
        <w:rPr>
          <w:rFonts w:eastAsia="Calibri"/>
        </w:rPr>
        <w:t>Economic and Social Research</w:t>
      </w:r>
      <w:r w:rsidRPr="00456D62" w:rsidDel="003604BD">
        <w:rPr>
          <w:rFonts w:eastAsia="Calibri"/>
        </w:rPr>
        <w:t>.</w:t>
      </w:r>
      <w:r w:rsidRPr="00456D62">
        <w:rPr>
          <w:rFonts w:eastAsia="Calibri"/>
        </w:rPr>
        <w:t xml:space="preserve"> </w:t>
      </w:r>
      <w:r w:rsidRPr="007D08C6">
        <w:rPr>
          <w:rFonts w:eastAsia="Calibri"/>
          <w:i/>
        </w:rPr>
        <w:t>The Household, Income and Labour Dynamics in Australia Survey (HILDA), Waves 8-20</w:t>
      </w:r>
      <w:r w:rsidR="007D08C6">
        <w:rPr>
          <w:rFonts w:eastAsia="Calibri"/>
        </w:rPr>
        <w:t>.</w:t>
      </w:r>
    </w:p>
    <w:p w14:paraId="32E3F749" w14:textId="77777777" w:rsidR="00EE41ED" w:rsidRDefault="00EE41ED" w:rsidP="00CE7070">
      <w:pPr>
        <w:keepLines/>
        <w:spacing w:before="120" w:after="60"/>
        <w:outlineLvl w:val="2"/>
        <w:rPr>
          <w:rFonts w:ascii="Roboto" w:eastAsia="Yu Gothic Light" w:hAnsi="Roboto" w:cs="Times New Roman"/>
          <w:b/>
          <w:color w:val="545A60"/>
          <w:sz w:val="21"/>
        </w:rPr>
      </w:pPr>
      <w:bookmarkStart w:id="424" w:name="_Toc169018661"/>
      <w:bookmarkStart w:id="425" w:name="_Toc169189113"/>
      <w:bookmarkStart w:id="426" w:name="_Toc169692915"/>
      <w:r w:rsidRPr="00755D97">
        <w:rPr>
          <w:rFonts w:ascii="Roboto" w:eastAsia="Yu Gothic Light" w:hAnsi="Roboto" w:cs="Times New Roman"/>
          <w:b/>
          <w:color w:val="545A60"/>
          <w:sz w:val="21"/>
        </w:rPr>
        <w:t>Frequency of data collection</w:t>
      </w:r>
      <w:bookmarkEnd w:id="424"/>
      <w:bookmarkEnd w:id="425"/>
      <w:bookmarkEnd w:id="426"/>
    </w:p>
    <w:p w14:paraId="6E928A60" w14:textId="5E790DBD" w:rsidR="00EE41ED" w:rsidRPr="00CE7070" w:rsidRDefault="00EE41ED" w:rsidP="00CE7070">
      <w:pPr>
        <w:rPr>
          <w:rFonts w:eastAsia="Calibri"/>
        </w:rPr>
      </w:pPr>
      <w:r w:rsidRPr="00456D62">
        <w:rPr>
          <w:rFonts w:eastAsia="Calibri"/>
        </w:rPr>
        <w:t>Annually</w:t>
      </w:r>
      <w:r w:rsidR="00994E23">
        <w:rPr>
          <w:rFonts w:eastAsia="Calibri"/>
        </w:rPr>
        <w:t>.</w:t>
      </w:r>
    </w:p>
    <w:p w14:paraId="06D3836F" w14:textId="77777777" w:rsidR="00EE41ED" w:rsidRDefault="00EE41ED" w:rsidP="00CE7070">
      <w:pPr>
        <w:keepLines/>
        <w:spacing w:before="120" w:after="60"/>
        <w:outlineLvl w:val="2"/>
        <w:rPr>
          <w:rFonts w:ascii="Roboto" w:eastAsia="Yu Gothic Light" w:hAnsi="Roboto" w:cs="Times New Roman"/>
          <w:b/>
          <w:color w:val="545A60"/>
          <w:sz w:val="21"/>
        </w:rPr>
      </w:pPr>
      <w:bookmarkStart w:id="427" w:name="_Toc169018662"/>
      <w:bookmarkStart w:id="428" w:name="_Toc169189114"/>
      <w:bookmarkStart w:id="429" w:name="_Toc169692916"/>
      <w:r w:rsidRPr="00755D97">
        <w:rPr>
          <w:rFonts w:ascii="Roboto" w:eastAsia="Yu Gothic Light" w:hAnsi="Roboto" w:cs="Times New Roman"/>
          <w:b/>
          <w:color w:val="545A60"/>
          <w:sz w:val="21"/>
        </w:rPr>
        <w:t>Limitations</w:t>
      </w:r>
      <w:bookmarkEnd w:id="427"/>
      <w:bookmarkEnd w:id="428"/>
      <w:bookmarkEnd w:id="429"/>
    </w:p>
    <w:p w14:paraId="7B65E4DB" w14:textId="77777777" w:rsidR="00EE41ED" w:rsidRPr="00CE7070" w:rsidRDefault="00EE41ED" w:rsidP="00A2282F">
      <w:pPr>
        <w:pStyle w:val="ListParagraph"/>
        <w:numPr>
          <w:ilvl w:val="0"/>
          <w:numId w:val="44"/>
        </w:numPr>
        <w:rPr>
          <w:rFonts w:eastAsia="Calibri"/>
        </w:rPr>
      </w:pPr>
      <w:r w:rsidRPr="00CE7070">
        <w:rPr>
          <w:rFonts w:eastAsia="Calibri"/>
        </w:rPr>
        <w:t xml:space="preserve">The smaller sample size for people with a long-term mental health condition reduces the chance of detecting statistically significant findings. </w:t>
      </w:r>
    </w:p>
    <w:p w14:paraId="0F0993DB" w14:textId="77777777" w:rsidR="00EE41ED" w:rsidRDefault="00EE41ED" w:rsidP="00CE7070">
      <w:pPr>
        <w:keepLines/>
        <w:spacing w:before="120" w:after="60"/>
        <w:outlineLvl w:val="2"/>
        <w:rPr>
          <w:rFonts w:ascii="Roboto" w:eastAsia="Yu Gothic Light" w:hAnsi="Roboto" w:cs="Times New Roman"/>
          <w:b/>
          <w:color w:val="545A60"/>
          <w:sz w:val="21"/>
        </w:rPr>
      </w:pPr>
      <w:bookmarkStart w:id="430" w:name="_Toc169018663"/>
      <w:bookmarkStart w:id="431" w:name="_Toc169189115"/>
      <w:bookmarkStart w:id="432" w:name="_Toc169692917"/>
      <w:r w:rsidRPr="00755D97">
        <w:rPr>
          <w:rFonts w:ascii="Roboto" w:eastAsia="Yu Gothic Light" w:hAnsi="Roboto" w:cs="Times New Roman"/>
          <w:b/>
          <w:color w:val="545A60"/>
          <w:sz w:val="21"/>
        </w:rPr>
        <w:t>Additional notes</w:t>
      </w:r>
      <w:bookmarkEnd w:id="430"/>
      <w:bookmarkEnd w:id="431"/>
      <w:bookmarkEnd w:id="432"/>
    </w:p>
    <w:p w14:paraId="7D79FA6B" w14:textId="51A386C9" w:rsidR="00EE41ED" w:rsidRPr="00D35222" w:rsidRDefault="00EE41ED" w:rsidP="004B1620">
      <w:pPr>
        <w:pStyle w:val="ListParagraph"/>
        <w:numPr>
          <w:ilvl w:val="0"/>
          <w:numId w:val="57"/>
        </w:numPr>
        <w:rPr>
          <w:rFonts w:eastAsia="Calibri"/>
        </w:rPr>
      </w:pPr>
      <w:r w:rsidRPr="00D35222">
        <w:rPr>
          <w:rFonts w:eastAsia="Calibri"/>
        </w:rPr>
        <w:t>Data is collected using a 3-item scale (‘People don’t come to visit me as often as I would like’, ‘I often need help from other people but can’t get it’, and ‘I often feel very lonely’), as opposed to the single item ‘I often feel very lonely’, which can be affected by stigma associated with loneliness.</w:t>
      </w:r>
      <w:r w:rsidRPr="00D35A3B">
        <w:rPr>
          <w:vertAlign w:val="superscript"/>
        </w:rPr>
        <w:footnoteReference w:id="28"/>
      </w:r>
      <w:r w:rsidRPr="00D35222" w:rsidDel="005A5687">
        <w:rPr>
          <w:rFonts w:eastAsia="Calibri"/>
        </w:rPr>
        <w:t xml:space="preserve"> </w:t>
      </w:r>
    </w:p>
    <w:p w14:paraId="4B88CE1C" w14:textId="09D8D25A" w:rsidR="00EE41ED" w:rsidRPr="00D35222" w:rsidRDefault="00EE41ED" w:rsidP="004B1620">
      <w:pPr>
        <w:pStyle w:val="ListParagraph"/>
        <w:numPr>
          <w:ilvl w:val="0"/>
          <w:numId w:val="57"/>
        </w:numPr>
        <w:rPr>
          <w:rFonts w:eastAsia="Calibri"/>
        </w:rPr>
      </w:pPr>
      <w:r w:rsidRPr="00D35222">
        <w:rPr>
          <w:rFonts w:eastAsia="Calibri"/>
        </w:rPr>
        <w:lastRenderedPageBreak/>
        <w:t>In the HILDA survey, people with a long-term mental health condition refers to respondents who indicated they had a nervous or emotional condition which requires treatment or/and any mental illness which requires help or supervision and has lasted</w:t>
      </w:r>
      <w:r w:rsidR="008709DD">
        <w:rPr>
          <w:rFonts w:eastAsia="Calibri"/>
        </w:rPr>
        <w:t>,</w:t>
      </w:r>
      <w:r w:rsidRPr="00D35222">
        <w:rPr>
          <w:rFonts w:eastAsia="Calibri"/>
        </w:rPr>
        <w:t xml:space="preserve"> or is likely to last, for 6 months or more.</w:t>
      </w:r>
    </w:p>
    <w:p w14:paraId="1AFAE3DB" w14:textId="3BCB379C" w:rsidR="00EE41ED" w:rsidRDefault="00EE41ED" w:rsidP="004B1620">
      <w:pPr>
        <w:pStyle w:val="ListParagraph"/>
        <w:numPr>
          <w:ilvl w:val="0"/>
          <w:numId w:val="57"/>
        </w:numPr>
        <w:rPr>
          <w:rFonts w:eastAsia="Calibri"/>
        </w:rPr>
      </w:pPr>
      <w:r w:rsidRPr="00D35222">
        <w:rPr>
          <w:rFonts w:eastAsia="Calibri"/>
        </w:rPr>
        <w:t>Some proportions may not add up to 100% due to number perturbation implemented by the data source owner.</w:t>
      </w:r>
    </w:p>
    <w:p w14:paraId="229807BF" w14:textId="37A9322C" w:rsidR="008C4100" w:rsidRPr="00D35222" w:rsidRDefault="008C4100" w:rsidP="004B1620">
      <w:pPr>
        <w:pStyle w:val="ListParagraph"/>
        <w:numPr>
          <w:ilvl w:val="0"/>
          <w:numId w:val="57"/>
        </w:numPr>
        <w:rPr>
          <w:rFonts w:eastAsia="Calibri"/>
        </w:rPr>
      </w:pPr>
      <w:r>
        <w:rPr>
          <w:rFonts w:eastAsia="Calibri"/>
        </w:rPr>
        <w:t xml:space="preserve">Detailed information on the methodology is available in the </w:t>
      </w:r>
      <w:hyperlink r:id="rId74" w:history="1">
        <w:r w:rsidRPr="00846E81">
          <w:rPr>
            <w:rStyle w:val="Hyperlink"/>
            <w:rFonts w:eastAsia="Calibri"/>
          </w:rPr>
          <w:t>HILDA Survey User Manual</w:t>
        </w:r>
      </w:hyperlink>
      <w:r w:rsidR="005477C9">
        <w:rPr>
          <w:rStyle w:val="Hyperlink"/>
          <w:rFonts w:eastAsia="Calibri"/>
        </w:rPr>
        <w:t>.</w:t>
      </w:r>
    </w:p>
    <w:p w14:paraId="26041164" w14:textId="77777777" w:rsidR="00EE41ED" w:rsidRDefault="00EE41ED" w:rsidP="00EE41ED">
      <w:pPr>
        <w:pStyle w:val="NMHCbulletlist"/>
        <w:numPr>
          <w:ilvl w:val="0"/>
          <w:numId w:val="0"/>
        </w:numPr>
        <w:spacing w:after="0"/>
        <w:ind w:left="720" w:hanging="360"/>
      </w:pPr>
      <w:r w:rsidRPr="00755D97">
        <w:rPr>
          <w:color w:val="000000"/>
          <w:szCs w:val="22"/>
        </w:rPr>
        <w:br w:type="page"/>
      </w:r>
    </w:p>
    <w:p w14:paraId="051BF216" w14:textId="11F691AA" w:rsidR="00EE41ED" w:rsidRPr="00755D97" w:rsidRDefault="00EE41ED" w:rsidP="007404A6">
      <w:pPr>
        <w:pStyle w:val="Heading1"/>
        <w:rPr>
          <w:rFonts w:eastAsia="Yu Gothic Light" w:cs="Times New Roman"/>
        </w:rPr>
      </w:pPr>
      <w:bookmarkStart w:id="433" w:name="_Toc164671444"/>
      <w:bookmarkStart w:id="434" w:name="_Toc164671714"/>
      <w:bookmarkStart w:id="435" w:name="_Toc169692918"/>
      <w:bookmarkStart w:id="436" w:name="_Toc169868024"/>
      <w:r>
        <w:rPr>
          <w:rFonts w:eastAsia="Yu Gothic Light"/>
        </w:rPr>
        <w:lastRenderedPageBreak/>
        <w:t xml:space="preserve">CI 13: </w:t>
      </w:r>
      <w:r w:rsidRPr="00755D97">
        <w:rPr>
          <w:rFonts w:eastAsia="Yu Gothic Light" w:cs="Times New Roman"/>
        </w:rPr>
        <w:t>Experiences of discrimination</w:t>
      </w:r>
      <w:bookmarkEnd w:id="433"/>
      <w:bookmarkEnd w:id="434"/>
      <w:bookmarkEnd w:id="435"/>
      <w:bookmarkEnd w:id="436"/>
    </w:p>
    <w:p w14:paraId="1C22F7C8" w14:textId="77777777" w:rsidR="00EE41ED" w:rsidRPr="00755D97" w:rsidRDefault="00EE41ED" w:rsidP="00EE41ED">
      <w:pPr>
        <w:keepNext/>
        <w:keepLines/>
        <w:spacing w:before="60" w:after="60"/>
        <w:outlineLvl w:val="1"/>
        <w:rPr>
          <w:rFonts w:ascii="Roboto-Bold" w:eastAsia="Yu Gothic Light" w:hAnsi="Roboto-Bold" w:cs="Times New Roman"/>
          <w:color w:val="008143"/>
          <w:sz w:val="26"/>
          <w:szCs w:val="26"/>
        </w:rPr>
      </w:pPr>
      <w:bookmarkStart w:id="437" w:name="_Toc164671445"/>
      <w:bookmarkStart w:id="438" w:name="_Toc164671715"/>
      <w:bookmarkStart w:id="439" w:name="_Toc169018665"/>
      <w:bookmarkStart w:id="440" w:name="_Toc169189117"/>
      <w:bookmarkStart w:id="441" w:name="_Toc169692919"/>
      <w:r w:rsidRPr="00755D97">
        <w:rPr>
          <w:rFonts w:ascii="Roboto-Bold" w:eastAsia="Yu Gothic Light" w:hAnsi="Roboto-Bold" w:cs="Times New Roman"/>
          <w:color w:val="008143"/>
          <w:sz w:val="26"/>
          <w:szCs w:val="26"/>
        </w:rPr>
        <w:t>What we are tracking (and why)</w:t>
      </w:r>
      <w:bookmarkEnd w:id="437"/>
      <w:bookmarkEnd w:id="438"/>
      <w:bookmarkEnd w:id="439"/>
      <w:bookmarkEnd w:id="440"/>
      <w:bookmarkEnd w:id="441"/>
    </w:p>
    <w:p w14:paraId="04887991" w14:textId="476FAD8E" w:rsidR="00EE41ED" w:rsidRDefault="00EE41ED" w:rsidP="00EE41ED">
      <w:pPr>
        <w:rPr>
          <w:rFonts w:eastAsia="Calibri"/>
        </w:rPr>
      </w:pPr>
      <w:r>
        <w:rPr>
          <w:rFonts w:eastAsia="Calibri"/>
        </w:rPr>
        <w:t>This indicator tracks the proportion of people in Australia aged 15 years and over who experienced discrimination (e.g.,</w:t>
      </w:r>
      <w:r w:rsidR="00954ED6">
        <w:rPr>
          <w:rFonts w:eastAsia="Calibri"/>
        </w:rPr>
        <w:t> </w:t>
      </w:r>
      <w:proofErr w:type="gramStart"/>
      <w:r>
        <w:rPr>
          <w:rFonts w:eastAsia="Calibri"/>
        </w:rPr>
        <w:t>on the basis of</w:t>
      </w:r>
      <w:proofErr w:type="gramEnd"/>
      <w:r>
        <w:rPr>
          <w:rFonts w:eastAsia="Calibri"/>
        </w:rPr>
        <w:t xml:space="preserve"> sexual orientation, age, disability or health condition) or were treated unfairly all or most of the time in the previous 12 months. </w:t>
      </w:r>
    </w:p>
    <w:p w14:paraId="02AC7537" w14:textId="6C8ED5A3" w:rsidR="00EE41ED" w:rsidRPr="00755D97" w:rsidRDefault="00EE41ED" w:rsidP="00EE41ED">
      <w:pPr>
        <w:rPr>
          <w:rFonts w:eastAsia="Calibri"/>
        </w:rPr>
      </w:pPr>
      <w:r>
        <w:rPr>
          <w:rFonts w:eastAsia="Calibri"/>
        </w:rPr>
        <w:t xml:space="preserve">Negatively stereotyped attitudes and behaviours can harm a person’s day-to-day health and wellbeing by excluding, </w:t>
      </w:r>
      <w:proofErr w:type="gramStart"/>
      <w:r>
        <w:rPr>
          <w:rFonts w:eastAsia="Calibri"/>
        </w:rPr>
        <w:t>devaluing</w:t>
      </w:r>
      <w:proofErr w:type="gramEnd"/>
      <w:r>
        <w:rPr>
          <w:rFonts w:eastAsia="Calibri"/>
        </w:rPr>
        <w:t xml:space="preserve"> or shaming them, and can cause and exacerbate distress.</w:t>
      </w:r>
      <w:r>
        <w:rPr>
          <w:rStyle w:val="FootnoteReference"/>
          <w:rFonts w:eastAsia="Calibri"/>
        </w:rPr>
        <w:footnoteReference w:id="29"/>
      </w:r>
      <w:r w:rsidRPr="0045660A">
        <w:rPr>
          <w:rFonts w:eastAsia="Calibri"/>
          <w:vertAlign w:val="superscript"/>
        </w:rPr>
        <w:t>,</w:t>
      </w:r>
      <w:r>
        <w:rPr>
          <w:rStyle w:val="FootnoteReference"/>
          <w:rFonts w:eastAsia="Calibri"/>
        </w:rPr>
        <w:footnoteReference w:id="30"/>
      </w:r>
      <w:r>
        <w:rPr>
          <w:rFonts w:eastAsia="Calibri"/>
        </w:rPr>
        <w:t xml:space="preserve"> Discrimination can </w:t>
      </w:r>
      <w:r w:rsidRPr="00932919">
        <w:rPr>
          <w:rFonts w:eastAsia="Calibri"/>
        </w:rPr>
        <w:t>cause a person to believe negative stereotypes about themselves</w:t>
      </w:r>
      <w:r>
        <w:rPr>
          <w:rFonts w:eastAsia="Calibri"/>
        </w:rPr>
        <w:t xml:space="preserve">, increase feelings of isolation, reduce help-seeking and create </w:t>
      </w:r>
      <w:r w:rsidRPr="00F23C0C">
        <w:rPr>
          <w:rFonts w:eastAsia="Calibri"/>
        </w:rPr>
        <w:t>barrier</w:t>
      </w:r>
      <w:r>
        <w:rPr>
          <w:rFonts w:eastAsia="Calibri"/>
        </w:rPr>
        <w:t xml:space="preserve">s to </w:t>
      </w:r>
      <w:r w:rsidRPr="00F23C0C">
        <w:rPr>
          <w:rFonts w:eastAsia="Calibri"/>
        </w:rPr>
        <w:t>social, economic and cultural participation</w:t>
      </w:r>
      <w:r>
        <w:rPr>
          <w:rFonts w:eastAsia="Calibri"/>
        </w:rPr>
        <w:t>.</w:t>
      </w:r>
      <w:r>
        <w:rPr>
          <w:rStyle w:val="FootnoteReference"/>
          <w:rFonts w:eastAsia="Calibri"/>
        </w:rPr>
        <w:footnoteReference w:id="31"/>
      </w:r>
      <w:r>
        <w:rPr>
          <w:rFonts w:eastAsia="Calibri"/>
        </w:rPr>
        <w:t xml:space="preserve"> </w:t>
      </w:r>
    </w:p>
    <w:p w14:paraId="2D1961AC" w14:textId="77777777" w:rsidR="00EE41ED" w:rsidRPr="00755D97" w:rsidRDefault="00EE41ED" w:rsidP="00EE41ED">
      <w:pPr>
        <w:rPr>
          <w:rFonts w:eastAsia="Calibri"/>
        </w:rPr>
      </w:pPr>
      <w:r>
        <w:rPr>
          <w:rFonts w:eastAsia="Calibri"/>
        </w:rPr>
        <w:t>Higher proportions of people who experience discrimination suggest lower levels of wellbeing. A reduction in experiences of discrimination and unfair treatment may indicate more inclusive attitudes and behaviours across the community and in service provision, including mental health services.</w:t>
      </w:r>
    </w:p>
    <w:p w14:paraId="41C4E126" w14:textId="77777777" w:rsidR="00EE41ED" w:rsidRPr="00755D97" w:rsidRDefault="00EE41ED" w:rsidP="00EE41ED">
      <w:pPr>
        <w:keepNext/>
        <w:keepLines/>
        <w:spacing w:before="60" w:after="60"/>
        <w:outlineLvl w:val="1"/>
        <w:rPr>
          <w:rFonts w:ascii="Roboto-Bold" w:eastAsia="Yu Gothic Light" w:hAnsi="Roboto-Bold" w:cs="Times New Roman"/>
          <w:color w:val="008143"/>
          <w:sz w:val="26"/>
          <w:szCs w:val="26"/>
        </w:rPr>
      </w:pPr>
      <w:bookmarkStart w:id="442" w:name="_Toc164671446"/>
      <w:bookmarkStart w:id="443" w:name="_Toc164671716"/>
      <w:bookmarkStart w:id="444" w:name="_Toc169018666"/>
      <w:bookmarkStart w:id="445" w:name="_Toc169189118"/>
      <w:bookmarkStart w:id="446" w:name="_Toc169692920"/>
      <w:r w:rsidRPr="00755D97">
        <w:rPr>
          <w:rFonts w:ascii="Roboto-Bold" w:eastAsia="Yu Gothic Light" w:hAnsi="Roboto-Bold" w:cs="Times New Roman"/>
          <w:color w:val="008143"/>
          <w:sz w:val="26"/>
          <w:szCs w:val="26"/>
        </w:rPr>
        <w:t>What the data tells us</w:t>
      </w:r>
      <w:bookmarkEnd w:id="442"/>
      <w:bookmarkEnd w:id="443"/>
      <w:bookmarkEnd w:id="444"/>
      <w:bookmarkEnd w:id="445"/>
      <w:bookmarkEnd w:id="446"/>
    </w:p>
    <w:p w14:paraId="38FE3B3B" w14:textId="77777777" w:rsidR="00EE41ED" w:rsidRPr="00755D97" w:rsidRDefault="00EE41ED" w:rsidP="00EE41ED">
      <w:pPr>
        <w:keepNext/>
        <w:keepLines/>
        <w:spacing w:before="60" w:after="60"/>
        <w:outlineLvl w:val="2"/>
        <w:rPr>
          <w:rFonts w:ascii="Roboto" w:eastAsia="Yu Gothic Light" w:hAnsi="Roboto" w:cs="Times New Roman"/>
          <w:b/>
          <w:color w:val="545A60"/>
          <w:sz w:val="21"/>
        </w:rPr>
      </w:pPr>
      <w:bookmarkStart w:id="447" w:name="_Toc164671447"/>
      <w:bookmarkStart w:id="448" w:name="_Toc164671717"/>
      <w:bookmarkStart w:id="449" w:name="_Toc169018667"/>
      <w:bookmarkStart w:id="450" w:name="_Toc169189119"/>
      <w:bookmarkStart w:id="451" w:name="_Toc169692921"/>
      <w:r w:rsidRPr="00755D97">
        <w:rPr>
          <w:rFonts w:ascii="Roboto" w:eastAsia="Yu Gothic Light" w:hAnsi="Roboto" w:cs="Times New Roman"/>
          <w:b/>
          <w:color w:val="545A60"/>
          <w:sz w:val="21"/>
        </w:rPr>
        <w:t xml:space="preserve">Indicator </w:t>
      </w:r>
      <w:r>
        <w:rPr>
          <w:rFonts w:ascii="Roboto" w:eastAsia="Yu Gothic Light" w:hAnsi="Roboto" w:cs="Times New Roman"/>
          <w:b/>
          <w:color w:val="545A60"/>
          <w:sz w:val="21"/>
        </w:rPr>
        <w:t>f</w:t>
      </w:r>
      <w:r w:rsidRPr="00755D97">
        <w:rPr>
          <w:rFonts w:ascii="Roboto" w:eastAsia="Yu Gothic Light" w:hAnsi="Roboto" w:cs="Times New Roman"/>
          <w:b/>
          <w:color w:val="545A60"/>
          <w:sz w:val="21"/>
        </w:rPr>
        <w:t>indings</w:t>
      </w:r>
      <w:bookmarkEnd w:id="447"/>
      <w:bookmarkEnd w:id="448"/>
      <w:bookmarkEnd w:id="449"/>
      <w:bookmarkEnd w:id="450"/>
      <w:bookmarkEnd w:id="451"/>
    </w:p>
    <w:p w14:paraId="0C332AC4" w14:textId="4598A946" w:rsidR="00EE41ED" w:rsidRDefault="00EE41ED" w:rsidP="00EE41ED">
      <w:pPr>
        <w:rPr>
          <w:szCs w:val="18"/>
        </w:rPr>
      </w:pPr>
      <w:r>
        <w:rPr>
          <w:rFonts w:eastAsia="Calibri"/>
        </w:rPr>
        <w:t xml:space="preserve">In 2020, among people </w:t>
      </w:r>
      <w:r w:rsidRPr="00BD43C8">
        <w:rPr>
          <w:szCs w:val="18"/>
        </w:rPr>
        <w:t xml:space="preserve">with a </w:t>
      </w:r>
      <w:r>
        <w:rPr>
          <w:szCs w:val="18"/>
        </w:rPr>
        <w:t>mental health condition, 20.8%</w:t>
      </w:r>
      <w:r w:rsidRPr="00034D97">
        <w:rPr>
          <w:szCs w:val="18"/>
        </w:rPr>
        <w:t xml:space="preserve"> </w:t>
      </w:r>
      <w:r>
        <w:rPr>
          <w:szCs w:val="18"/>
        </w:rPr>
        <w:t xml:space="preserve">reported they had </w:t>
      </w:r>
      <w:r w:rsidRPr="00BD43C8">
        <w:rPr>
          <w:szCs w:val="18"/>
        </w:rPr>
        <w:t>experienced discrimination</w:t>
      </w:r>
      <w:r>
        <w:rPr>
          <w:szCs w:val="18"/>
        </w:rPr>
        <w:t xml:space="preserve"> in the past 12 months and</w:t>
      </w:r>
      <w:r w:rsidR="00184290">
        <w:rPr>
          <w:szCs w:val="18"/>
        </w:rPr>
        <w:t>, of those who had experienced discrimination,</w:t>
      </w:r>
      <w:r>
        <w:rPr>
          <w:szCs w:val="18"/>
        </w:rPr>
        <w:t xml:space="preserve"> 14.5% reported being treated unfairly ‘all or most of the time’. These proportions were almost double th</w:t>
      </w:r>
      <w:r w:rsidR="009F1825">
        <w:rPr>
          <w:szCs w:val="18"/>
        </w:rPr>
        <w:t>ose</w:t>
      </w:r>
      <w:r>
        <w:rPr>
          <w:szCs w:val="18"/>
        </w:rPr>
        <w:t xml:space="preserve"> observed for people without a mental health condition (12.3% and 7.3%, respectively). These differences were statistically significant.   </w:t>
      </w:r>
    </w:p>
    <w:p w14:paraId="21FC5D00" w14:textId="1D4C2720" w:rsidR="00EE41ED" w:rsidRPr="00CE7070" w:rsidRDefault="00EE41ED" w:rsidP="00EE41ED">
      <w:pPr>
        <w:rPr>
          <w:szCs w:val="18"/>
        </w:rPr>
      </w:pPr>
      <w:r w:rsidRPr="00CE7070">
        <w:rPr>
          <w:szCs w:val="18"/>
        </w:rPr>
        <w:t>Looking over time, similar differences were observed in previous years. In 2014 and 2019, for people with a mental health condition</w:t>
      </w:r>
      <w:r w:rsidR="004D7476">
        <w:rPr>
          <w:szCs w:val="18"/>
        </w:rPr>
        <w:t xml:space="preserve"> who had experienced discrimination</w:t>
      </w:r>
      <w:r w:rsidRPr="00CE7070">
        <w:rPr>
          <w:szCs w:val="18"/>
        </w:rPr>
        <w:t xml:space="preserve">, 18.0% and 15.3% respectively reported being treated unfairly all or most of the time. For people without a mental health condition, these proportions were 12.0% (2014) and 10.8% (2019). Of note, rates of discrimination among people with a mental health condition were comparatively higher in 2019 (31.7%) than 2020 (20.8%). However, care should be taken when interpreting this difference, due to differences in the data collection method. </w:t>
      </w:r>
    </w:p>
    <w:p w14:paraId="69887A87" w14:textId="7AB63AF5" w:rsidR="00EE41ED" w:rsidRPr="00755D97" w:rsidRDefault="00EE41ED" w:rsidP="00EE41ED">
      <w:pPr>
        <w:rPr>
          <w:rFonts w:eastAsia="Calibri"/>
        </w:rPr>
      </w:pPr>
      <w:r>
        <w:rPr>
          <w:rFonts w:eastAsia="Calibri"/>
        </w:rPr>
        <w:t xml:space="preserve">As shown in Figure A13, people experienced discrimination across a range of different settings and for various reasons. In 2020, a significantly larger proportion of people with a mental health condition experienced discrimination </w:t>
      </w:r>
      <w:proofErr w:type="gramStart"/>
      <w:r>
        <w:rPr>
          <w:rFonts w:eastAsia="Calibri"/>
        </w:rPr>
        <w:t>on the basis of</w:t>
      </w:r>
      <w:proofErr w:type="gramEnd"/>
      <w:r>
        <w:rPr>
          <w:rFonts w:eastAsia="Calibri"/>
        </w:rPr>
        <w:t xml:space="preserve"> a disability or health issue, when dealing with people involved in health care and when dealing with the justice system, compared to people without a mental health condition.</w:t>
      </w:r>
      <w:r w:rsidRPr="00B26213">
        <w:rPr>
          <w:szCs w:val="18"/>
        </w:rPr>
        <w:t xml:space="preserve"> </w:t>
      </w:r>
      <w:r w:rsidRPr="00817117">
        <w:rPr>
          <w:szCs w:val="18"/>
        </w:rPr>
        <w:t>Among people with a mental health condition who experienced discrimination, the most common reasons for the most recent incident of discrimination were the respondent’s gender, a disability or health issue</w:t>
      </w:r>
      <w:r>
        <w:rPr>
          <w:szCs w:val="18"/>
        </w:rPr>
        <w:t>,</w:t>
      </w:r>
      <w:r w:rsidRPr="00817117">
        <w:rPr>
          <w:szCs w:val="18"/>
        </w:rPr>
        <w:t xml:space="preserve"> and age.</w:t>
      </w:r>
    </w:p>
    <w:p w14:paraId="33D1695B" w14:textId="77777777" w:rsidR="00EE41ED" w:rsidRDefault="00EE41ED" w:rsidP="00EE41ED">
      <w:pPr>
        <w:rPr>
          <w:rFonts w:eastAsia="Calibri"/>
        </w:rPr>
      </w:pPr>
    </w:p>
    <w:p w14:paraId="03C39982" w14:textId="77777777" w:rsidR="00EE41ED" w:rsidRDefault="00EE41ED" w:rsidP="00EE41ED">
      <w:pPr>
        <w:rPr>
          <w:rFonts w:eastAsia="Calibri"/>
        </w:rPr>
      </w:pPr>
    </w:p>
    <w:p w14:paraId="01E4D4B7" w14:textId="77777777" w:rsidR="00EE41ED" w:rsidRPr="00755D97" w:rsidRDefault="00EE41ED" w:rsidP="00EE41ED">
      <w:pPr>
        <w:rPr>
          <w:rFonts w:eastAsia="Calibri"/>
        </w:rPr>
      </w:pPr>
    </w:p>
    <w:p w14:paraId="4290E326" w14:textId="5F63D9D1" w:rsidR="00EE41ED" w:rsidRDefault="00EE41ED" w:rsidP="005A1957">
      <w:pPr>
        <w:spacing w:after="120"/>
        <w:outlineLvl w:val="3"/>
        <w:rPr>
          <w:rFonts w:ascii="Roboto" w:eastAsia="Calibri" w:hAnsi="Roboto"/>
          <w:color w:val="5B626C"/>
        </w:rPr>
      </w:pPr>
      <w:r w:rsidRPr="00755D97">
        <w:rPr>
          <w:rFonts w:ascii="Roboto" w:eastAsia="Calibri" w:hAnsi="Roboto"/>
          <w:color w:val="008143"/>
        </w:rPr>
        <w:lastRenderedPageBreak/>
        <w:t xml:space="preserve">Figure </w:t>
      </w:r>
      <w:r>
        <w:rPr>
          <w:rFonts w:ascii="Roboto" w:eastAsia="Calibri" w:hAnsi="Roboto"/>
          <w:color w:val="008143"/>
        </w:rPr>
        <w:t>A13</w:t>
      </w:r>
      <w:r w:rsidRPr="00755D97">
        <w:rPr>
          <w:rFonts w:ascii="Roboto" w:eastAsia="Calibri" w:hAnsi="Roboto"/>
          <w:color w:val="008143"/>
        </w:rPr>
        <w:t xml:space="preserve">. </w:t>
      </w:r>
      <w:r>
        <w:rPr>
          <w:rFonts w:ascii="Roboto" w:eastAsia="Calibri" w:hAnsi="Roboto"/>
          <w:color w:val="5B626C"/>
        </w:rPr>
        <w:t xml:space="preserve">Proportion of people in Australia aged 15 </w:t>
      </w:r>
      <w:r w:rsidR="008F0552">
        <w:rPr>
          <w:rFonts w:ascii="Roboto" w:eastAsia="Calibri" w:hAnsi="Roboto"/>
          <w:color w:val="5B626C"/>
        </w:rPr>
        <w:t>years</w:t>
      </w:r>
      <w:r>
        <w:rPr>
          <w:rFonts w:ascii="Roboto" w:eastAsia="Calibri" w:hAnsi="Roboto"/>
          <w:color w:val="5B626C"/>
        </w:rPr>
        <w:t xml:space="preserve"> and over reporting discrimination, by reason for discrimination, place of discrimination and presence of a mental health condition, </w:t>
      </w:r>
      <w:proofErr w:type="gramStart"/>
      <w:r>
        <w:rPr>
          <w:rFonts w:ascii="Roboto" w:eastAsia="Calibri" w:hAnsi="Roboto"/>
          <w:color w:val="5B626C"/>
        </w:rPr>
        <w:t>2020</w:t>
      </w:r>
      <w:proofErr w:type="gramEnd"/>
    </w:p>
    <w:p w14:paraId="4B66F1B6" w14:textId="55A8C01E" w:rsidR="00EE41ED" w:rsidRDefault="00745197" w:rsidP="00CD5709">
      <w:pPr>
        <w:spacing w:after="0"/>
        <w:outlineLvl w:val="3"/>
      </w:pPr>
      <w:r>
        <w:rPr>
          <w:noProof/>
        </w:rPr>
        <w:drawing>
          <wp:inline distT="0" distB="0" distL="0" distR="0" wp14:anchorId="578CD826" wp14:editId="785B03FD">
            <wp:extent cx="6116320" cy="3622675"/>
            <wp:effectExtent l="0" t="0" r="0" b="0"/>
            <wp:docPr id="1620931278" name="Graphic 1620931278" descr="The content of this figure is described in the text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931278" name="Graphic 1620931278" descr="The content of this figure is described in the text above. "/>
                    <pic:cNvPicPr/>
                  </pic:nvPicPr>
                  <pic:blipFill>
                    <a:blip r:embed="rId75">
                      <a:extLst>
                        <a:ext uri="{96DAC541-7B7A-43D3-8B79-37D633B846F1}">
                          <asvg:svgBlip xmlns:asvg="http://schemas.microsoft.com/office/drawing/2016/SVG/main" r:embed="rId76"/>
                        </a:ext>
                      </a:extLst>
                    </a:blip>
                    <a:stretch>
                      <a:fillRect/>
                    </a:stretch>
                  </pic:blipFill>
                  <pic:spPr>
                    <a:xfrm>
                      <a:off x="0" y="0"/>
                      <a:ext cx="6116320" cy="3622675"/>
                    </a:xfrm>
                    <a:prstGeom prst="rect">
                      <a:avLst/>
                    </a:prstGeom>
                  </pic:spPr>
                </pic:pic>
              </a:graphicData>
            </a:graphic>
          </wp:inline>
        </w:drawing>
      </w:r>
    </w:p>
    <w:p w14:paraId="4753A2D7" w14:textId="3042B77D" w:rsidR="00EE41ED" w:rsidRPr="00A86E74" w:rsidRDefault="00CD5709" w:rsidP="00CD5709">
      <w:pPr>
        <w:ind w:left="426"/>
        <w:rPr>
          <w:rFonts w:eastAsia="Calibri"/>
          <w:color w:val="5B626C" w:themeColor="text1"/>
          <w:sz w:val="16"/>
          <w:szCs w:val="16"/>
        </w:rPr>
      </w:pPr>
      <w:r>
        <w:rPr>
          <w:rFonts w:eastAsia="Calibri"/>
          <w:color w:val="5B626C" w:themeColor="text1"/>
          <w:sz w:val="16"/>
          <w:szCs w:val="16"/>
        </w:rPr>
        <w:t>(</w:t>
      </w:r>
      <w:r w:rsidR="00EE41ED" w:rsidRPr="00A86E74">
        <w:rPr>
          <w:rFonts w:eastAsia="Calibri"/>
          <w:color w:val="5B626C" w:themeColor="text1"/>
          <w:sz w:val="16"/>
          <w:szCs w:val="16"/>
        </w:rPr>
        <w:t>a</w:t>
      </w:r>
      <w:r>
        <w:rPr>
          <w:rFonts w:eastAsia="Calibri"/>
          <w:color w:val="5B626C" w:themeColor="text1"/>
          <w:sz w:val="16"/>
          <w:szCs w:val="16"/>
        </w:rPr>
        <w:t>)</w:t>
      </w:r>
      <w:r w:rsidR="00EE41ED" w:rsidRPr="00A86E74">
        <w:rPr>
          <w:rFonts w:eastAsia="Calibri"/>
          <w:color w:val="5B626C" w:themeColor="text1"/>
          <w:sz w:val="16"/>
          <w:szCs w:val="16"/>
        </w:rPr>
        <w:t xml:space="preserve"> Proportion has a high margin of error and should be used with caution.</w:t>
      </w:r>
    </w:p>
    <w:p w14:paraId="6E9AF622" w14:textId="77777777" w:rsidR="00EE41ED" w:rsidRPr="00755D97" w:rsidRDefault="00EE41ED" w:rsidP="00BD77E3">
      <w:pPr>
        <w:spacing w:before="480" w:after="60"/>
        <w:outlineLvl w:val="3"/>
        <w:rPr>
          <w:rFonts w:ascii="Roboto" w:eastAsia="Yu Gothic Light" w:hAnsi="Roboto" w:cs="Times New Roman"/>
          <w:b/>
          <w:color w:val="545A60"/>
          <w:sz w:val="21"/>
        </w:rPr>
      </w:pPr>
      <w:bookmarkStart w:id="452" w:name="_Toc164671448"/>
      <w:bookmarkStart w:id="453" w:name="_Toc164671718"/>
      <w:r w:rsidRPr="00755D97">
        <w:rPr>
          <w:rFonts w:ascii="Roboto" w:eastAsia="Yu Gothic Light" w:hAnsi="Roboto" w:cs="Times New Roman"/>
          <w:b/>
          <w:color w:val="545A60"/>
          <w:sz w:val="21"/>
        </w:rPr>
        <w:t>How do these findings differ between groups?</w:t>
      </w:r>
      <w:bookmarkEnd w:id="452"/>
      <w:bookmarkEnd w:id="453"/>
    </w:p>
    <w:p w14:paraId="56AC175C" w14:textId="3646AB35" w:rsidR="00FD4093" w:rsidRDefault="00EE41ED" w:rsidP="00EE41ED">
      <w:pPr>
        <w:rPr>
          <w:rFonts w:eastAsia="Calibri"/>
        </w:rPr>
      </w:pPr>
      <w:r w:rsidRPr="00CE7070">
        <w:rPr>
          <w:rFonts w:eastAsia="Calibri"/>
        </w:rPr>
        <w:t xml:space="preserve">In 2020, the disparity in discrimination between people with a mental health condition and people without was more pronounced for females compared to males. Among females, 24.3% of people with a mental health condition experienced discrimination in the past 12 months, compared to 12.3% of females without a mental health condition. Among males, 14.9% of people with a mental health condition experienced discrimination compared to 12.3% of males without a mental health condition. </w:t>
      </w:r>
    </w:p>
    <w:p w14:paraId="2543706E" w14:textId="3A0E5C21" w:rsidR="0029201B" w:rsidRDefault="00C7316E" w:rsidP="00EE41ED">
      <w:pPr>
        <w:rPr>
          <w:rFonts w:cs="Segoe UI"/>
          <w:szCs w:val="18"/>
        </w:rPr>
      </w:pPr>
      <w:r w:rsidRPr="00D50DDA">
        <w:rPr>
          <w:rFonts w:cs="Segoe UI"/>
          <w:szCs w:val="18"/>
        </w:rPr>
        <w:t xml:space="preserve">The sample size in the 2020 </w:t>
      </w:r>
      <w:r w:rsidR="00EF3E9F">
        <w:rPr>
          <w:rFonts w:cs="Segoe UI"/>
          <w:i/>
          <w:iCs/>
          <w:szCs w:val="18"/>
        </w:rPr>
        <w:t>General Social Survey</w:t>
      </w:r>
      <w:r w:rsidRPr="00D50DDA">
        <w:rPr>
          <w:rFonts w:cs="Segoe UI"/>
          <w:szCs w:val="18"/>
        </w:rPr>
        <w:t xml:space="preserve"> does not allow for detailed </w:t>
      </w:r>
      <w:proofErr w:type="spellStart"/>
      <w:r w:rsidRPr="00D50DDA">
        <w:rPr>
          <w:rFonts w:cs="Segoe UI"/>
          <w:szCs w:val="18"/>
        </w:rPr>
        <w:t>disaggregations</w:t>
      </w:r>
      <w:proofErr w:type="spellEnd"/>
      <w:r w:rsidR="00630B96">
        <w:rPr>
          <w:rFonts w:cs="Segoe UI"/>
          <w:szCs w:val="18"/>
        </w:rPr>
        <w:t>, including</w:t>
      </w:r>
      <w:r w:rsidRPr="00D50DDA">
        <w:rPr>
          <w:rFonts w:cs="Segoe UI"/>
          <w:szCs w:val="18"/>
        </w:rPr>
        <w:t xml:space="preserve"> </w:t>
      </w:r>
      <w:r w:rsidR="0029201B">
        <w:rPr>
          <w:rFonts w:cs="Segoe UI"/>
          <w:szCs w:val="18"/>
        </w:rPr>
        <w:t>comparisons across age group</w:t>
      </w:r>
      <w:r w:rsidR="00F96F3D">
        <w:rPr>
          <w:rFonts w:cs="Segoe UI"/>
          <w:szCs w:val="18"/>
        </w:rPr>
        <w:t xml:space="preserve">s for people with a mental health </w:t>
      </w:r>
      <w:r w:rsidR="00D3212F">
        <w:rPr>
          <w:rFonts w:cs="Segoe UI"/>
          <w:szCs w:val="18"/>
        </w:rPr>
        <w:t xml:space="preserve">condition. </w:t>
      </w:r>
      <w:r w:rsidR="00082126">
        <w:rPr>
          <w:rFonts w:cs="Segoe UI"/>
          <w:szCs w:val="18"/>
        </w:rPr>
        <w:t xml:space="preserve"> </w:t>
      </w:r>
    </w:p>
    <w:p w14:paraId="669FB929" w14:textId="77777777" w:rsidR="00EE41ED" w:rsidRPr="00755D97" w:rsidRDefault="00EE41ED" w:rsidP="00BD77E3">
      <w:pPr>
        <w:spacing w:before="480" w:after="60"/>
        <w:outlineLvl w:val="3"/>
        <w:rPr>
          <w:rFonts w:ascii="Roboto-Bold" w:eastAsia="Yu Gothic Light" w:hAnsi="Roboto-Bold" w:cs="Times New Roman"/>
          <w:color w:val="008143"/>
          <w:sz w:val="26"/>
          <w:szCs w:val="26"/>
        </w:rPr>
      </w:pPr>
      <w:bookmarkStart w:id="454" w:name="_Toc164671449"/>
      <w:bookmarkStart w:id="455" w:name="_Toc164671719"/>
      <w:r w:rsidRPr="00755D97">
        <w:rPr>
          <w:rFonts w:ascii="Roboto-Bold" w:eastAsia="Yu Gothic Light" w:hAnsi="Roboto-Bold" w:cs="Times New Roman"/>
          <w:color w:val="008143"/>
          <w:sz w:val="26"/>
          <w:szCs w:val="26"/>
        </w:rPr>
        <w:t>Technical information</w:t>
      </w:r>
      <w:bookmarkEnd w:id="454"/>
      <w:bookmarkEnd w:id="455"/>
    </w:p>
    <w:p w14:paraId="188F42A6" w14:textId="77777777" w:rsidR="00EE41ED" w:rsidRDefault="00EE41ED" w:rsidP="00EE41ED">
      <w:pPr>
        <w:spacing w:before="120" w:after="60"/>
        <w:outlineLvl w:val="3"/>
        <w:rPr>
          <w:rFonts w:ascii="Roboto" w:eastAsia="Yu Gothic Light" w:hAnsi="Roboto" w:cs="Times New Roman"/>
          <w:b/>
          <w:color w:val="545A60"/>
          <w:sz w:val="21"/>
        </w:rPr>
      </w:pPr>
      <w:bookmarkStart w:id="456" w:name="_Toc164671450"/>
      <w:bookmarkStart w:id="457" w:name="_Toc164671720"/>
      <w:r w:rsidRPr="00755D97">
        <w:rPr>
          <w:rFonts w:ascii="Roboto" w:eastAsia="Yu Gothic Light" w:hAnsi="Roboto" w:cs="Times New Roman"/>
          <w:b/>
          <w:color w:val="545A60"/>
          <w:sz w:val="21"/>
        </w:rPr>
        <w:t>Source</w:t>
      </w:r>
    </w:p>
    <w:p w14:paraId="4AFC8B3C" w14:textId="77777777" w:rsidR="00EE41ED" w:rsidRPr="00CE7070" w:rsidRDefault="00EE41ED" w:rsidP="00CE7070">
      <w:pPr>
        <w:rPr>
          <w:rFonts w:eastAsia="Calibri"/>
        </w:rPr>
      </w:pPr>
      <w:r w:rsidRPr="00CE7070">
        <w:rPr>
          <w:rFonts w:eastAsia="Calibri"/>
        </w:rPr>
        <w:t xml:space="preserve">Australian Bureau of Statistics (ABS) </w:t>
      </w:r>
      <w:r w:rsidRPr="001B2635">
        <w:rPr>
          <w:rFonts w:eastAsia="Calibri"/>
          <w:i/>
        </w:rPr>
        <w:t>General Social Survey, 2020</w:t>
      </w:r>
      <w:r w:rsidRPr="00CE7070">
        <w:rPr>
          <w:rFonts w:eastAsia="Calibri"/>
        </w:rPr>
        <w:t xml:space="preserve">; ABS </w:t>
      </w:r>
      <w:r w:rsidRPr="001B2635">
        <w:rPr>
          <w:rFonts w:eastAsia="Calibri"/>
          <w:i/>
        </w:rPr>
        <w:t>General Social Survey, 2019</w:t>
      </w:r>
      <w:r w:rsidRPr="00CE7070">
        <w:rPr>
          <w:rFonts w:eastAsia="Calibri"/>
        </w:rPr>
        <w:t xml:space="preserve">; ABS </w:t>
      </w:r>
      <w:r w:rsidRPr="001B2635">
        <w:rPr>
          <w:rFonts w:eastAsia="Calibri"/>
          <w:i/>
        </w:rPr>
        <w:t>General Social Survey, 2014.</w:t>
      </w:r>
    </w:p>
    <w:p w14:paraId="557647B9" w14:textId="77777777" w:rsidR="00EE41ED" w:rsidRDefault="00EE41ED" w:rsidP="00EE41ED">
      <w:pPr>
        <w:spacing w:before="120" w:after="60"/>
        <w:outlineLvl w:val="3"/>
        <w:rPr>
          <w:rFonts w:ascii="Roboto" w:eastAsia="Yu Gothic Light" w:hAnsi="Roboto" w:cs="Times New Roman"/>
          <w:b/>
          <w:color w:val="545A60"/>
          <w:sz w:val="21"/>
        </w:rPr>
      </w:pPr>
      <w:r w:rsidRPr="00755D97">
        <w:rPr>
          <w:rFonts w:ascii="Roboto" w:eastAsia="Yu Gothic Light" w:hAnsi="Roboto" w:cs="Times New Roman"/>
          <w:b/>
          <w:color w:val="545A60"/>
          <w:sz w:val="21"/>
        </w:rPr>
        <w:t>Frequency of data collection</w:t>
      </w:r>
    </w:p>
    <w:p w14:paraId="35AA76A0" w14:textId="77777777" w:rsidR="00EE41ED" w:rsidRPr="00CE7070" w:rsidRDefault="00EE41ED" w:rsidP="00CE7070">
      <w:pPr>
        <w:rPr>
          <w:rFonts w:eastAsia="Calibri"/>
        </w:rPr>
      </w:pPr>
      <w:r w:rsidRPr="00CE7070">
        <w:rPr>
          <w:rFonts w:eastAsia="Calibri"/>
        </w:rPr>
        <w:t xml:space="preserve">Approximately every four years. Some changes in data collection schedule in 2020 due to the COVID-19 pandemic. </w:t>
      </w:r>
    </w:p>
    <w:p w14:paraId="6795999C" w14:textId="77777777" w:rsidR="00EE41ED" w:rsidRPr="001E1DAC" w:rsidRDefault="00EE41ED" w:rsidP="00EE41ED">
      <w:pPr>
        <w:spacing w:before="120" w:after="60"/>
        <w:outlineLvl w:val="3"/>
        <w:rPr>
          <w:rFonts w:ascii="Roboto" w:eastAsia="Yu Gothic Light" w:hAnsi="Roboto" w:cs="Times New Roman"/>
          <w:b/>
          <w:color w:val="545A60"/>
          <w:sz w:val="21"/>
        </w:rPr>
      </w:pPr>
      <w:r w:rsidRPr="001E1DAC">
        <w:rPr>
          <w:rFonts w:ascii="Roboto" w:eastAsia="Yu Gothic Light" w:hAnsi="Roboto" w:cs="Times New Roman"/>
          <w:b/>
          <w:color w:val="545A60"/>
          <w:sz w:val="21"/>
        </w:rPr>
        <w:t>Limitations</w:t>
      </w:r>
    </w:p>
    <w:p w14:paraId="7132EC6E" w14:textId="77777777" w:rsidR="00EE41ED" w:rsidRPr="00F97EC7" w:rsidRDefault="00EE41ED" w:rsidP="00666A21">
      <w:pPr>
        <w:pStyle w:val="ListParagraph"/>
        <w:numPr>
          <w:ilvl w:val="0"/>
          <w:numId w:val="56"/>
        </w:numPr>
        <w:rPr>
          <w:rFonts w:eastAsia="Calibri"/>
        </w:rPr>
      </w:pPr>
      <w:r w:rsidRPr="00F97EC7">
        <w:rPr>
          <w:rFonts w:eastAsia="Calibri"/>
        </w:rPr>
        <w:t>Care should made when comparing 2020 data to earlier years due to changes in the survey methodology, higher rates of non-response and the impact of COVID-19 restrictions on the population.</w:t>
      </w:r>
    </w:p>
    <w:p w14:paraId="49A53457" w14:textId="77777777" w:rsidR="00EE41ED" w:rsidRPr="00F97EC7" w:rsidRDefault="00EE41ED" w:rsidP="002044D6">
      <w:pPr>
        <w:pStyle w:val="ListParagraph"/>
        <w:numPr>
          <w:ilvl w:val="0"/>
          <w:numId w:val="56"/>
        </w:numPr>
        <w:rPr>
          <w:rFonts w:eastAsia="Calibri"/>
        </w:rPr>
      </w:pPr>
      <w:r w:rsidRPr="00F97EC7">
        <w:rPr>
          <w:rFonts w:eastAsia="Calibri"/>
        </w:rPr>
        <w:lastRenderedPageBreak/>
        <w:t xml:space="preserve">High standard errors and margins of error make it difficult to detect statistical differences between people with a mental health condition and people without a mental health condition. </w:t>
      </w:r>
    </w:p>
    <w:p w14:paraId="61D5DB86" w14:textId="77777777" w:rsidR="00EE41ED" w:rsidRDefault="00EE41ED" w:rsidP="00EE41ED">
      <w:pPr>
        <w:spacing w:before="120" w:after="60"/>
        <w:outlineLvl w:val="3"/>
        <w:rPr>
          <w:rFonts w:ascii="Roboto" w:eastAsia="Yu Gothic Light" w:hAnsi="Roboto" w:cs="Times New Roman"/>
          <w:b/>
          <w:color w:val="545A60"/>
          <w:sz w:val="21"/>
        </w:rPr>
      </w:pPr>
      <w:bookmarkStart w:id="458" w:name="_Toc164671453"/>
      <w:bookmarkStart w:id="459" w:name="_Toc164671723"/>
      <w:bookmarkEnd w:id="456"/>
      <w:bookmarkEnd w:id="457"/>
      <w:r w:rsidRPr="00755D97">
        <w:rPr>
          <w:rFonts w:ascii="Roboto" w:eastAsia="Yu Gothic Light" w:hAnsi="Roboto" w:cs="Times New Roman"/>
          <w:b/>
          <w:color w:val="545A60"/>
          <w:sz w:val="21"/>
        </w:rPr>
        <w:t>Additional notes</w:t>
      </w:r>
      <w:bookmarkEnd w:id="458"/>
      <w:bookmarkEnd w:id="459"/>
    </w:p>
    <w:p w14:paraId="64538F6D" w14:textId="77777777" w:rsidR="00EE41ED" w:rsidRPr="00F97EC7" w:rsidRDefault="00EE41ED" w:rsidP="00666A21">
      <w:pPr>
        <w:pStyle w:val="ListParagraph"/>
        <w:numPr>
          <w:ilvl w:val="0"/>
          <w:numId w:val="55"/>
        </w:numPr>
        <w:rPr>
          <w:rFonts w:eastAsia="Calibri"/>
        </w:rPr>
      </w:pPr>
      <w:r w:rsidRPr="00F97EC7">
        <w:rPr>
          <w:rFonts w:eastAsia="Calibri"/>
        </w:rPr>
        <w:t xml:space="preserve">Data from 2014 includes people who are aged 18 years and over. </w:t>
      </w:r>
    </w:p>
    <w:p w14:paraId="74B22A14" w14:textId="77777777" w:rsidR="00EE41ED" w:rsidRPr="00F97EC7" w:rsidRDefault="00EE41ED" w:rsidP="00666A21">
      <w:pPr>
        <w:pStyle w:val="ListParagraph"/>
        <w:numPr>
          <w:ilvl w:val="0"/>
          <w:numId w:val="55"/>
        </w:numPr>
        <w:rPr>
          <w:rFonts w:eastAsia="Calibri"/>
        </w:rPr>
      </w:pPr>
      <w:r w:rsidRPr="00F97EC7">
        <w:rPr>
          <w:rFonts w:eastAsia="Calibri"/>
        </w:rPr>
        <w:t xml:space="preserve">When assessing mental health condition presence, respondents are asked if they were told by a doctor, </w:t>
      </w:r>
      <w:proofErr w:type="gramStart"/>
      <w:r w:rsidRPr="00F97EC7">
        <w:rPr>
          <w:rFonts w:eastAsia="Calibri"/>
        </w:rPr>
        <w:t>nurse</w:t>
      </w:r>
      <w:proofErr w:type="gramEnd"/>
      <w:r w:rsidRPr="00F97EC7">
        <w:rPr>
          <w:rFonts w:eastAsia="Calibri"/>
        </w:rPr>
        <w:t xml:space="preserve"> or other health professional whether they have one of the listed conditions, which included ‘Mental health condition (including depression or anxiety)’. This question is asked for conditions that have lasted or are expected to last for six months or more.</w:t>
      </w:r>
    </w:p>
    <w:p w14:paraId="7205272A" w14:textId="77777777" w:rsidR="00EE41ED" w:rsidRPr="00F97EC7" w:rsidRDefault="00EE41ED" w:rsidP="00666A21">
      <w:pPr>
        <w:pStyle w:val="ListParagraph"/>
        <w:numPr>
          <w:ilvl w:val="0"/>
          <w:numId w:val="55"/>
        </w:numPr>
        <w:rPr>
          <w:rFonts w:eastAsia="Calibri"/>
        </w:rPr>
      </w:pPr>
      <w:r w:rsidRPr="00F97EC7">
        <w:rPr>
          <w:rFonts w:eastAsia="Calibri"/>
        </w:rPr>
        <w:t xml:space="preserve">Data for 2020 and 2019 capture people with a ‘mental health condition (including depression and anxiety)’, while data from 2014 includes ‘depression or feeling depressed, behavioural or emotional disorders, dependence on drugs or alcohol, feeling anxious or nervous and problems learning or understanding </w:t>
      </w:r>
      <w:proofErr w:type="gramStart"/>
      <w:r w:rsidRPr="00F97EC7">
        <w:rPr>
          <w:rFonts w:eastAsia="Calibri"/>
        </w:rPr>
        <w:t>things’</w:t>
      </w:r>
      <w:proofErr w:type="gramEnd"/>
      <w:r w:rsidRPr="00F97EC7">
        <w:rPr>
          <w:rFonts w:eastAsia="Calibri"/>
        </w:rPr>
        <w:t>.</w:t>
      </w:r>
    </w:p>
    <w:p w14:paraId="4ABC77A9" w14:textId="77777777" w:rsidR="00EE41ED" w:rsidRPr="00F97EC7" w:rsidRDefault="00EE41ED" w:rsidP="00666A21">
      <w:pPr>
        <w:pStyle w:val="ListParagraph"/>
        <w:numPr>
          <w:ilvl w:val="0"/>
          <w:numId w:val="55"/>
        </w:numPr>
        <w:rPr>
          <w:rFonts w:eastAsia="Calibri"/>
        </w:rPr>
      </w:pPr>
      <w:r w:rsidRPr="00F97EC7">
        <w:rPr>
          <w:rFonts w:eastAsia="Calibri"/>
        </w:rPr>
        <w:t>Some proportions may not add up to 100% due to number perturbation implemented by the data source owner.</w:t>
      </w:r>
    </w:p>
    <w:p w14:paraId="5B98588A" w14:textId="0E8A32BC" w:rsidR="00EE41ED" w:rsidRPr="00F97EC7" w:rsidRDefault="00EE41ED" w:rsidP="00666A21">
      <w:pPr>
        <w:pStyle w:val="ListParagraph"/>
        <w:numPr>
          <w:ilvl w:val="0"/>
          <w:numId w:val="55"/>
        </w:numPr>
        <w:rPr>
          <w:rFonts w:eastAsia="Calibri"/>
        </w:rPr>
      </w:pPr>
      <w:r w:rsidRPr="00F97EC7">
        <w:rPr>
          <w:rFonts w:eastAsia="Calibri"/>
        </w:rPr>
        <w:t xml:space="preserve">Detailed information on the methodology is available on the </w:t>
      </w:r>
      <w:hyperlink r:id="rId77" w:history="1">
        <w:r w:rsidR="0070518B" w:rsidRPr="0070518B">
          <w:rPr>
            <w:rStyle w:val="Hyperlink"/>
            <w:rFonts w:eastAsia="Calibri"/>
          </w:rPr>
          <w:t>ABS website</w:t>
        </w:r>
      </w:hyperlink>
      <w:r w:rsidR="0070518B">
        <w:rPr>
          <w:rFonts w:eastAsia="Calibri"/>
        </w:rPr>
        <w:t xml:space="preserve">. </w:t>
      </w:r>
      <w:r w:rsidRPr="00F97EC7">
        <w:rPr>
          <w:rFonts w:eastAsia="Calibri"/>
        </w:rPr>
        <w:t xml:space="preserve"> </w:t>
      </w:r>
    </w:p>
    <w:p w14:paraId="55A61302" w14:textId="3744097E" w:rsidR="00DE05BB" w:rsidRDefault="00EE41ED" w:rsidP="00EE41ED">
      <w:pPr>
        <w:pStyle w:val="Heading1White"/>
        <w:sectPr w:rsidR="00DE05BB" w:rsidSect="000E7377">
          <w:headerReference w:type="default" r:id="rId78"/>
          <w:type w:val="continuous"/>
          <w:pgSz w:w="11900" w:h="16840"/>
          <w:pgMar w:top="1701" w:right="1134" w:bottom="1701" w:left="1134" w:header="1134" w:footer="567" w:gutter="0"/>
          <w:cols w:space="708"/>
          <w:docGrid w:linePitch="360"/>
        </w:sectPr>
      </w:pPr>
      <w:r>
        <w:br w:type="page"/>
      </w:r>
    </w:p>
    <w:p w14:paraId="064624C2" w14:textId="77777777" w:rsidR="00567892" w:rsidRDefault="00567892" w:rsidP="00567892">
      <w:pPr>
        <w:pStyle w:val="Heading1"/>
        <w:rPr>
          <w:b/>
          <w:color w:val="00B0DE"/>
        </w:rPr>
        <w:sectPr w:rsidR="00567892" w:rsidSect="000E7377">
          <w:headerReference w:type="default" r:id="rId79"/>
          <w:headerReference w:type="first" r:id="rId80"/>
          <w:footnotePr>
            <w:numFmt w:val="lowerRoman"/>
          </w:footnotePr>
          <w:endnotePr>
            <w:numFmt w:val="decimal"/>
          </w:endnotePr>
          <w:pgSz w:w="11900" w:h="16840"/>
          <w:pgMar w:top="1701" w:right="1134" w:bottom="1701" w:left="1134" w:header="1134" w:footer="567" w:gutter="0"/>
          <w:cols w:space="708"/>
          <w:docGrid w:linePitch="360"/>
        </w:sectPr>
      </w:pPr>
      <w:bookmarkStart w:id="460" w:name="_Toc168573609"/>
      <w:bookmarkStart w:id="461" w:name="_Toc169692922"/>
      <w:bookmarkStart w:id="462" w:name="_Toc169868025"/>
      <w:bookmarkStart w:id="463" w:name="_Toc158198757"/>
      <w:r>
        <w:rPr>
          <w:noProof/>
        </w:rPr>
        <w:lastRenderedPageBreak/>
        <w:drawing>
          <wp:anchor distT="0" distB="0" distL="114300" distR="114300" simplePos="0" relativeHeight="251658247" behindDoc="1" locked="0" layoutInCell="1" allowOverlap="1" wp14:anchorId="54676209" wp14:editId="1D28C47F">
            <wp:simplePos x="0" y="0"/>
            <wp:positionH relativeFrom="page">
              <wp:align>left</wp:align>
            </wp:positionH>
            <wp:positionV relativeFrom="page">
              <wp:align>top</wp:align>
            </wp:positionV>
            <wp:extent cx="7555865" cy="10691495"/>
            <wp:effectExtent l="0" t="0" r="6985" b="0"/>
            <wp:wrapNone/>
            <wp:docPr id="1505117609" name="Graphic 15051176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425672" name="Graphic 3">
                      <a:extLst>
                        <a:ext uri="{C183D7F6-B498-43B3-948B-1728B52AA6E4}">
                          <adec:decorative xmlns:adec="http://schemas.microsoft.com/office/drawing/2017/decorative" val="1"/>
                        </a:ext>
                      </a:extLst>
                    </pic:cNvPr>
                    <pic:cNvPicPr/>
                  </pic:nvPicPr>
                  <pic:blipFill>
                    <a:blip r:embed="rId81">
                      <a:extLst>
                        <a:ext uri="{28A0092B-C50C-407E-A947-70E740481C1C}">
                          <a14:useLocalDpi xmlns:a14="http://schemas.microsoft.com/office/drawing/2010/main" val="0"/>
                        </a:ext>
                        <a:ext uri="{96DAC541-7B7A-43D3-8B79-37D633B846F1}">
                          <asvg:svgBlip xmlns:asvg="http://schemas.microsoft.com/office/drawing/2016/SVG/main" r:embed="rId82"/>
                        </a:ext>
                      </a:extLst>
                    </a:blip>
                    <a:stretch>
                      <a:fillRect/>
                    </a:stretch>
                  </pic:blipFill>
                  <pic:spPr>
                    <a:xfrm>
                      <a:off x="0" y="0"/>
                      <a:ext cx="7555865" cy="10691495"/>
                    </a:xfrm>
                    <a:prstGeom prst="rect">
                      <a:avLst/>
                    </a:prstGeom>
                  </pic:spPr>
                </pic:pic>
              </a:graphicData>
            </a:graphic>
            <wp14:sizeRelH relativeFrom="margin">
              <wp14:pctWidth>0</wp14:pctWidth>
            </wp14:sizeRelH>
            <wp14:sizeRelV relativeFrom="margin">
              <wp14:pctHeight>0</wp14:pctHeight>
            </wp14:sizeRelV>
          </wp:anchor>
        </w:drawing>
      </w:r>
      <w:r>
        <w:t>Acronyms and abbreviations</w:t>
      </w:r>
      <w:bookmarkEnd w:id="460"/>
      <w:bookmarkEnd w:id="461"/>
      <w:bookmarkEnd w:id="462"/>
      <w:r>
        <w:t xml:space="preserve"> </w:t>
      </w:r>
      <w:bookmarkEnd w:id="463"/>
    </w:p>
    <w:tbl>
      <w:tblPr>
        <w:tblStyle w:val="TableGrid"/>
        <w:tblW w:w="9807" w:type="dxa"/>
        <w:tblLook w:val="04A0" w:firstRow="1" w:lastRow="0" w:firstColumn="1" w:lastColumn="0" w:noHBand="0" w:noVBand="1"/>
      </w:tblPr>
      <w:tblGrid>
        <w:gridCol w:w="2732"/>
        <w:gridCol w:w="7075"/>
      </w:tblGrid>
      <w:tr w:rsidR="00503D7E" w14:paraId="622C2FBA" w14:textId="77777777" w:rsidTr="00D50DDA">
        <w:trPr>
          <w:trHeight w:val="319"/>
        </w:trPr>
        <w:tc>
          <w:tcPr>
            <w:tcW w:w="2719" w:type="dxa"/>
            <w:vAlign w:val="center"/>
          </w:tcPr>
          <w:p w14:paraId="1867FDEF" w14:textId="77777777" w:rsidR="00503D7E" w:rsidRDefault="00503D7E">
            <w:pPr>
              <w:pStyle w:val="NMHCAcronymAbbreviation"/>
            </w:pPr>
            <w:r>
              <w:t>ABS</w:t>
            </w:r>
          </w:p>
        </w:tc>
        <w:tc>
          <w:tcPr>
            <w:tcW w:w="7040" w:type="dxa"/>
            <w:vAlign w:val="center"/>
          </w:tcPr>
          <w:p w14:paraId="68857025" w14:textId="77777777" w:rsidR="00503D7E" w:rsidRDefault="00503D7E">
            <w:pPr>
              <w:pStyle w:val="NMHCNormalAcronymbAbbreviations"/>
            </w:pPr>
            <w:r>
              <w:t>Australian Bureau of Statistics</w:t>
            </w:r>
          </w:p>
        </w:tc>
      </w:tr>
      <w:tr w:rsidR="00503D7E" w14:paraId="283C7D96" w14:textId="77777777" w:rsidTr="00D50DDA">
        <w:trPr>
          <w:trHeight w:val="319"/>
        </w:trPr>
        <w:tc>
          <w:tcPr>
            <w:tcW w:w="2719" w:type="dxa"/>
            <w:vAlign w:val="center"/>
          </w:tcPr>
          <w:p w14:paraId="542FEF2D" w14:textId="77777777" w:rsidR="00503D7E" w:rsidRDefault="00503D7E">
            <w:pPr>
              <w:pStyle w:val="NMHCAcronymAbbreviation"/>
            </w:pPr>
            <w:r>
              <w:t>AEDC</w:t>
            </w:r>
          </w:p>
        </w:tc>
        <w:tc>
          <w:tcPr>
            <w:tcW w:w="7040" w:type="dxa"/>
            <w:vAlign w:val="center"/>
          </w:tcPr>
          <w:p w14:paraId="4DF76DCF" w14:textId="77777777" w:rsidR="00503D7E" w:rsidRDefault="00503D7E">
            <w:pPr>
              <w:pStyle w:val="NMHCNormalAcronymbAbbreviations"/>
            </w:pPr>
            <w:r>
              <w:rPr>
                <w:lang w:eastAsia="en-AU"/>
              </w:rPr>
              <w:t>Australian Early Development Census</w:t>
            </w:r>
          </w:p>
        </w:tc>
      </w:tr>
      <w:tr w:rsidR="00503D7E" w14:paraId="397092CD" w14:textId="77777777" w:rsidTr="00D50DDA">
        <w:trPr>
          <w:trHeight w:val="319"/>
        </w:trPr>
        <w:tc>
          <w:tcPr>
            <w:tcW w:w="2719" w:type="dxa"/>
            <w:vAlign w:val="center"/>
          </w:tcPr>
          <w:p w14:paraId="33AA9FBC" w14:textId="77777777" w:rsidR="00503D7E" w:rsidRDefault="00503D7E">
            <w:pPr>
              <w:pStyle w:val="NMHCAcronymAbbreviation"/>
            </w:pPr>
            <w:r>
              <w:t>AIHW</w:t>
            </w:r>
          </w:p>
        </w:tc>
        <w:tc>
          <w:tcPr>
            <w:tcW w:w="7040" w:type="dxa"/>
            <w:vAlign w:val="center"/>
          </w:tcPr>
          <w:p w14:paraId="33BECAA3" w14:textId="77777777" w:rsidR="00503D7E" w:rsidRDefault="00503D7E">
            <w:pPr>
              <w:pStyle w:val="NMHCNormalAcronymbAbbreviations"/>
            </w:pPr>
            <w:r>
              <w:t>Australian Institute of Health and Welfare</w:t>
            </w:r>
          </w:p>
        </w:tc>
      </w:tr>
      <w:tr w:rsidR="00503D7E" w14:paraId="24746CA7" w14:textId="77777777" w:rsidTr="00D50DDA">
        <w:trPr>
          <w:trHeight w:val="319"/>
        </w:trPr>
        <w:tc>
          <w:tcPr>
            <w:tcW w:w="2719" w:type="dxa"/>
            <w:vAlign w:val="center"/>
          </w:tcPr>
          <w:p w14:paraId="2EBC962B" w14:textId="77777777" w:rsidR="00503D7E" w:rsidRDefault="00503D7E">
            <w:pPr>
              <w:pStyle w:val="NMHCAcronymAbbreviation"/>
            </w:pPr>
            <w:r>
              <w:t>CI</w:t>
            </w:r>
          </w:p>
        </w:tc>
        <w:tc>
          <w:tcPr>
            <w:tcW w:w="7040" w:type="dxa"/>
            <w:vAlign w:val="center"/>
          </w:tcPr>
          <w:p w14:paraId="13D9C558" w14:textId="77777777" w:rsidR="00503D7E" w:rsidRDefault="00503D7E">
            <w:pPr>
              <w:pStyle w:val="NMHCNormalAcronymbAbbreviations"/>
              <w:rPr>
                <w:lang w:eastAsia="en-AU"/>
              </w:rPr>
            </w:pPr>
            <w:r>
              <w:t>Core Indicator</w:t>
            </w:r>
          </w:p>
        </w:tc>
      </w:tr>
      <w:tr w:rsidR="00503D7E" w14:paraId="0261FCBE" w14:textId="77777777" w:rsidTr="00D50DDA">
        <w:trPr>
          <w:trHeight w:val="319"/>
        </w:trPr>
        <w:tc>
          <w:tcPr>
            <w:tcW w:w="2719" w:type="dxa"/>
            <w:vAlign w:val="center"/>
          </w:tcPr>
          <w:p w14:paraId="2179188A" w14:textId="77777777" w:rsidR="00503D7E" w:rsidRDefault="00503D7E">
            <w:pPr>
              <w:pStyle w:val="NMHCAcronymAbbreviation"/>
            </w:pPr>
            <w:r>
              <w:t>HILDA</w:t>
            </w:r>
          </w:p>
        </w:tc>
        <w:tc>
          <w:tcPr>
            <w:tcW w:w="7040" w:type="dxa"/>
            <w:vAlign w:val="center"/>
          </w:tcPr>
          <w:p w14:paraId="3DAF1FC1" w14:textId="77777777" w:rsidR="00503D7E" w:rsidRDefault="00503D7E">
            <w:pPr>
              <w:pStyle w:val="NMHCNormalAcronymbAbbreviations"/>
            </w:pPr>
            <w:r>
              <w:t>Household, Income and Labour Dynamics in Australia</w:t>
            </w:r>
          </w:p>
        </w:tc>
      </w:tr>
      <w:tr w:rsidR="00503D7E" w14:paraId="309B0E4F" w14:textId="77777777" w:rsidTr="00D50DDA">
        <w:trPr>
          <w:trHeight w:val="319"/>
        </w:trPr>
        <w:tc>
          <w:tcPr>
            <w:tcW w:w="2719" w:type="dxa"/>
            <w:vAlign w:val="center"/>
          </w:tcPr>
          <w:p w14:paraId="0429BF66" w14:textId="77777777" w:rsidR="00503D7E" w:rsidRDefault="00503D7E">
            <w:pPr>
              <w:pStyle w:val="NMHCAcronymAbbreviation"/>
            </w:pPr>
            <w:r>
              <w:t>ICD-10</w:t>
            </w:r>
          </w:p>
        </w:tc>
        <w:tc>
          <w:tcPr>
            <w:tcW w:w="7040" w:type="dxa"/>
            <w:vAlign w:val="center"/>
          </w:tcPr>
          <w:p w14:paraId="50A04C47" w14:textId="78413F60" w:rsidR="00503D7E" w:rsidRDefault="00503D7E">
            <w:pPr>
              <w:pStyle w:val="NMHCNormalAcronymbAbbreviations"/>
            </w:pPr>
            <w:r w:rsidRPr="007A55C5">
              <w:t>World Health Organi</w:t>
            </w:r>
            <w:r w:rsidR="00EE50F4">
              <w:t>z</w:t>
            </w:r>
            <w:r w:rsidRPr="007A55C5">
              <w:t xml:space="preserve">ation International Classification of Diseases, Tenth Revision </w:t>
            </w:r>
          </w:p>
        </w:tc>
      </w:tr>
      <w:tr w:rsidR="00503D7E" w14:paraId="41FA0B6A" w14:textId="77777777" w:rsidTr="00D50DDA">
        <w:trPr>
          <w:trHeight w:val="319"/>
        </w:trPr>
        <w:tc>
          <w:tcPr>
            <w:tcW w:w="2719" w:type="dxa"/>
            <w:vAlign w:val="center"/>
          </w:tcPr>
          <w:p w14:paraId="4780C50A" w14:textId="77777777" w:rsidR="00503D7E" w:rsidRDefault="00503D7E" w:rsidP="00C2660B">
            <w:pPr>
              <w:pStyle w:val="NMHCAcronymAbbreviation"/>
            </w:pPr>
            <w:r>
              <w:t>K10</w:t>
            </w:r>
          </w:p>
        </w:tc>
        <w:tc>
          <w:tcPr>
            <w:tcW w:w="7040" w:type="dxa"/>
            <w:vAlign w:val="center"/>
          </w:tcPr>
          <w:p w14:paraId="3213F064" w14:textId="77777777" w:rsidR="00503D7E" w:rsidRDefault="00503D7E" w:rsidP="00C2660B">
            <w:pPr>
              <w:pStyle w:val="NMHCNormalAcronymbAbbreviations"/>
            </w:pPr>
            <w:r w:rsidRPr="00705667">
              <w:t>Kessler Psychological Distress Scale</w:t>
            </w:r>
          </w:p>
        </w:tc>
      </w:tr>
      <w:tr w:rsidR="00503D7E" w14:paraId="752FE0A1" w14:textId="77777777" w:rsidTr="00D50DDA">
        <w:trPr>
          <w:trHeight w:val="319"/>
        </w:trPr>
        <w:tc>
          <w:tcPr>
            <w:tcW w:w="2719" w:type="dxa"/>
            <w:vAlign w:val="center"/>
          </w:tcPr>
          <w:p w14:paraId="3094A83E" w14:textId="77777777" w:rsidR="00503D7E" w:rsidRDefault="00503D7E" w:rsidP="00E50B0E">
            <w:pPr>
              <w:pStyle w:val="NMHCAcronymAbbreviation"/>
            </w:pPr>
            <w:r>
              <w:t>National Agreement</w:t>
            </w:r>
          </w:p>
        </w:tc>
        <w:tc>
          <w:tcPr>
            <w:tcW w:w="7040" w:type="dxa"/>
            <w:vAlign w:val="center"/>
          </w:tcPr>
          <w:p w14:paraId="520717FB" w14:textId="77777777" w:rsidR="00503D7E" w:rsidRDefault="00503D7E">
            <w:pPr>
              <w:pStyle w:val="NMHCNormalAcronymbAbbreviations"/>
            </w:pPr>
            <w:r>
              <w:t xml:space="preserve">National Mental Health and Suicide Prevention Agreement </w:t>
            </w:r>
          </w:p>
        </w:tc>
      </w:tr>
      <w:tr w:rsidR="00503D7E" w14:paraId="6246FD20" w14:textId="77777777" w:rsidTr="00D50DDA">
        <w:trPr>
          <w:trHeight w:val="319"/>
        </w:trPr>
        <w:tc>
          <w:tcPr>
            <w:tcW w:w="2719" w:type="dxa"/>
            <w:vAlign w:val="center"/>
          </w:tcPr>
          <w:p w14:paraId="48C988A2" w14:textId="77777777" w:rsidR="00503D7E" w:rsidRDefault="00503D7E" w:rsidP="00C2660B">
            <w:pPr>
              <w:pStyle w:val="NMHCAcronymAbbreviation"/>
            </w:pPr>
            <w:r>
              <w:t>NHS</w:t>
            </w:r>
          </w:p>
        </w:tc>
        <w:tc>
          <w:tcPr>
            <w:tcW w:w="7040" w:type="dxa"/>
            <w:vAlign w:val="center"/>
          </w:tcPr>
          <w:p w14:paraId="768B8A56" w14:textId="77777777" w:rsidR="00503D7E" w:rsidRDefault="00503D7E" w:rsidP="00C2660B">
            <w:pPr>
              <w:pStyle w:val="NMHCNormalAcronymbAbbreviations"/>
            </w:pPr>
            <w:r>
              <w:t>National Health Survey</w:t>
            </w:r>
          </w:p>
        </w:tc>
      </w:tr>
      <w:tr w:rsidR="00503D7E" w14:paraId="24B0A052" w14:textId="77777777" w:rsidTr="00D50DDA">
        <w:trPr>
          <w:trHeight w:val="319"/>
        </w:trPr>
        <w:tc>
          <w:tcPr>
            <w:tcW w:w="2719" w:type="dxa"/>
            <w:vAlign w:val="center"/>
          </w:tcPr>
          <w:p w14:paraId="5869A671" w14:textId="77777777" w:rsidR="00503D7E" w:rsidRDefault="00503D7E">
            <w:pPr>
              <w:pStyle w:val="NMHCAcronymAbbreviation"/>
            </w:pPr>
            <w:r w:rsidRPr="00B63B2A">
              <w:t>NMHC</w:t>
            </w:r>
          </w:p>
        </w:tc>
        <w:tc>
          <w:tcPr>
            <w:tcW w:w="7040" w:type="dxa"/>
            <w:vAlign w:val="center"/>
          </w:tcPr>
          <w:p w14:paraId="68231384" w14:textId="77777777" w:rsidR="00503D7E" w:rsidRDefault="00503D7E">
            <w:pPr>
              <w:pStyle w:val="NMHCNormalAcronymbAbbreviations"/>
            </w:pPr>
            <w:r>
              <w:t>National Mental Health Commission</w:t>
            </w:r>
          </w:p>
        </w:tc>
      </w:tr>
      <w:tr w:rsidR="00503D7E" w14:paraId="4769DF3C" w14:textId="77777777" w:rsidTr="00D50DDA">
        <w:trPr>
          <w:trHeight w:val="319"/>
        </w:trPr>
        <w:tc>
          <w:tcPr>
            <w:tcW w:w="2719" w:type="dxa"/>
            <w:vAlign w:val="center"/>
          </w:tcPr>
          <w:p w14:paraId="27033CD0" w14:textId="77777777" w:rsidR="00503D7E" w:rsidRDefault="00503D7E">
            <w:pPr>
              <w:pStyle w:val="NMHCAcronymAbbreviation"/>
            </w:pPr>
            <w:r>
              <w:t>NSMHW</w:t>
            </w:r>
          </w:p>
        </w:tc>
        <w:tc>
          <w:tcPr>
            <w:tcW w:w="7040" w:type="dxa"/>
            <w:vAlign w:val="center"/>
          </w:tcPr>
          <w:p w14:paraId="4240B4EE" w14:textId="77777777" w:rsidR="00503D7E" w:rsidRDefault="00503D7E">
            <w:pPr>
              <w:pStyle w:val="NMHCNormalAcronymbAbbreviations"/>
            </w:pPr>
            <w:r>
              <w:t>National Study of Mental Health and Wellbeing</w:t>
            </w:r>
          </w:p>
        </w:tc>
      </w:tr>
      <w:tr w:rsidR="00503D7E" w14:paraId="7D200491" w14:textId="77777777" w:rsidTr="00D50DDA">
        <w:trPr>
          <w:trHeight w:val="319"/>
        </w:trPr>
        <w:tc>
          <w:tcPr>
            <w:tcW w:w="2719" w:type="dxa"/>
            <w:vAlign w:val="center"/>
          </w:tcPr>
          <w:p w14:paraId="43A5D34B" w14:textId="77777777" w:rsidR="00503D7E" w:rsidRDefault="00503D7E" w:rsidP="00C2660B">
            <w:pPr>
              <w:pStyle w:val="NMHCAcronymAbbreviation"/>
            </w:pPr>
            <w:r>
              <w:t>OCD</w:t>
            </w:r>
          </w:p>
        </w:tc>
        <w:tc>
          <w:tcPr>
            <w:tcW w:w="7040" w:type="dxa"/>
            <w:vAlign w:val="center"/>
          </w:tcPr>
          <w:p w14:paraId="4BA7BD8F" w14:textId="77777777" w:rsidR="00503D7E" w:rsidRPr="007A55C5" w:rsidRDefault="00503D7E" w:rsidP="00C2660B">
            <w:pPr>
              <w:pStyle w:val="NMHCNormalAcronymbAbbreviations"/>
            </w:pPr>
            <w:r>
              <w:t>Obsessive-Compulsive Disorder</w:t>
            </w:r>
          </w:p>
        </w:tc>
      </w:tr>
      <w:tr w:rsidR="00503D7E" w14:paraId="112134D2" w14:textId="77777777" w:rsidTr="00D50DDA">
        <w:trPr>
          <w:trHeight w:val="319"/>
        </w:trPr>
        <w:tc>
          <w:tcPr>
            <w:tcW w:w="2719" w:type="dxa"/>
            <w:vAlign w:val="center"/>
          </w:tcPr>
          <w:p w14:paraId="505C24E9" w14:textId="77777777" w:rsidR="00503D7E" w:rsidRDefault="00503D7E" w:rsidP="00C2660B">
            <w:pPr>
              <w:pStyle w:val="NMHCAcronymAbbreviation"/>
            </w:pPr>
            <w:r>
              <w:t>PTSD</w:t>
            </w:r>
          </w:p>
        </w:tc>
        <w:tc>
          <w:tcPr>
            <w:tcW w:w="7040" w:type="dxa"/>
            <w:vAlign w:val="center"/>
          </w:tcPr>
          <w:p w14:paraId="7A00F0C2" w14:textId="77777777" w:rsidR="00503D7E" w:rsidRDefault="00503D7E" w:rsidP="00C2660B">
            <w:pPr>
              <w:pStyle w:val="NMHCNormalAcronymbAbbreviations"/>
            </w:pPr>
            <w:r>
              <w:t xml:space="preserve">Post-traumatic </w:t>
            </w:r>
            <w:proofErr w:type="gramStart"/>
            <w:r>
              <w:t>Stress Disorder</w:t>
            </w:r>
            <w:proofErr w:type="gramEnd"/>
          </w:p>
        </w:tc>
      </w:tr>
    </w:tbl>
    <w:p w14:paraId="3BEA5D90" w14:textId="77777777" w:rsidR="00567892" w:rsidRDefault="00567892" w:rsidP="00567892">
      <w:pPr>
        <w:suppressAutoHyphens w:val="0"/>
        <w:autoSpaceDE/>
        <w:autoSpaceDN/>
        <w:adjustRightInd/>
        <w:spacing w:after="0" w:line="240" w:lineRule="auto"/>
        <w:textAlignment w:val="auto"/>
        <w:sectPr w:rsidR="00567892" w:rsidSect="000E7377">
          <w:headerReference w:type="default" r:id="rId83"/>
          <w:footnotePr>
            <w:numFmt w:val="lowerRoman"/>
          </w:footnotePr>
          <w:endnotePr>
            <w:numFmt w:val="decimal"/>
          </w:endnotePr>
          <w:type w:val="continuous"/>
          <w:pgSz w:w="11900" w:h="16840"/>
          <w:pgMar w:top="1701" w:right="1134" w:bottom="1701" w:left="1134" w:header="1134" w:footer="567" w:gutter="0"/>
          <w:cols w:num="2" w:space="709"/>
          <w:titlePg/>
          <w:docGrid w:linePitch="360"/>
        </w:sectPr>
      </w:pPr>
    </w:p>
    <w:p w14:paraId="5FF603D9" w14:textId="329F4B2F" w:rsidR="00660E2A" w:rsidRPr="00DE007A" w:rsidRDefault="00D810C7" w:rsidP="00625426">
      <w:pPr>
        <w:pStyle w:val="Heading1"/>
      </w:pPr>
      <w:bookmarkStart w:id="464" w:name="_Toc169868026"/>
      <w:r>
        <w:rPr>
          <w:noProof/>
        </w:rPr>
        <w:lastRenderedPageBreak/>
        <mc:AlternateContent>
          <mc:Choice Requires="wps">
            <w:drawing>
              <wp:anchor distT="0" distB="0" distL="114300" distR="114300" simplePos="0" relativeHeight="251658243" behindDoc="0" locked="0" layoutInCell="1" allowOverlap="1" wp14:anchorId="046125F8" wp14:editId="1E7A72E2">
                <wp:simplePos x="0" y="0"/>
                <wp:positionH relativeFrom="column">
                  <wp:posOffset>-123825</wp:posOffset>
                </wp:positionH>
                <wp:positionV relativeFrom="paragraph">
                  <wp:posOffset>8812530</wp:posOffset>
                </wp:positionV>
                <wp:extent cx="2451600" cy="2304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451600" cy="230400"/>
                        </a:xfrm>
                        <a:prstGeom prst="rect">
                          <a:avLst/>
                        </a:prstGeom>
                        <a:noFill/>
                        <a:ln w="6350">
                          <a:noFill/>
                        </a:ln>
                      </wps:spPr>
                      <wps:txbx>
                        <w:txbxContent>
                          <w:p w14:paraId="16A15A57" w14:textId="77777777" w:rsidR="00D810C7" w:rsidRPr="00B02E44" w:rsidRDefault="00D810C7" w:rsidP="00D810C7">
                            <w:pPr>
                              <w:pStyle w:val="NMHCBackCoverWebsite"/>
                            </w:pPr>
                            <w:r w:rsidRPr="00B02E44">
                              <w:t>www.mentalhealthcommission.gov.au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125F8" id="Text Box 13" o:spid="_x0000_s1029" type="#_x0000_t202" style="position:absolute;margin-left:-9.75pt;margin-top:693.9pt;width:193.05pt;height:18.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" filled="f" stroked="f" strokeweight=".5pt">
                <v:textbox inset="0,0,0,0">
                  <w:txbxContent>
                    <w:p w14:paraId="16A15A57" w14:textId="77777777" w:rsidR="00D810C7" w:rsidRPr="00B02E44" w:rsidRDefault="00D810C7" w:rsidP="00D810C7">
                      <w:pPr>
                        <w:pStyle w:val="NMHCBackCoverWebsite"/>
                      </w:pPr>
                      <w:r w:rsidRPr="00B02E44">
                        <w:t>www.mentalhealthcommission.gov.au</w:t>
                      </w:r>
                    </w:p>
                  </w:txbxContent>
                </v:textbox>
              </v:shape>
            </w:pict>
          </mc:Fallback>
        </mc:AlternateContent>
      </w:r>
      <w:bookmarkEnd w:id="464"/>
    </w:p>
    <w:sectPr w:rsidR="00660E2A" w:rsidRPr="00DE007A" w:rsidSect="000E7377">
      <w:headerReference w:type="default" r:id="rId84"/>
      <w:footerReference w:type="even" r:id="rId85"/>
      <w:footerReference w:type="default" r:id="rId86"/>
      <w:headerReference w:type="first" r:id="rId87"/>
      <w:pgSz w:w="11900" w:h="16840"/>
      <w:pgMar w:top="1701" w:right="1134" w:bottom="1701" w:left="1134" w:header="113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3B4585" w14:textId="77777777" w:rsidR="0032278F" w:rsidRDefault="0032278F" w:rsidP="00DC1DC6">
      <w:r>
        <w:separator/>
      </w:r>
    </w:p>
  </w:endnote>
  <w:endnote w:type="continuationSeparator" w:id="0">
    <w:p w14:paraId="6D33AD89" w14:textId="77777777" w:rsidR="0032278F" w:rsidRDefault="0032278F" w:rsidP="00DC1DC6">
      <w:r>
        <w:continuationSeparator/>
      </w:r>
    </w:p>
  </w:endnote>
  <w:endnote w:type="continuationNotice" w:id="1">
    <w:p w14:paraId="63DC0E7C" w14:textId="77777777" w:rsidR="0032278F" w:rsidRDefault="0032278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Bold">
    <w:altName w:val="Arial"/>
    <w:panose1 w:val="00000000000000000000"/>
    <w:charset w:val="00"/>
    <w:family w:val="auto"/>
    <w:notTrueType/>
    <w:pitch w:val="variable"/>
    <w:sig w:usb0="E0000AFF" w:usb1="5000217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Roboto">
    <w:altName w:val="Arial"/>
    <w:charset w:val="00"/>
    <w:family w:val="auto"/>
    <w:pitch w:val="variable"/>
    <w:sig w:usb0="E0000AFF" w:usb1="5000217F" w:usb2="0000002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Light">
    <w:altName w:val="Arial"/>
    <w:panose1 w:val="00000000000000000000"/>
    <w:charset w:val="00"/>
    <w:family w:val="auto"/>
    <w:notTrueType/>
    <w:pitch w:val="variable"/>
    <w:sig w:usb0="E0000AFF" w:usb1="5000217F" w:usb2="00000021" w:usb3="00000000" w:csb0="0000019F" w:csb1="00000000"/>
  </w:font>
  <w:font w:name="Merriweather-Regular">
    <w:altName w:val="Cambria"/>
    <w:charset w:val="4D"/>
    <w:family w:val="auto"/>
    <w:pitch w:val="variable"/>
    <w:sig w:usb0="A00002BF" w:usb1="5000207B" w:usb2="00000008" w:usb3="00000000" w:csb0="00000197" w:csb1="00000000"/>
  </w:font>
  <w:font w:name="Roboto-Regular">
    <w:altName w:val="Arial"/>
    <w:panose1 w:val="00000000000000000000"/>
    <w:charset w:val="00"/>
    <w:family w:val="auto"/>
    <w:notTrueType/>
    <w:pitch w:val="variable"/>
    <w:sig w:usb0="E0000AFF" w:usb1="5000217F" w:usb2="00000021" w:usb3="00000000" w:csb0="0000019F" w:csb1="00000000"/>
  </w:font>
  <w:font w:name="Roboto-Medium">
    <w:altName w:val="Arial"/>
    <w:panose1 w:val="00000000000000000000"/>
    <w:charset w:val="00"/>
    <w:family w:val="auto"/>
    <w:notTrueType/>
    <w:pitch w:val="variable"/>
    <w:sig w:usb0="E0000AFF" w:usb1="5000217F" w:usb2="00000021"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MerriweatherLight">
    <w:altName w:val="Calibri"/>
    <w:charset w:val="4D"/>
    <w:family w:val="auto"/>
    <w:pitch w:val="variable"/>
    <w:sig w:usb0="A00002BF" w:usb1="5000207B" w:usb2="00000008" w:usb3="00000000" w:csb0="00000197" w:csb1="00000000"/>
  </w:font>
  <w:font w:name="Merriweather">
    <w:charset w:val="00"/>
    <w:family w:val="auto"/>
    <w:pitch w:val="variable"/>
    <w:sig w:usb0="20000207" w:usb1="00000002" w:usb2="00000000" w:usb3="00000000" w:csb0="00000197" w:csb1="00000000"/>
  </w:font>
  <w:font w:name="Roboto Light">
    <w:altName w:val="Arial"/>
    <w:charset w:val="00"/>
    <w:family w:val="auto"/>
    <w:pitch w:val="variable"/>
    <w:sig w:usb0="E0000AFF" w:usb1="5000217F" w:usb2="00000021" w:usb3="00000000" w:csb0="0000019F" w:csb1="00000000"/>
  </w:font>
  <w:font w:name="Bahnschrift SemiBold SemiConden">
    <w:panose1 w:val="020B0502040204020203"/>
    <w:charset w:val="00"/>
    <w:family w:val="swiss"/>
    <w:pitch w:val="variable"/>
    <w:sig w:usb0="A00002C7" w:usb1="00000002" w:usb2="00000000" w:usb3="00000000" w:csb0="0000019F" w:csb1="00000000"/>
  </w:font>
  <w:font w:name="Calibri (Body)">
    <w:altName w:val="Calibri"/>
    <w:panose1 w:val="00000000000000000000"/>
    <w:charset w:val="00"/>
    <w:family w:val="roman"/>
    <w:notTrueType/>
    <w:pitch w:val="default"/>
  </w:font>
  <w:font w:name="Roboto Medium">
    <w:altName w:val="Arial"/>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Open Sans">
    <w:charset w:val="00"/>
    <w:family w:val="swiss"/>
    <w:pitch w:val="variable"/>
    <w:sig w:usb0="E00002EF" w:usb1="4000205B" w:usb2="00000028" w:usb3="00000000" w:csb0="0000019F" w:csb1="00000000"/>
  </w:font>
  <w:font w:name="Gotham Book">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51712444"/>
      <w:docPartObj>
        <w:docPartGallery w:val="Page Numbers (Bottom of Page)"/>
        <w:docPartUnique/>
      </w:docPartObj>
    </w:sdtPr>
    <w:sdtContent>
      <w:p w14:paraId="5EAE6287" w14:textId="06A17B30" w:rsidR="00ED090F" w:rsidRDefault="00ED090F" w:rsidP="0080375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E05BB">
          <w:rPr>
            <w:rStyle w:val="PageNumber"/>
            <w:noProof/>
          </w:rPr>
          <w:t>5</w:t>
        </w:r>
        <w:r>
          <w:rPr>
            <w:rStyle w:val="PageNumber"/>
          </w:rPr>
          <w:fldChar w:fldCharType="end"/>
        </w:r>
      </w:p>
    </w:sdtContent>
  </w:sdt>
  <w:p w14:paraId="7DEBEB4A" w14:textId="77777777" w:rsidR="00ED090F" w:rsidRDefault="00ED090F" w:rsidP="00ED090F">
    <w:pPr>
      <w:pStyle w:val="Footer"/>
      <w:ind w:right="360"/>
    </w:pPr>
  </w:p>
  <w:p w14:paraId="6D5DB86A" w14:textId="77777777" w:rsidR="003E2D9C" w:rsidRDefault="003E2D9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1293095"/>
      <w:docPartObj>
        <w:docPartGallery w:val="Page Numbers (Bottom of Page)"/>
        <w:docPartUnique/>
      </w:docPartObj>
    </w:sdtPr>
    <w:sdtContent>
      <w:p w14:paraId="3F9B8C08" w14:textId="60D64CBE" w:rsidR="00803754" w:rsidRPr="00A94618" w:rsidRDefault="00803754">
        <w:pPr>
          <w:pStyle w:val="Footer"/>
          <w:framePr w:wrap="none" w:vAnchor="text" w:hAnchor="margin" w:xAlign="right" w:y="1"/>
          <w:rPr>
            <w:rStyle w:val="PageNumber"/>
          </w:rPr>
        </w:pPr>
        <w:r w:rsidRPr="00A94618">
          <w:rPr>
            <w:rStyle w:val="PageNumber"/>
          </w:rPr>
          <w:fldChar w:fldCharType="begin"/>
        </w:r>
        <w:r w:rsidRPr="00A94618">
          <w:rPr>
            <w:rStyle w:val="PageNumber"/>
          </w:rPr>
          <w:instrText xml:space="preserve"> PAGE </w:instrText>
        </w:r>
        <w:r w:rsidRPr="00A94618">
          <w:rPr>
            <w:rStyle w:val="PageNumber"/>
          </w:rPr>
          <w:fldChar w:fldCharType="separate"/>
        </w:r>
        <w:r w:rsidRPr="00A94618">
          <w:rPr>
            <w:rStyle w:val="PageNumber"/>
          </w:rPr>
          <w:t>2</w:t>
        </w:r>
        <w:r w:rsidRPr="00A94618">
          <w:rPr>
            <w:rStyle w:val="PageNumber"/>
          </w:rPr>
          <w:fldChar w:fldCharType="end"/>
        </w:r>
      </w:p>
    </w:sdtContent>
  </w:sdt>
  <w:p w14:paraId="1177E724" w14:textId="697D18A6" w:rsidR="00C625D7" w:rsidRDefault="00803754" w:rsidP="00254862">
    <w:pPr>
      <w:pStyle w:val="Folio-DocumentNameFOLIO"/>
    </w:pPr>
    <w:r w:rsidRPr="00737032">
      <w:t xml:space="preserve">National Mental Health </w:t>
    </w:r>
    <w:proofErr w:type="gramStart"/>
    <w:r w:rsidRPr="00737032">
      <w:t>Commission</w:t>
    </w:r>
    <w:r w:rsidR="00737032">
      <w:t xml:space="preserve"> </w:t>
    </w:r>
    <w:r w:rsidR="00A94618">
      <w:t xml:space="preserve"> </w:t>
    </w:r>
    <w:r w:rsidR="00737032" w:rsidRPr="00A60BB3">
      <w:rPr>
        <w:color w:val="008143"/>
      </w:rPr>
      <w:t>•</w:t>
    </w:r>
    <w:proofErr w:type="gramEnd"/>
    <w:r w:rsidR="00A94618" w:rsidRPr="00A60BB3">
      <w:rPr>
        <w:color w:val="008143"/>
      </w:rPr>
      <w:t xml:space="preserve"> </w:t>
    </w:r>
    <w:r w:rsidR="00A94618">
      <w:t xml:space="preserve"> </w:t>
    </w:r>
    <w:r w:rsidR="00B60675">
      <w:t xml:space="preserve">National </w:t>
    </w:r>
    <w:r w:rsidR="00A60BB3">
      <w:t>Report Card</w:t>
    </w:r>
    <w:r w:rsidR="00C625D7">
      <w:t xml:space="preserve"> </w:t>
    </w:r>
    <w:r w:rsidR="00B60675">
      <w:t xml:space="preserve">2023 </w:t>
    </w:r>
    <w:r w:rsidR="00C625D7">
      <w:t>Technical Report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6047741"/>
      <w:docPartObj>
        <w:docPartGallery w:val="Page Numbers (Bottom of Page)"/>
        <w:docPartUnique/>
      </w:docPartObj>
    </w:sdtPr>
    <w:sdtContent>
      <w:p w14:paraId="45CD0FB3" w14:textId="77777777" w:rsidR="00FB4752" w:rsidRDefault="00FB4752" w:rsidP="0080375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sdtContent>
  </w:sdt>
  <w:p w14:paraId="66E0324C" w14:textId="77777777" w:rsidR="00FB4752" w:rsidRDefault="00FB4752" w:rsidP="00ED090F">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FFFFFF" w:themeColor="background1"/>
      </w:rPr>
      <w:id w:val="201142124"/>
      <w:docPartObj>
        <w:docPartGallery w:val="Page Numbers (Bottom of Page)"/>
        <w:docPartUnique/>
      </w:docPartObj>
    </w:sdtPr>
    <w:sdtContent>
      <w:p w14:paraId="27A03949" w14:textId="77777777" w:rsidR="00FB4752" w:rsidRPr="00D50DDA" w:rsidRDefault="00FB4752" w:rsidP="00D50DDA">
        <w:pPr>
          <w:pStyle w:val="Footer"/>
          <w:framePr w:wrap="none" w:vAnchor="text" w:hAnchor="page" w:x="10486" w:y="-1016"/>
          <w:rPr>
            <w:rStyle w:val="PageNumber"/>
            <w:color w:val="FFFFFF" w:themeColor="background1"/>
          </w:rPr>
        </w:pPr>
        <w:r w:rsidRPr="00D50DDA">
          <w:rPr>
            <w:rStyle w:val="PageNumber"/>
            <w:color w:val="FFFFFF" w:themeColor="background1"/>
          </w:rPr>
          <w:fldChar w:fldCharType="begin"/>
        </w:r>
        <w:r w:rsidRPr="00D50DDA">
          <w:rPr>
            <w:rStyle w:val="PageNumber"/>
            <w:color w:val="FFFFFF" w:themeColor="background1"/>
          </w:rPr>
          <w:instrText xml:space="preserve"> PAGE </w:instrText>
        </w:r>
        <w:r w:rsidRPr="00D50DDA">
          <w:rPr>
            <w:rStyle w:val="PageNumber"/>
            <w:color w:val="FFFFFF" w:themeColor="background1"/>
          </w:rPr>
          <w:fldChar w:fldCharType="separate"/>
        </w:r>
        <w:r w:rsidRPr="00D50DDA">
          <w:rPr>
            <w:rStyle w:val="PageNumber"/>
            <w:color w:val="FFFFFF" w:themeColor="background1"/>
          </w:rPr>
          <w:t>2</w:t>
        </w:r>
        <w:r w:rsidRPr="00D50DDA">
          <w:rPr>
            <w:rStyle w:val="PageNumber"/>
            <w:color w:val="FFFFFF" w:themeColor="background1"/>
          </w:rPr>
          <w:fldChar w:fldCharType="end"/>
        </w:r>
      </w:p>
    </w:sdtContent>
  </w:sdt>
  <w:p w14:paraId="48C25CD1" w14:textId="16763829" w:rsidR="00FB4752" w:rsidRPr="00737032" w:rsidRDefault="00FB4752" w:rsidP="00737032">
    <w:pPr>
      <w:pStyle w:val="Folio-DocumentNameFOLI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CD8A3D" w14:textId="77777777" w:rsidR="0032278F" w:rsidRDefault="0032278F" w:rsidP="00DC1DC6">
      <w:r>
        <w:separator/>
      </w:r>
    </w:p>
  </w:footnote>
  <w:footnote w:type="continuationSeparator" w:id="0">
    <w:p w14:paraId="7F3223F6" w14:textId="77777777" w:rsidR="0032278F" w:rsidRDefault="0032278F" w:rsidP="00DC1DC6">
      <w:r>
        <w:continuationSeparator/>
      </w:r>
    </w:p>
  </w:footnote>
  <w:footnote w:type="continuationNotice" w:id="1">
    <w:p w14:paraId="5FF82818" w14:textId="77777777" w:rsidR="0032278F" w:rsidRDefault="0032278F">
      <w:pPr>
        <w:spacing w:after="0" w:line="240" w:lineRule="auto"/>
      </w:pPr>
    </w:p>
  </w:footnote>
  <w:footnote w:id="2">
    <w:p w14:paraId="2DEBEAFE" w14:textId="5683CDAF" w:rsidR="000B7F87" w:rsidRPr="00927E95" w:rsidRDefault="000B7F87" w:rsidP="000B7F87">
      <w:pPr>
        <w:pStyle w:val="FootnoteText"/>
        <w:rPr>
          <w:lang w:val="en-AU"/>
        </w:rPr>
      </w:pPr>
      <w:r w:rsidRPr="005D5F2B">
        <w:rPr>
          <w:rStyle w:val="FootnoteReference"/>
          <w:rFonts w:ascii="Roboto-Light" w:hAnsi="Roboto-Light"/>
          <w:sz w:val="16"/>
          <w:szCs w:val="16"/>
        </w:rPr>
        <w:footnoteRef/>
      </w:r>
      <w:r w:rsidRPr="005D5F2B">
        <w:rPr>
          <w:rFonts w:ascii="Roboto-Light" w:hAnsi="Roboto-Light"/>
          <w:sz w:val="18"/>
          <w:szCs w:val="18"/>
        </w:rPr>
        <w:t xml:space="preserve"> </w:t>
      </w:r>
      <w:r w:rsidRPr="005D5F2B">
        <w:rPr>
          <w:rFonts w:ascii="Roboto-Light" w:hAnsi="Roboto-Light"/>
          <w:sz w:val="16"/>
          <w:szCs w:val="16"/>
          <w:lang w:val="en-AU"/>
        </w:rPr>
        <w:t>F</w:t>
      </w:r>
      <w:r w:rsidRPr="00D50DDA">
        <w:rPr>
          <w:rFonts w:ascii="Roboto-Light" w:hAnsi="Roboto-Light"/>
          <w:sz w:val="16"/>
          <w:szCs w:val="16"/>
          <w:lang w:val="en-AU"/>
        </w:rPr>
        <w:t xml:space="preserve">or further information regarding </w:t>
      </w:r>
      <w:r w:rsidR="0068798D" w:rsidRPr="00D50DDA">
        <w:rPr>
          <w:rFonts w:ascii="Roboto-Light" w:hAnsi="Roboto-Light"/>
          <w:sz w:val="16"/>
          <w:szCs w:val="16"/>
          <w:lang w:val="en-AU"/>
        </w:rPr>
        <w:t>diagnostic criteria and threshold</w:t>
      </w:r>
      <w:r w:rsidR="006B3736" w:rsidRPr="00D50DDA">
        <w:rPr>
          <w:rFonts w:ascii="Roboto-Light" w:hAnsi="Roboto-Light"/>
          <w:sz w:val="16"/>
          <w:szCs w:val="16"/>
          <w:lang w:val="en-AU"/>
        </w:rPr>
        <w:t>s</w:t>
      </w:r>
      <w:r w:rsidRPr="00D50DDA">
        <w:rPr>
          <w:rFonts w:ascii="Roboto-Light" w:hAnsi="Roboto-Light"/>
          <w:sz w:val="16"/>
          <w:szCs w:val="16"/>
          <w:lang w:val="en-AU"/>
        </w:rPr>
        <w:t xml:space="preserve">, </w:t>
      </w:r>
      <w:r w:rsidR="006B3736" w:rsidRPr="00D50DDA">
        <w:rPr>
          <w:rFonts w:ascii="Roboto-Light" w:hAnsi="Roboto-Light"/>
          <w:sz w:val="16"/>
          <w:szCs w:val="16"/>
          <w:lang w:val="en-AU"/>
        </w:rPr>
        <w:t>refer to</w:t>
      </w:r>
      <w:r w:rsidRPr="00D50DDA">
        <w:rPr>
          <w:rFonts w:ascii="Roboto-Light" w:hAnsi="Roboto-Light"/>
          <w:sz w:val="16"/>
          <w:szCs w:val="16"/>
          <w:lang w:val="en-AU"/>
        </w:rPr>
        <w:t xml:space="preserve"> </w:t>
      </w:r>
      <w:hyperlink r:id="rId1" w:history="1">
        <w:r w:rsidRPr="00D50DDA">
          <w:rPr>
            <w:rStyle w:val="Hyperlink"/>
            <w:rFonts w:ascii="Roboto-Light" w:hAnsi="Roboto-Light"/>
            <w:sz w:val="16"/>
            <w:szCs w:val="16"/>
            <w:lang w:val="en-AU"/>
          </w:rPr>
          <w:t>National Study of Mental Health and Wellbeing methodology</w:t>
        </w:r>
      </w:hyperlink>
      <w:r w:rsidRPr="00D50DDA">
        <w:rPr>
          <w:rFonts w:ascii="Roboto-Light" w:hAnsi="Roboto-Light"/>
          <w:sz w:val="16"/>
          <w:szCs w:val="16"/>
          <w:lang w:val="en-AU"/>
        </w:rPr>
        <w:t>.</w:t>
      </w:r>
    </w:p>
  </w:footnote>
  <w:footnote w:id="3">
    <w:p w14:paraId="4C2142DD" w14:textId="0E00885A" w:rsidR="00EE41ED" w:rsidRPr="006B71DE" w:rsidRDefault="00EE41ED" w:rsidP="00EE41ED">
      <w:pPr>
        <w:pStyle w:val="FootnoteText"/>
        <w:rPr>
          <w:rFonts w:ascii="Roboto Light" w:hAnsi="Roboto Light"/>
          <w:lang w:val="en-AU"/>
        </w:rPr>
      </w:pPr>
      <w:r w:rsidRPr="005D5F2B">
        <w:rPr>
          <w:rStyle w:val="FootnoteReference"/>
          <w:rFonts w:ascii="Roboto-Light" w:hAnsi="Roboto-Light"/>
          <w:sz w:val="16"/>
          <w:szCs w:val="16"/>
        </w:rPr>
        <w:footnoteRef/>
      </w:r>
      <w:r w:rsidRPr="005D5F2B">
        <w:rPr>
          <w:rFonts w:ascii="Roboto-Light" w:hAnsi="Roboto-Light"/>
          <w:sz w:val="16"/>
          <w:szCs w:val="16"/>
        </w:rPr>
        <w:t xml:space="preserve"> </w:t>
      </w:r>
      <w:r w:rsidRPr="00A86E74">
        <w:rPr>
          <w:rFonts w:ascii="Roboto-Light" w:hAnsi="Roboto-Light" w:cs="Segoe UI"/>
          <w:color w:val="212121"/>
          <w:sz w:val="16"/>
          <w:szCs w:val="16"/>
          <w:shd w:val="clear" w:color="auto" w:fill="FFFFFF"/>
        </w:rPr>
        <w:t xml:space="preserve">Kessler RC, Andrews G, Colpe LJ, Hiripi E, Mroczek DK, Normand SL, Walters EE, Zaslavsky AM. Short screening scales to monitor population prevalences and trends in non-specific psychological distress. Psychol Med. 2002 Aug;32(6):959-76. </w:t>
      </w:r>
      <w:r w:rsidR="00FE3149" w:rsidRPr="002B1D53">
        <w:rPr>
          <w:rFonts w:ascii="Roboto-Light" w:hAnsi="Roboto-Light" w:cs="Segoe UI"/>
          <w:color w:val="212121"/>
          <w:sz w:val="16"/>
          <w:szCs w:val="16"/>
          <w:shd w:val="clear" w:color="auto" w:fill="FFFFFF"/>
        </w:rPr>
        <w:t>doi:10.1017/s0033291702006074</w:t>
      </w:r>
      <w:r w:rsidR="00FE3149">
        <w:rPr>
          <w:rFonts w:ascii="Roboto-Light" w:hAnsi="Roboto-Light" w:cs="Segoe UI"/>
          <w:color w:val="212121"/>
          <w:sz w:val="16"/>
          <w:szCs w:val="16"/>
          <w:shd w:val="clear" w:color="auto" w:fill="FFFFFF"/>
        </w:rPr>
        <w:t xml:space="preserve">. </w:t>
      </w:r>
    </w:p>
  </w:footnote>
  <w:footnote w:id="4">
    <w:p w14:paraId="330EE3D0" w14:textId="16C9B406" w:rsidR="00EE41ED" w:rsidRPr="003D771B" w:rsidRDefault="00EE41ED" w:rsidP="00EE41ED">
      <w:pPr>
        <w:pStyle w:val="FootnoteText"/>
        <w:rPr>
          <w:rFonts w:ascii="Roboto-Light" w:hAnsi="Roboto-Light"/>
          <w:sz w:val="16"/>
          <w:szCs w:val="16"/>
          <w:lang w:val="en-AU"/>
        </w:rPr>
      </w:pPr>
      <w:r w:rsidRPr="00D50DDA">
        <w:rPr>
          <w:rStyle w:val="FootnoteReference"/>
          <w:rFonts w:ascii="Roboto-Light" w:hAnsi="Roboto-Light"/>
          <w:sz w:val="16"/>
          <w:szCs w:val="16"/>
        </w:rPr>
        <w:footnoteRef/>
      </w:r>
      <w:r w:rsidRPr="00D50DDA">
        <w:rPr>
          <w:rFonts w:ascii="Roboto-Light" w:hAnsi="Roboto-Light"/>
          <w:sz w:val="16"/>
          <w:szCs w:val="16"/>
        </w:rPr>
        <w:t xml:space="preserve"> </w:t>
      </w:r>
      <w:r w:rsidRPr="00A86E74">
        <w:rPr>
          <w:rFonts w:ascii="Roboto-Light" w:hAnsi="Roboto-Light"/>
          <w:sz w:val="16"/>
          <w:szCs w:val="16"/>
        </w:rPr>
        <w:t xml:space="preserve">Lombardo P, Jones W, Wang L, Shen X, Goldner EM. The fundamental association between mental health and life satisfaction: results from successive waves of a Canadian national survey. BMC Public Health. 2018 Mar 12;18(1):342. </w:t>
      </w:r>
      <w:r w:rsidR="003D771B" w:rsidRPr="002B1D53">
        <w:rPr>
          <w:rFonts w:ascii="Roboto-Light" w:hAnsi="Roboto-Light"/>
          <w:sz w:val="16"/>
          <w:szCs w:val="16"/>
        </w:rPr>
        <w:t>doi:10.1186/s12889-018-5235-x</w:t>
      </w:r>
    </w:p>
  </w:footnote>
  <w:footnote w:id="5">
    <w:p w14:paraId="5D467FFF" w14:textId="77777777" w:rsidR="00EE41ED" w:rsidRPr="00A86E74" w:rsidRDefault="00EE41ED" w:rsidP="00EE41ED">
      <w:pPr>
        <w:pStyle w:val="FootnoteText"/>
        <w:rPr>
          <w:rFonts w:ascii="Roboto-Light" w:hAnsi="Roboto-Light"/>
          <w:sz w:val="16"/>
          <w:szCs w:val="16"/>
          <w:lang w:val="en-AU"/>
        </w:rPr>
      </w:pPr>
      <w:r w:rsidRPr="00A86E74">
        <w:rPr>
          <w:rStyle w:val="FootnoteReference"/>
          <w:rFonts w:ascii="Roboto-Light" w:hAnsi="Roboto-Light"/>
          <w:sz w:val="16"/>
          <w:szCs w:val="16"/>
        </w:rPr>
        <w:footnoteRef/>
      </w:r>
      <w:r w:rsidRPr="00A86E74">
        <w:rPr>
          <w:rFonts w:ascii="Roboto-Light" w:hAnsi="Roboto-Light"/>
          <w:sz w:val="16"/>
          <w:szCs w:val="16"/>
        </w:rPr>
        <w:t xml:space="preserve"> </w:t>
      </w:r>
      <w:r w:rsidRPr="00A86E74">
        <w:rPr>
          <w:rFonts w:ascii="Roboto-Light" w:hAnsi="Roboto-Light"/>
          <w:sz w:val="16"/>
          <w:szCs w:val="16"/>
          <w:lang w:val="en-AU"/>
        </w:rPr>
        <w:t>Rotter JB. Generalized expectancies for internal versus external control of reinforcement. Psychological Monographs: General and Applied. 1966; 80(1): 1-28.</w:t>
      </w:r>
    </w:p>
  </w:footnote>
  <w:footnote w:id="6">
    <w:p w14:paraId="74A946E1" w14:textId="77777777" w:rsidR="00EE41ED" w:rsidRPr="00A86E74" w:rsidRDefault="00EE41ED" w:rsidP="00EE41ED">
      <w:pPr>
        <w:pStyle w:val="AIHWbodytext"/>
        <w:spacing w:before="0" w:after="0" w:line="240" w:lineRule="auto"/>
        <w:rPr>
          <w:rFonts w:ascii="Roboto-Light" w:hAnsi="Roboto-Light"/>
          <w:sz w:val="16"/>
          <w:szCs w:val="16"/>
          <w:lang w:eastAsia="en-AU"/>
        </w:rPr>
      </w:pPr>
      <w:r w:rsidRPr="00A86E74">
        <w:rPr>
          <w:rStyle w:val="FootnoteReference"/>
          <w:rFonts w:ascii="Roboto-Light" w:hAnsi="Roboto-Light"/>
          <w:sz w:val="16"/>
          <w:szCs w:val="16"/>
        </w:rPr>
        <w:footnoteRef/>
      </w:r>
      <w:r w:rsidRPr="00A86E74">
        <w:rPr>
          <w:rFonts w:ascii="Roboto-Light" w:hAnsi="Roboto-Light"/>
          <w:sz w:val="16"/>
          <w:szCs w:val="16"/>
        </w:rPr>
        <w:t xml:space="preserve"> </w:t>
      </w:r>
      <w:r w:rsidRPr="00A86E74">
        <w:rPr>
          <w:rFonts w:ascii="Roboto-Light" w:hAnsi="Roboto-Light"/>
          <w:sz w:val="16"/>
          <w:szCs w:val="16"/>
          <w:lang w:eastAsia="en-AU"/>
        </w:rPr>
        <w:t>Botha F, Dahman SC. Working Paper Series Locus of control, self-control and health outcomes. Applied Economic &amp; Social Research, Melbourne Institute. 2022.</w:t>
      </w:r>
    </w:p>
    <w:p w14:paraId="1D111F80" w14:textId="77777777" w:rsidR="00EE41ED" w:rsidRPr="00BC358F" w:rsidRDefault="00EE41ED" w:rsidP="00EE41ED">
      <w:pPr>
        <w:pStyle w:val="FootnoteText"/>
        <w:rPr>
          <w:lang w:val="en-AU"/>
        </w:rPr>
      </w:pPr>
    </w:p>
  </w:footnote>
  <w:footnote w:id="7">
    <w:p w14:paraId="4978915F" w14:textId="74B89DE6" w:rsidR="00EE41ED" w:rsidRPr="00A1672A" w:rsidRDefault="00EE41ED" w:rsidP="00EE41ED">
      <w:pPr>
        <w:pStyle w:val="FootnoteText"/>
        <w:rPr>
          <w:rFonts w:ascii="Roboto-Light" w:hAnsi="Roboto-Light"/>
          <w:sz w:val="16"/>
          <w:szCs w:val="16"/>
          <w:lang w:val="en-AU"/>
        </w:rPr>
      </w:pPr>
      <w:r w:rsidRPr="00D50DDA">
        <w:rPr>
          <w:rStyle w:val="FootnoteReference"/>
          <w:rFonts w:ascii="Roboto-Light" w:hAnsi="Roboto-Light"/>
          <w:sz w:val="16"/>
          <w:szCs w:val="16"/>
        </w:rPr>
        <w:footnoteRef/>
      </w:r>
      <w:r w:rsidRPr="00D50DDA">
        <w:rPr>
          <w:rFonts w:ascii="Roboto-Light" w:hAnsi="Roboto-Light"/>
          <w:sz w:val="16"/>
          <w:szCs w:val="16"/>
        </w:rPr>
        <w:t xml:space="preserve"> </w:t>
      </w:r>
      <w:r w:rsidRPr="00A86E74">
        <w:rPr>
          <w:rFonts w:ascii="Roboto-Light" w:hAnsi="Roboto-Light"/>
          <w:sz w:val="16"/>
          <w:szCs w:val="16"/>
          <w:lang w:val="en-AU"/>
        </w:rPr>
        <w:t>Pearlin LI, Schooler C. The structure of coping. Journal of Health and Social Behavior. 1978;19: 2-21.</w:t>
      </w:r>
      <w:r w:rsidR="00475A89" w:rsidRPr="00475A89">
        <w:rPr>
          <w:lang w:val="en-AU"/>
        </w:rPr>
        <w:t xml:space="preserve"> </w:t>
      </w:r>
      <w:r w:rsidR="0002183D" w:rsidRPr="00475A89">
        <w:rPr>
          <w:rFonts w:ascii="Roboto-Light" w:hAnsi="Roboto-Light"/>
          <w:sz w:val="16"/>
          <w:szCs w:val="16"/>
          <w:lang w:val="en-AU"/>
        </w:rPr>
        <w:t>doi.org/10.2307/2136319</w:t>
      </w:r>
    </w:p>
  </w:footnote>
  <w:footnote w:id="8">
    <w:p w14:paraId="7E016729" w14:textId="778D66CB" w:rsidR="00CA6E3C" w:rsidRPr="00D50DDA" w:rsidRDefault="00CA6E3C">
      <w:pPr>
        <w:pStyle w:val="FootnoteText"/>
        <w:rPr>
          <w:lang w:val="en-AU"/>
        </w:rPr>
      </w:pPr>
      <w:r w:rsidRPr="00D50DDA">
        <w:rPr>
          <w:rStyle w:val="FootnoteReference"/>
          <w:rFonts w:ascii="Roboto-Light" w:hAnsi="Roboto-Light"/>
          <w:sz w:val="16"/>
          <w:szCs w:val="16"/>
        </w:rPr>
        <w:footnoteRef/>
      </w:r>
      <w:r w:rsidRPr="00D50DDA">
        <w:rPr>
          <w:rFonts w:ascii="Roboto-Light" w:hAnsi="Roboto-Light"/>
          <w:sz w:val="16"/>
          <w:szCs w:val="16"/>
        </w:rPr>
        <w:t xml:space="preserve"> </w:t>
      </w:r>
      <w:r w:rsidR="00FE27A2" w:rsidRPr="00D50DDA">
        <w:rPr>
          <w:rFonts w:ascii="Roboto-Light" w:hAnsi="Roboto-Light"/>
          <w:sz w:val="16"/>
          <w:szCs w:val="16"/>
          <w:lang w:val="en-AU"/>
        </w:rPr>
        <w:t xml:space="preserve">The methodology for </w:t>
      </w:r>
      <w:r w:rsidR="00150777" w:rsidRPr="00A1672A">
        <w:rPr>
          <w:rFonts w:ascii="Roboto-Light" w:hAnsi="Roboto-Light"/>
          <w:sz w:val="16"/>
          <w:szCs w:val="16"/>
          <w:lang w:val="en-AU"/>
        </w:rPr>
        <w:t xml:space="preserve">the </w:t>
      </w:r>
      <w:r w:rsidR="006963AE" w:rsidRPr="00D50DDA">
        <w:rPr>
          <w:rFonts w:ascii="Roboto-Light" w:hAnsi="Roboto-Light"/>
          <w:sz w:val="16"/>
          <w:szCs w:val="16"/>
          <w:lang w:val="en-AU"/>
        </w:rPr>
        <w:t xml:space="preserve">sense of control </w:t>
      </w:r>
      <w:r w:rsidR="0021531E" w:rsidRPr="00D50DDA">
        <w:rPr>
          <w:rFonts w:ascii="Roboto-Light" w:hAnsi="Roboto-Light"/>
          <w:sz w:val="16"/>
          <w:szCs w:val="16"/>
          <w:lang w:val="en-AU"/>
        </w:rPr>
        <w:t>personal mastery items</w:t>
      </w:r>
      <w:r w:rsidR="0021531E" w:rsidRPr="00A1672A">
        <w:rPr>
          <w:rFonts w:ascii="Roboto-Light" w:hAnsi="Roboto-Light"/>
          <w:sz w:val="16"/>
          <w:szCs w:val="16"/>
          <w:lang w:val="en-AU"/>
        </w:rPr>
        <w:t xml:space="preserve"> </w:t>
      </w:r>
      <w:r w:rsidR="004D01B3" w:rsidRPr="00A1672A">
        <w:rPr>
          <w:rFonts w:ascii="Roboto-Light" w:hAnsi="Roboto-Light"/>
          <w:sz w:val="16"/>
          <w:szCs w:val="16"/>
          <w:lang w:val="en-AU"/>
        </w:rPr>
        <w:t xml:space="preserve">score may </w:t>
      </w:r>
      <w:r w:rsidR="0021531E" w:rsidRPr="00A1672A">
        <w:rPr>
          <w:rFonts w:ascii="Roboto-Light" w:hAnsi="Roboto-Light"/>
          <w:sz w:val="16"/>
          <w:szCs w:val="16"/>
          <w:lang w:val="en-AU"/>
        </w:rPr>
        <w:t xml:space="preserve">be </w:t>
      </w:r>
      <w:r w:rsidR="004D01B3" w:rsidRPr="00A1672A">
        <w:rPr>
          <w:rFonts w:ascii="Roboto-Light" w:hAnsi="Roboto-Light"/>
          <w:sz w:val="16"/>
          <w:szCs w:val="16"/>
          <w:lang w:val="en-AU"/>
        </w:rPr>
        <w:t xml:space="preserve">reported as either </w:t>
      </w:r>
      <w:r w:rsidR="0021531E" w:rsidRPr="00A1672A">
        <w:rPr>
          <w:rFonts w:ascii="Roboto-Light" w:hAnsi="Roboto-Light"/>
          <w:sz w:val="16"/>
          <w:szCs w:val="16"/>
          <w:lang w:val="en-AU"/>
        </w:rPr>
        <w:t>negative</w:t>
      </w:r>
      <w:r w:rsidR="004D01B3" w:rsidRPr="00A1672A">
        <w:rPr>
          <w:rFonts w:ascii="Roboto-Light" w:hAnsi="Roboto-Light"/>
          <w:sz w:val="16"/>
          <w:szCs w:val="16"/>
          <w:lang w:val="en-AU"/>
        </w:rPr>
        <w:t xml:space="preserve"> or positive</w:t>
      </w:r>
      <w:r w:rsidR="00B041DD" w:rsidRPr="00D50DDA">
        <w:rPr>
          <w:rFonts w:ascii="Roboto-Light" w:hAnsi="Roboto-Light"/>
          <w:sz w:val="16"/>
          <w:szCs w:val="16"/>
          <w:lang w:val="en-AU"/>
        </w:rPr>
        <w:t xml:space="preserve">. </w:t>
      </w:r>
      <w:r w:rsidR="00111D37" w:rsidRPr="00D50DDA">
        <w:rPr>
          <w:rFonts w:ascii="Roboto-Light" w:hAnsi="Roboto-Light"/>
          <w:sz w:val="16"/>
          <w:szCs w:val="16"/>
          <w:lang w:val="en-AU"/>
        </w:rPr>
        <w:t>While</w:t>
      </w:r>
      <w:r w:rsidR="00111D37" w:rsidRPr="00A1672A">
        <w:rPr>
          <w:rFonts w:ascii="Roboto-Light" w:hAnsi="Roboto-Light"/>
          <w:sz w:val="16"/>
          <w:szCs w:val="16"/>
          <w:lang w:val="en-AU"/>
        </w:rPr>
        <w:t xml:space="preserve"> </w:t>
      </w:r>
      <w:r w:rsidR="004D01B3" w:rsidRPr="00A1672A">
        <w:rPr>
          <w:rFonts w:ascii="Roboto-Light" w:hAnsi="Roboto-Light"/>
          <w:sz w:val="16"/>
          <w:szCs w:val="16"/>
          <w:lang w:val="en-AU"/>
        </w:rPr>
        <w:t>the</w:t>
      </w:r>
      <w:r w:rsidR="00111D37" w:rsidRPr="00D50DDA">
        <w:rPr>
          <w:rFonts w:ascii="Roboto-Light" w:hAnsi="Roboto-Light"/>
          <w:sz w:val="16"/>
          <w:szCs w:val="16"/>
          <w:lang w:val="en-AU"/>
        </w:rPr>
        <w:t xml:space="preserve"> trends and findings from this data are the same,</w:t>
      </w:r>
      <w:r w:rsidR="00111D37" w:rsidRPr="00A1672A">
        <w:rPr>
          <w:rFonts w:ascii="Roboto-Light" w:hAnsi="Roboto-Light"/>
          <w:sz w:val="16"/>
          <w:szCs w:val="16"/>
          <w:lang w:val="en-AU"/>
        </w:rPr>
        <w:t xml:space="preserve"> </w:t>
      </w:r>
      <w:r w:rsidR="004D01B3" w:rsidRPr="00A1672A">
        <w:rPr>
          <w:rFonts w:ascii="Roboto-Light" w:hAnsi="Roboto-Light"/>
          <w:sz w:val="16"/>
          <w:szCs w:val="16"/>
          <w:lang w:val="en-AU"/>
        </w:rPr>
        <w:t>it should be noted that the results published in this report</w:t>
      </w:r>
      <w:r w:rsidR="0086307E" w:rsidRPr="00D50DDA">
        <w:rPr>
          <w:rFonts w:ascii="Roboto-Light" w:hAnsi="Roboto-Light"/>
          <w:sz w:val="16"/>
          <w:szCs w:val="16"/>
          <w:lang w:val="en-AU"/>
        </w:rPr>
        <w:t xml:space="preserve"> may differ slightly from</w:t>
      </w:r>
      <w:r w:rsidR="0086307E" w:rsidRPr="00A1672A">
        <w:rPr>
          <w:rFonts w:ascii="Roboto-Light" w:hAnsi="Roboto-Light"/>
          <w:sz w:val="16"/>
          <w:szCs w:val="16"/>
          <w:lang w:val="en-AU"/>
        </w:rPr>
        <w:t xml:space="preserve"> </w:t>
      </w:r>
      <w:r w:rsidR="004D01B3" w:rsidRPr="00A1672A">
        <w:rPr>
          <w:rFonts w:ascii="Roboto-Light" w:hAnsi="Roboto-Light"/>
          <w:sz w:val="16"/>
          <w:szCs w:val="16"/>
          <w:lang w:val="en-AU"/>
        </w:rPr>
        <w:t>other</w:t>
      </w:r>
      <w:r w:rsidR="0086307E" w:rsidRPr="00A1672A">
        <w:rPr>
          <w:rFonts w:ascii="Roboto-Light" w:hAnsi="Roboto-Light"/>
          <w:sz w:val="16"/>
          <w:szCs w:val="16"/>
          <w:lang w:val="en-AU"/>
        </w:rPr>
        <w:t xml:space="preserve"> </w:t>
      </w:r>
      <w:r w:rsidR="0086307E" w:rsidRPr="00D50DDA">
        <w:rPr>
          <w:rFonts w:ascii="Roboto-Light" w:hAnsi="Roboto-Light"/>
          <w:sz w:val="16"/>
          <w:szCs w:val="16"/>
          <w:lang w:val="en-AU"/>
        </w:rPr>
        <w:t>HILDA</w:t>
      </w:r>
      <w:r w:rsidR="00836F77" w:rsidRPr="00A1672A">
        <w:rPr>
          <w:rFonts w:ascii="Roboto-Light" w:hAnsi="Roboto-Light"/>
          <w:sz w:val="16"/>
          <w:szCs w:val="16"/>
          <w:lang w:val="en-AU"/>
        </w:rPr>
        <w:t>-related</w:t>
      </w:r>
      <w:r w:rsidR="0086307E" w:rsidRPr="00D50DDA">
        <w:rPr>
          <w:rFonts w:ascii="Roboto-Light" w:hAnsi="Roboto-Light"/>
          <w:sz w:val="16"/>
          <w:szCs w:val="16"/>
          <w:lang w:val="en-AU"/>
        </w:rPr>
        <w:t xml:space="preserve"> publications</w:t>
      </w:r>
      <w:r w:rsidR="00836F77" w:rsidRPr="00A1672A">
        <w:rPr>
          <w:rFonts w:ascii="Roboto-Light" w:hAnsi="Roboto-Light"/>
          <w:sz w:val="16"/>
          <w:szCs w:val="16"/>
          <w:lang w:val="en-AU"/>
        </w:rPr>
        <w:t xml:space="preserve"> depending on the approach taken</w:t>
      </w:r>
      <w:r w:rsidR="0086307E" w:rsidRPr="00D50DDA">
        <w:rPr>
          <w:rFonts w:ascii="Roboto-Light" w:hAnsi="Roboto-Light"/>
          <w:sz w:val="16"/>
          <w:szCs w:val="16"/>
          <w:lang w:val="en-AU"/>
        </w:rPr>
        <w:t>.</w:t>
      </w:r>
      <w:r w:rsidR="0086307E">
        <w:rPr>
          <w:rFonts w:ascii="Segoe UI" w:eastAsiaTheme="minorHAnsi" w:hAnsi="Segoe UI" w:cs="Segoe UI"/>
          <w:color w:val="000000"/>
          <w:sz w:val="18"/>
          <w:szCs w:val="18"/>
          <w:lang w:eastAsia="en-US"/>
        </w:rPr>
        <w:t xml:space="preserve"> </w:t>
      </w:r>
    </w:p>
  </w:footnote>
  <w:footnote w:id="9">
    <w:p w14:paraId="316DB9C3" w14:textId="67F611C9" w:rsidR="00EE41ED" w:rsidRPr="00D50DDA" w:rsidRDefault="00EE41ED" w:rsidP="00EE41ED">
      <w:pPr>
        <w:pStyle w:val="FootnoteText"/>
        <w:rPr>
          <w:rFonts w:ascii="Roboto-Light" w:hAnsi="Roboto-Light"/>
          <w:sz w:val="16"/>
          <w:szCs w:val="16"/>
          <w:lang w:val="en-AU"/>
        </w:rPr>
      </w:pPr>
      <w:r w:rsidRPr="00D50DDA">
        <w:rPr>
          <w:rStyle w:val="FootnoteReference"/>
          <w:rFonts w:ascii="Roboto-Light" w:hAnsi="Roboto-Light"/>
          <w:sz w:val="16"/>
          <w:szCs w:val="16"/>
        </w:rPr>
        <w:footnoteRef/>
      </w:r>
      <w:r w:rsidRPr="00D50DDA">
        <w:rPr>
          <w:rFonts w:ascii="Roboto-Light" w:hAnsi="Roboto-Light"/>
          <w:sz w:val="16"/>
          <w:szCs w:val="16"/>
        </w:rPr>
        <w:t xml:space="preserve"> </w:t>
      </w:r>
      <w:r w:rsidRPr="00A86E74">
        <w:rPr>
          <w:rFonts w:ascii="Roboto-Light" w:hAnsi="Roboto-Light"/>
          <w:sz w:val="16"/>
          <w:szCs w:val="16"/>
        </w:rPr>
        <w:t xml:space="preserve">Boulton Z, Gregory T, Harman-Smith Y. Early childhood development and later social-emotional wellbeing and mental health outcomes (AEDC Research Snapshot). Australian Government, Canberra. 2023 [Accessed 3 June 2024]. Available at </w:t>
      </w:r>
      <w:hyperlink r:id="rId2" w:history="1">
        <w:r w:rsidR="009A697C" w:rsidRPr="00016F19">
          <w:rPr>
            <w:rStyle w:val="Hyperlink"/>
            <w:rFonts w:ascii="Roboto-Light" w:hAnsi="Roboto-Light"/>
            <w:sz w:val="16"/>
            <w:szCs w:val="16"/>
          </w:rPr>
          <w:t>www.aedc.gov.au</w:t>
        </w:r>
      </w:hyperlink>
      <w:r w:rsidR="009A697C">
        <w:rPr>
          <w:rFonts w:ascii="Roboto-Light" w:hAnsi="Roboto-Light"/>
          <w:sz w:val="16"/>
          <w:szCs w:val="16"/>
        </w:rPr>
        <w:t xml:space="preserve">. </w:t>
      </w:r>
    </w:p>
  </w:footnote>
  <w:footnote w:id="10">
    <w:p w14:paraId="47BD9F58" w14:textId="6B557E3B" w:rsidR="00AE15DF" w:rsidRPr="00D50DDA" w:rsidRDefault="00AE15DF">
      <w:pPr>
        <w:pStyle w:val="FootnoteText"/>
        <w:rPr>
          <w:lang w:val="en-AU"/>
        </w:rPr>
      </w:pPr>
      <w:r w:rsidRPr="00D50DDA">
        <w:rPr>
          <w:rFonts w:ascii="Roboto-Light" w:eastAsia="Calibri" w:hAnsi="Roboto-Light"/>
          <w:sz w:val="16"/>
          <w:szCs w:val="16"/>
          <w:vertAlign w:val="superscript"/>
        </w:rPr>
        <w:footnoteRef/>
      </w:r>
      <w:r w:rsidRPr="00D50DDA">
        <w:rPr>
          <w:rFonts w:ascii="Roboto-Light" w:eastAsia="Calibri" w:hAnsi="Roboto-Light"/>
          <w:iCs/>
          <w:sz w:val="16"/>
          <w:szCs w:val="16"/>
          <w:vertAlign w:val="superscript"/>
        </w:rPr>
        <w:t xml:space="preserve"> </w:t>
      </w:r>
      <w:r w:rsidR="00513FC6" w:rsidRPr="00D50DDA">
        <w:rPr>
          <w:rFonts w:ascii="Roboto-Light" w:eastAsia="Calibri" w:hAnsi="Roboto-Light"/>
          <w:sz w:val="16"/>
          <w:szCs w:val="16"/>
        </w:rPr>
        <w:t xml:space="preserve">Department of Education, Skills and Employment. </w:t>
      </w:r>
      <w:r w:rsidR="00513FC6" w:rsidRPr="00D50DDA">
        <w:rPr>
          <w:rFonts w:ascii="Roboto-Light" w:eastAsia="Calibri" w:hAnsi="Roboto-Light"/>
          <w:iCs/>
          <w:sz w:val="16"/>
          <w:szCs w:val="16"/>
        </w:rPr>
        <w:t xml:space="preserve">Australian Early Development Census National Report 2021. Canberra: DESE; 2022. </w:t>
      </w:r>
      <w:r w:rsidR="00513FC6" w:rsidRPr="00D50DDA">
        <w:rPr>
          <w:rFonts w:ascii="Roboto-Light" w:eastAsia="Calibri" w:hAnsi="Roboto-Light"/>
          <w:sz w:val="16"/>
          <w:szCs w:val="16"/>
        </w:rPr>
        <w:t xml:space="preserve"> </w:t>
      </w:r>
    </w:p>
  </w:footnote>
  <w:footnote w:id="11">
    <w:p w14:paraId="597C35EB" w14:textId="21FC3F79" w:rsidR="00EE41ED" w:rsidRPr="00475A89" w:rsidRDefault="00EE41ED" w:rsidP="00EE41ED">
      <w:pPr>
        <w:pStyle w:val="FootnoteText"/>
        <w:rPr>
          <w:rFonts w:ascii="Roboto-Light" w:hAnsi="Roboto-Light"/>
          <w:sz w:val="16"/>
          <w:szCs w:val="16"/>
        </w:rPr>
      </w:pPr>
      <w:r w:rsidRPr="00A86E74">
        <w:rPr>
          <w:rStyle w:val="FootnoteReference"/>
          <w:rFonts w:ascii="Roboto-Light" w:hAnsi="Roboto-Light"/>
          <w:sz w:val="16"/>
          <w:szCs w:val="16"/>
        </w:rPr>
        <w:footnoteRef/>
      </w:r>
      <w:r w:rsidRPr="00A86E74">
        <w:rPr>
          <w:rFonts w:ascii="Roboto-Light" w:hAnsi="Roboto-Light"/>
          <w:sz w:val="16"/>
          <w:szCs w:val="16"/>
        </w:rPr>
        <w:t xml:space="preserve"> Stafford A, Wood L. Tackling Health Disparities for People Who Are Homeless? Start with Social Determinants. Int J Environ Res Public Health. 2017 Dec 8;14(12):1535. </w:t>
      </w:r>
      <w:r w:rsidR="00B567C8" w:rsidRPr="00475A89">
        <w:rPr>
          <w:rFonts w:ascii="Roboto-Light" w:hAnsi="Roboto-Light"/>
          <w:sz w:val="16"/>
          <w:szCs w:val="16"/>
        </w:rPr>
        <w:t>doi:10.3390/ijerph14121535</w:t>
      </w:r>
      <w:r w:rsidR="00B567C8">
        <w:rPr>
          <w:rFonts w:ascii="Roboto-Light" w:hAnsi="Roboto-Light"/>
          <w:sz w:val="16"/>
          <w:szCs w:val="16"/>
        </w:rPr>
        <w:t xml:space="preserve">. </w:t>
      </w:r>
      <w:r w:rsidRPr="00A86E74">
        <w:rPr>
          <w:rFonts w:ascii="Roboto-Light" w:hAnsi="Roboto-Light"/>
          <w:sz w:val="16"/>
          <w:szCs w:val="16"/>
        </w:rPr>
        <w:t xml:space="preserve"> </w:t>
      </w:r>
    </w:p>
  </w:footnote>
  <w:footnote w:id="12">
    <w:p w14:paraId="0D2D6E89" w14:textId="09816BC7" w:rsidR="00EE41ED" w:rsidRPr="00A86E74" w:rsidRDefault="00EE41ED" w:rsidP="00EE41ED">
      <w:pPr>
        <w:pStyle w:val="FootnoteText"/>
        <w:rPr>
          <w:lang w:val="en-AU"/>
        </w:rPr>
      </w:pPr>
      <w:r w:rsidRPr="00475A89">
        <w:rPr>
          <w:rFonts w:ascii="Roboto-Light" w:hAnsi="Roboto-Light"/>
          <w:sz w:val="16"/>
          <w:szCs w:val="16"/>
        </w:rPr>
        <w:footnoteRef/>
      </w:r>
      <w:r w:rsidRPr="00A86E74">
        <w:rPr>
          <w:rFonts w:ascii="Roboto-Light" w:hAnsi="Roboto-Light"/>
          <w:sz w:val="16"/>
          <w:szCs w:val="16"/>
        </w:rPr>
        <w:t xml:space="preserve"> Bensken WP, Krieger NI, Berg KA, Einstadter D, Dalton JE, Perzynski AT. Health Status and Chronic Disease Burden of the Homeless Population: An Analysis of Two Decades of Multi-Institutional Electronic Medical Records. J Health Care Poor Underserved. 2021;32(3):1619-1634. </w:t>
      </w:r>
      <w:r w:rsidR="00B567C8" w:rsidRPr="00475A89">
        <w:rPr>
          <w:rFonts w:ascii="Roboto-Light" w:hAnsi="Roboto-Light"/>
          <w:sz w:val="16"/>
          <w:szCs w:val="16"/>
        </w:rPr>
        <w:t>doi:10.1353/hpu.2021.0153</w:t>
      </w:r>
      <w:r w:rsidR="00B567C8">
        <w:rPr>
          <w:rFonts w:ascii="Roboto-Light" w:hAnsi="Roboto-Light"/>
          <w:sz w:val="16"/>
          <w:szCs w:val="16"/>
        </w:rPr>
        <w:t xml:space="preserve">. </w:t>
      </w:r>
    </w:p>
  </w:footnote>
  <w:footnote w:id="13">
    <w:p w14:paraId="22F64268" w14:textId="4C9A5D67" w:rsidR="00EE41ED" w:rsidRPr="00475A89" w:rsidRDefault="00EE41ED" w:rsidP="00EE41ED">
      <w:pPr>
        <w:pStyle w:val="FootnoteText"/>
        <w:rPr>
          <w:rFonts w:ascii="Roboto-Light" w:hAnsi="Roboto-Light"/>
          <w:sz w:val="16"/>
          <w:szCs w:val="16"/>
        </w:rPr>
      </w:pPr>
      <w:r w:rsidRPr="00A86E74">
        <w:rPr>
          <w:rStyle w:val="FootnoteReference"/>
          <w:rFonts w:ascii="Roboto-Light" w:hAnsi="Roboto-Light"/>
          <w:sz w:val="16"/>
          <w:szCs w:val="16"/>
        </w:rPr>
        <w:footnoteRef/>
      </w:r>
      <w:r w:rsidRPr="00A86E74">
        <w:rPr>
          <w:rFonts w:ascii="Roboto-Light" w:hAnsi="Roboto-Light"/>
          <w:sz w:val="16"/>
          <w:szCs w:val="16"/>
        </w:rPr>
        <w:t xml:space="preserve"> Guan N, Guariglia A, Moore P, Xu F, Al-Janabi H. Financial stress and depression in adults: A systematic review. PLoS One. 2022 Feb 22;17(2):e0264041. </w:t>
      </w:r>
      <w:r w:rsidR="00242664" w:rsidRPr="00475A89">
        <w:rPr>
          <w:rFonts w:ascii="Roboto-Light" w:hAnsi="Roboto-Light"/>
          <w:sz w:val="16"/>
          <w:szCs w:val="16"/>
        </w:rPr>
        <w:t>doi:10.1371/journal.pone.0264041</w:t>
      </w:r>
      <w:r w:rsidR="00242664">
        <w:rPr>
          <w:rFonts w:ascii="Roboto-Light" w:hAnsi="Roboto-Light"/>
          <w:sz w:val="16"/>
          <w:szCs w:val="16"/>
        </w:rPr>
        <w:t xml:space="preserve">. </w:t>
      </w:r>
    </w:p>
  </w:footnote>
  <w:footnote w:id="14">
    <w:p w14:paraId="5C5E51F1" w14:textId="27375254" w:rsidR="00EE41ED" w:rsidRPr="00475A89" w:rsidRDefault="00EE41ED" w:rsidP="00EE41ED">
      <w:pPr>
        <w:pStyle w:val="FootnoteText"/>
        <w:rPr>
          <w:rFonts w:ascii="Roboto-Light" w:hAnsi="Roboto-Light"/>
          <w:sz w:val="16"/>
          <w:szCs w:val="16"/>
        </w:rPr>
      </w:pPr>
      <w:r w:rsidRPr="00475A89">
        <w:rPr>
          <w:rFonts w:ascii="Roboto-Light" w:hAnsi="Roboto-Light"/>
          <w:sz w:val="16"/>
          <w:szCs w:val="16"/>
        </w:rPr>
        <w:footnoteRef/>
      </w:r>
      <w:r w:rsidRPr="00A86E74">
        <w:rPr>
          <w:rFonts w:ascii="Roboto-Light" w:hAnsi="Roboto-Light"/>
          <w:sz w:val="16"/>
          <w:szCs w:val="16"/>
        </w:rPr>
        <w:t xml:space="preserve"> Hassan, M., Hassan, N., Kassim, E., &amp; Said, Y. Financial Wellbeing and Mental Health: A Systematic Review. Studies of Applied Economics. 2021; </w:t>
      </w:r>
      <w:r w:rsidRPr="00475A89">
        <w:rPr>
          <w:rFonts w:ascii="Roboto-Light" w:hAnsi="Roboto-Light"/>
          <w:sz w:val="16"/>
          <w:szCs w:val="16"/>
        </w:rPr>
        <w:t>doi.org/10.25115/EEA.V39I4.4590</w:t>
      </w:r>
      <w:r w:rsidRPr="00A86E74">
        <w:rPr>
          <w:rFonts w:ascii="Roboto-Light" w:hAnsi="Roboto-Light"/>
          <w:sz w:val="16"/>
          <w:szCs w:val="16"/>
        </w:rPr>
        <w:t>.</w:t>
      </w:r>
    </w:p>
  </w:footnote>
  <w:footnote w:id="15">
    <w:p w14:paraId="297A734D" w14:textId="6C72B319" w:rsidR="00EE41ED" w:rsidRPr="00A86E74" w:rsidRDefault="00EE41ED" w:rsidP="00EE41ED">
      <w:pPr>
        <w:pStyle w:val="FootnoteText"/>
        <w:rPr>
          <w:rFonts w:ascii="Roboto-Light" w:hAnsi="Roboto-Light"/>
          <w:sz w:val="16"/>
          <w:szCs w:val="16"/>
          <w:lang w:val="en-AU"/>
        </w:rPr>
      </w:pPr>
      <w:r w:rsidRPr="00A86E74">
        <w:rPr>
          <w:rStyle w:val="FootnoteReference"/>
          <w:rFonts w:ascii="Roboto-Light" w:hAnsi="Roboto-Light"/>
          <w:sz w:val="16"/>
          <w:szCs w:val="16"/>
        </w:rPr>
        <w:footnoteRef/>
      </w:r>
      <w:r w:rsidRPr="00A86E74">
        <w:rPr>
          <w:rFonts w:ascii="Roboto-Light" w:hAnsi="Roboto-Light"/>
          <w:sz w:val="16"/>
          <w:szCs w:val="16"/>
        </w:rPr>
        <w:t xml:space="preserve"> Drake RE, Wallach MA. Employment is a critical mental health intervention. Epidemiology and Psychiatric Sciences. 2020;29:e178. </w:t>
      </w:r>
      <w:r w:rsidR="00242664" w:rsidRPr="002E4912">
        <w:rPr>
          <w:rFonts w:ascii="Roboto-Light" w:hAnsi="Roboto-Light"/>
          <w:sz w:val="16"/>
          <w:szCs w:val="16"/>
        </w:rPr>
        <w:t>doi:10.1017/S2045796020000906</w:t>
      </w:r>
      <w:r w:rsidR="00242664">
        <w:rPr>
          <w:rFonts w:ascii="Roboto-Light" w:hAnsi="Roboto-Light"/>
          <w:sz w:val="16"/>
          <w:szCs w:val="16"/>
        </w:rPr>
        <w:t xml:space="preserve">. </w:t>
      </w:r>
    </w:p>
  </w:footnote>
  <w:footnote w:id="16">
    <w:p w14:paraId="59A62843" w14:textId="77777777" w:rsidR="00EE41ED" w:rsidRPr="00A86E74" w:rsidRDefault="00EE41ED" w:rsidP="00EE41ED">
      <w:pPr>
        <w:pStyle w:val="FootnoteText"/>
        <w:rPr>
          <w:lang w:val="en-AU"/>
        </w:rPr>
      </w:pPr>
      <w:r w:rsidRPr="005D5F2B">
        <w:rPr>
          <w:rStyle w:val="FootnoteReference"/>
          <w:rFonts w:ascii="Roboto-Light" w:hAnsi="Roboto-Light"/>
          <w:sz w:val="16"/>
          <w:szCs w:val="16"/>
        </w:rPr>
        <w:footnoteRef/>
      </w:r>
      <w:r w:rsidRPr="005D5F2B">
        <w:rPr>
          <w:rFonts w:ascii="Roboto-Light" w:hAnsi="Roboto-Light"/>
          <w:sz w:val="16"/>
          <w:szCs w:val="16"/>
        </w:rPr>
        <w:t xml:space="preserve"> </w:t>
      </w:r>
      <w:r w:rsidRPr="005D5F2B">
        <w:rPr>
          <w:rFonts w:ascii="Roboto-Light" w:hAnsi="Roboto-Light" w:cs="Arial"/>
          <w:sz w:val="16"/>
          <w:szCs w:val="16"/>
          <w:shd w:val="clear" w:color="auto" w:fill="FFFFFF"/>
        </w:rPr>
        <w:t>Groot C, Rehm I, Andrews C, Hobern B, Morgan R, Green H, Sweeney L, Blanchard M. Report on Findings from the Our Turn to Speak Survey: Understanding the impact of stigma and discrimination on people living with complex mental health issues. 2020, SANE Australia: Melbourne.</w:t>
      </w:r>
      <w:r w:rsidRPr="005D5F2B">
        <w:rPr>
          <w:rFonts w:ascii="Roboto Light" w:hAnsi="Roboto Light" w:cs="Arial"/>
          <w:sz w:val="18"/>
          <w:szCs w:val="18"/>
          <w:shd w:val="clear" w:color="auto" w:fill="FFFFFF"/>
        </w:rPr>
        <w:t xml:space="preserve"> </w:t>
      </w:r>
      <w:r w:rsidRPr="005D5F2B">
        <w:rPr>
          <w:rFonts w:ascii="Roboto Light" w:hAnsi="Roboto Light" w:cs="Arial"/>
          <w:shd w:val="clear" w:color="auto" w:fill="FFFFFF"/>
        </w:rPr>
        <w:t xml:space="preserve"> </w:t>
      </w:r>
    </w:p>
  </w:footnote>
  <w:footnote w:id="17">
    <w:p w14:paraId="566383A1" w14:textId="77777777" w:rsidR="00EE41ED" w:rsidRPr="00A86E74" w:rsidRDefault="00EE41ED" w:rsidP="00EE41ED">
      <w:pPr>
        <w:pStyle w:val="FootnoteText"/>
        <w:rPr>
          <w:rFonts w:ascii="Roboto-Light" w:hAnsi="Roboto-Light"/>
          <w:sz w:val="16"/>
          <w:szCs w:val="16"/>
          <w:lang w:val="en-AU"/>
        </w:rPr>
      </w:pPr>
      <w:r w:rsidRPr="00A86E74">
        <w:rPr>
          <w:rStyle w:val="FootnoteReference"/>
          <w:rFonts w:ascii="Roboto-Light" w:hAnsi="Roboto-Light"/>
          <w:sz w:val="16"/>
          <w:szCs w:val="16"/>
        </w:rPr>
        <w:footnoteRef/>
      </w:r>
      <w:r w:rsidRPr="00A86E74">
        <w:rPr>
          <w:rFonts w:ascii="Roboto-Light" w:hAnsi="Roboto-Light"/>
          <w:sz w:val="16"/>
          <w:szCs w:val="16"/>
        </w:rPr>
        <w:t xml:space="preserve"> </w:t>
      </w:r>
      <w:r w:rsidRPr="00A86E74">
        <w:rPr>
          <w:rFonts w:ascii="Roboto-Light" w:hAnsi="Roboto-Light" w:cs="Open Sans"/>
          <w:sz w:val="16"/>
          <w:szCs w:val="16"/>
          <w:shd w:val="clear" w:color="auto" w:fill="FFFFFF"/>
        </w:rPr>
        <w:t xml:space="preserve">Australian Institute of Health and Welfare. Australia’s youth: Engagement in education or employment [Internet]. Canberra: Australian Institute of Health and Welfare, 2021 [cited 2024 Jun. 4]. Available from: </w:t>
      </w:r>
      <w:hyperlink r:id="rId3" w:history="1">
        <w:r w:rsidRPr="00A86E74">
          <w:rPr>
            <w:rStyle w:val="Hyperlink"/>
            <w:rFonts w:ascii="Roboto-Light" w:hAnsi="Roboto-Light"/>
            <w:sz w:val="16"/>
            <w:szCs w:val="16"/>
          </w:rPr>
          <w:t>https://www.aihw.gov.au/reports/children-youth/engagement-in-education-or-employment</w:t>
        </w:r>
      </w:hyperlink>
      <w:r w:rsidRPr="00A86E74">
        <w:rPr>
          <w:rFonts w:ascii="Roboto-Light" w:hAnsi="Roboto-Light" w:cs="Open Sans"/>
          <w:sz w:val="16"/>
          <w:szCs w:val="16"/>
          <w:shd w:val="clear" w:color="auto" w:fill="FFFFFF"/>
        </w:rPr>
        <w:t xml:space="preserve"> </w:t>
      </w:r>
    </w:p>
  </w:footnote>
  <w:footnote w:id="18">
    <w:p w14:paraId="42BDA9E7" w14:textId="18E1605B" w:rsidR="00EE41ED" w:rsidRPr="00A86E74" w:rsidRDefault="00EE41ED" w:rsidP="00EE41ED">
      <w:pPr>
        <w:pStyle w:val="FootnoteText"/>
        <w:rPr>
          <w:rFonts w:ascii="Roboto Light" w:hAnsi="Roboto Light"/>
          <w:sz w:val="18"/>
          <w:szCs w:val="18"/>
          <w:lang w:val="en-AU"/>
        </w:rPr>
      </w:pPr>
      <w:r w:rsidRPr="00A86E74">
        <w:rPr>
          <w:rStyle w:val="FootnoteReference"/>
          <w:rFonts w:ascii="Roboto-Light" w:hAnsi="Roboto-Light"/>
          <w:sz w:val="16"/>
          <w:szCs w:val="16"/>
        </w:rPr>
        <w:footnoteRef/>
      </w:r>
      <w:r w:rsidRPr="00A86E74">
        <w:rPr>
          <w:rFonts w:ascii="Roboto-Light" w:hAnsi="Roboto-Light"/>
          <w:sz w:val="16"/>
          <w:szCs w:val="16"/>
        </w:rPr>
        <w:t xml:space="preserve"> Gariépy G, Danna SM, Hawke L, Henderson J, Iyer SN. The mental health of young people who are not in education, employment, or training: a systematic review and meta-analysis. Soc Psychiatry Psychiatr Epidemiol. 2022 Jun;57(6):1107-1121. </w:t>
      </w:r>
      <w:r w:rsidR="00860125" w:rsidRPr="002E4912">
        <w:rPr>
          <w:rFonts w:ascii="Roboto-Light" w:hAnsi="Roboto-Light"/>
          <w:sz w:val="16"/>
          <w:szCs w:val="16"/>
        </w:rPr>
        <w:t>doi:10.1007/s00127-021-02212-8</w:t>
      </w:r>
      <w:r w:rsidR="00860125">
        <w:rPr>
          <w:rFonts w:ascii="Roboto-Light" w:hAnsi="Roboto-Light"/>
          <w:sz w:val="16"/>
          <w:szCs w:val="16"/>
        </w:rPr>
        <w:t xml:space="preserve">. </w:t>
      </w:r>
      <w:r w:rsidRPr="00A86E74">
        <w:rPr>
          <w:rFonts w:ascii="Roboto-Light" w:hAnsi="Roboto-Light"/>
          <w:sz w:val="16"/>
          <w:szCs w:val="16"/>
        </w:rPr>
        <w:t>Epub 2021 Dec 21.</w:t>
      </w:r>
    </w:p>
  </w:footnote>
  <w:footnote w:id="19">
    <w:p w14:paraId="012BEAC6" w14:textId="77777777" w:rsidR="00EE41ED" w:rsidRPr="00A86E74" w:rsidRDefault="00EE41ED" w:rsidP="00EE41ED">
      <w:pPr>
        <w:pStyle w:val="FootnoteText"/>
        <w:rPr>
          <w:rFonts w:ascii="Roboto-Light" w:hAnsi="Roboto-Light"/>
          <w:sz w:val="16"/>
          <w:szCs w:val="16"/>
          <w:lang w:val="en-AU"/>
        </w:rPr>
      </w:pPr>
      <w:r w:rsidRPr="00A86E74">
        <w:rPr>
          <w:rStyle w:val="FootnoteReference"/>
          <w:rFonts w:ascii="Roboto-Light" w:hAnsi="Roboto-Light"/>
          <w:sz w:val="16"/>
          <w:szCs w:val="16"/>
        </w:rPr>
        <w:footnoteRef/>
      </w:r>
      <w:r w:rsidRPr="00A86E74">
        <w:rPr>
          <w:rFonts w:ascii="Roboto-Light" w:hAnsi="Roboto-Light"/>
          <w:sz w:val="16"/>
          <w:szCs w:val="16"/>
        </w:rPr>
        <w:t xml:space="preserve"> National Mental Health Commission. Equally Well: quality of life</w:t>
      </w:r>
      <w:r w:rsidRPr="00FF2594">
        <w:rPr>
          <w:rFonts w:ascii="Roboto-Light" w:hAnsi="Roboto-Light" w:hint="eastAsia"/>
          <w:sz w:val="16"/>
          <w:szCs w:val="16"/>
        </w:rPr>
        <w:t>—</w:t>
      </w:r>
      <w:r w:rsidRPr="00A86E74">
        <w:rPr>
          <w:rFonts w:ascii="Roboto-Light" w:hAnsi="Roboto-Light"/>
          <w:sz w:val="16"/>
          <w:szCs w:val="16"/>
        </w:rPr>
        <w:t>equality in life. Improving the physical health and wellbeing of people living with mental illness in Australia. Sydney: NMHC; 2017.</w:t>
      </w:r>
    </w:p>
  </w:footnote>
  <w:footnote w:id="20">
    <w:p w14:paraId="0CDA57F8" w14:textId="71C8EFB2" w:rsidR="00EE41ED" w:rsidRPr="00A86E74" w:rsidRDefault="00EE41ED" w:rsidP="00EE41ED">
      <w:pPr>
        <w:pStyle w:val="FootnoteText"/>
        <w:rPr>
          <w:rFonts w:ascii="Roboto-Light" w:hAnsi="Roboto-Light"/>
          <w:sz w:val="16"/>
          <w:szCs w:val="16"/>
          <w:lang w:val="en-AU"/>
        </w:rPr>
      </w:pPr>
      <w:r w:rsidRPr="00A86E74">
        <w:rPr>
          <w:rStyle w:val="FootnoteReference"/>
          <w:rFonts w:ascii="Roboto-Light" w:hAnsi="Roboto-Light"/>
          <w:sz w:val="16"/>
          <w:szCs w:val="16"/>
        </w:rPr>
        <w:footnoteRef/>
      </w:r>
      <w:r w:rsidRPr="00A86E74">
        <w:rPr>
          <w:rFonts w:ascii="Roboto-Light" w:hAnsi="Roboto-Light"/>
          <w:sz w:val="16"/>
          <w:szCs w:val="16"/>
        </w:rPr>
        <w:t xml:space="preserve"> Time series data drawn from National Health Surveys 2007-08 to 2022. Proportions differ from those reported above due t</w:t>
      </w:r>
      <w:r w:rsidR="00FE61FF">
        <w:rPr>
          <w:rFonts w:ascii="Roboto-Light" w:hAnsi="Roboto-Light"/>
          <w:sz w:val="16"/>
          <w:szCs w:val="16"/>
        </w:rPr>
        <w:t>o differences in questions asked about physical conditions</w:t>
      </w:r>
      <w:r w:rsidR="00DF2415">
        <w:rPr>
          <w:rFonts w:ascii="Roboto-Light" w:hAnsi="Roboto-Light"/>
          <w:sz w:val="16"/>
          <w:szCs w:val="16"/>
        </w:rPr>
        <w:t xml:space="preserve"> between</w:t>
      </w:r>
      <w:r w:rsidRPr="00A86E74">
        <w:rPr>
          <w:rFonts w:ascii="Roboto-Light" w:hAnsi="Roboto-Light"/>
          <w:sz w:val="16"/>
          <w:szCs w:val="16"/>
        </w:rPr>
        <w:t xml:space="preserve"> data </w:t>
      </w:r>
      <w:r w:rsidR="00247BED">
        <w:rPr>
          <w:rFonts w:ascii="Roboto-Light" w:hAnsi="Roboto-Light"/>
          <w:sz w:val="16"/>
          <w:szCs w:val="16"/>
        </w:rPr>
        <w:t>sources</w:t>
      </w:r>
      <w:r w:rsidRPr="00A86E74">
        <w:rPr>
          <w:rFonts w:ascii="Roboto-Light" w:hAnsi="Roboto-Light"/>
          <w:sz w:val="16"/>
          <w:szCs w:val="16"/>
        </w:rPr>
        <w:t xml:space="preserve">. </w:t>
      </w:r>
    </w:p>
  </w:footnote>
  <w:footnote w:id="21">
    <w:p w14:paraId="1524BCD0" w14:textId="77777777" w:rsidR="00EE41ED" w:rsidRPr="00A86E74" w:rsidRDefault="00EE41ED" w:rsidP="00EE41ED">
      <w:pPr>
        <w:pStyle w:val="FootnoteText"/>
        <w:rPr>
          <w:rFonts w:ascii="Roboto-Light" w:hAnsi="Roboto-Light"/>
          <w:sz w:val="16"/>
          <w:szCs w:val="16"/>
          <w:lang w:val="en-AU"/>
        </w:rPr>
      </w:pPr>
      <w:r w:rsidRPr="00A86E74">
        <w:rPr>
          <w:rStyle w:val="FootnoteReference"/>
          <w:rFonts w:ascii="Roboto-Light" w:hAnsi="Roboto-Light"/>
          <w:sz w:val="16"/>
          <w:szCs w:val="16"/>
        </w:rPr>
        <w:footnoteRef/>
      </w:r>
      <w:r w:rsidRPr="00A86E74">
        <w:rPr>
          <w:rFonts w:ascii="Roboto-Light" w:hAnsi="Roboto-Light"/>
          <w:sz w:val="16"/>
          <w:szCs w:val="16"/>
        </w:rPr>
        <w:t xml:space="preserve"> </w:t>
      </w:r>
      <w:r w:rsidRPr="00A86E74">
        <w:rPr>
          <w:rFonts w:ascii="Roboto-Light" w:hAnsi="Roboto-Light" w:cs="Gotham Book"/>
          <w:color w:val="000000"/>
          <w:sz w:val="16"/>
          <w:szCs w:val="16"/>
        </w:rPr>
        <w:t xml:space="preserve">National Health and Medical Research Council. Australian Guidelines to Reduce Health Risks from Drinking Alcohol. Canberra: Commonwealth of Australia; 2020. </w:t>
      </w:r>
    </w:p>
  </w:footnote>
  <w:footnote w:id="22">
    <w:p w14:paraId="3D6C253B" w14:textId="77777777" w:rsidR="00EE41ED" w:rsidRPr="00A86E74" w:rsidRDefault="00EE41ED" w:rsidP="00EE41ED">
      <w:pPr>
        <w:pStyle w:val="FootnoteText"/>
        <w:rPr>
          <w:lang w:val="en-AU"/>
        </w:rPr>
      </w:pPr>
      <w:r w:rsidRPr="00A86E74">
        <w:rPr>
          <w:rStyle w:val="FootnoteReference"/>
          <w:rFonts w:ascii="Roboto-Light" w:hAnsi="Roboto-Light"/>
          <w:sz w:val="16"/>
          <w:szCs w:val="16"/>
        </w:rPr>
        <w:footnoteRef/>
      </w:r>
      <w:r w:rsidRPr="00A86E74">
        <w:rPr>
          <w:rFonts w:ascii="Roboto-Light" w:hAnsi="Roboto-Light"/>
          <w:sz w:val="16"/>
          <w:szCs w:val="16"/>
        </w:rPr>
        <w:t xml:space="preserve"> </w:t>
      </w:r>
      <w:r w:rsidRPr="00A86E74">
        <w:rPr>
          <w:rFonts w:ascii="Roboto-Light" w:hAnsi="Roboto-Light" w:cs="Segoe UI"/>
          <w:sz w:val="16"/>
          <w:szCs w:val="16"/>
        </w:rPr>
        <w:t>Department of Health and Aged Care. National alcohol strategy 2019–</w:t>
      </w:r>
      <w:r w:rsidRPr="00A86E74">
        <w:rPr>
          <w:rFonts w:ascii="Roboto-Light" w:hAnsi="Roboto-Light" w:cs="Times New Roman"/>
          <w:sz w:val="16"/>
          <w:szCs w:val="16"/>
        </w:rPr>
        <w:t>‍</w:t>
      </w:r>
      <w:r w:rsidRPr="00A86E74">
        <w:rPr>
          <w:rFonts w:ascii="Roboto-Light" w:hAnsi="Roboto-Light" w:cs="Segoe UI"/>
          <w:sz w:val="16"/>
          <w:szCs w:val="16"/>
        </w:rPr>
        <w:t>2028. Canberra: Commonwealth of Australia; 2019.</w:t>
      </w:r>
    </w:p>
  </w:footnote>
  <w:footnote w:id="23">
    <w:p w14:paraId="5F30DDD0" w14:textId="474BB3A7" w:rsidR="002117DA" w:rsidRPr="00D50DDA" w:rsidRDefault="002117DA">
      <w:pPr>
        <w:pStyle w:val="FootnoteText"/>
        <w:rPr>
          <w:lang w:val="en-AU"/>
        </w:rPr>
      </w:pPr>
      <w:r w:rsidRPr="005D5F2B">
        <w:rPr>
          <w:rStyle w:val="FootnoteReference"/>
          <w:rFonts w:ascii="Roboto-Light" w:hAnsi="Roboto-Light"/>
          <w:sz w:val="16"/>
          <w:szCs w:val="16"/>
        </w:rPr>
        <w:footnoteRef/>
      </w:r>
      <w:r>
        <w:t xml:space="preserve"> </w:t>
      </w:r>
      <w:r w:rsidRPr="00D50DDA">
        <w:rPr>
          <w:rFonts w:ascii="Roboto-Light" w:eastAsia="Calibri" w:hAnsi="Roboto-Light"/>
          <w:sz w:val="16"/>
          <w:szCs w:val="16"/>
        </w:rPr>
        <w:t xml:space="preserve">The Australian alcohol guidelines have different advice for people under the age of 18 years, recommending that people under the age of 18 </w:t>
      </w:r>
      <w:r w:rsidR="00974BFE">
        <w:rPr>
          <w:rFonts w:ascii="Roboto-Light" w:eastAsia="Calibri" w:hAnsi="Roboto-Light"/>
          <w:sz w:val="16"/>
          <w:szCs w:val="16"/>
        </w:rPr>
        <w:t xml:space="preserve">years </w:t>
      </w:r>
      <w:r w:rsidRPr="00D50DDA">
        <w:rPr>
          <w:rFonts w:ascii="Roboto-Light" w:eastAsia="Calibri" w:hAnsi="Roboto-Light"/>
          <w:sz w:val="16"/>
          <w:szCs w:val="16"/>
        </w:rPr>
        <w:t>do not consume alcohol</w:t>
      </w:r>
      <w:r w:rsidR="00554C01">
        <w:rPr>
          <w:rFonts w:ascii="Roboto-Light" w:eastAsia="Calibri" w:hAnsi="Roboto-Light"/>
          <w:sz w:val="16"/>
          <w:szCs w:val="16"/>
        </w:rPr>
        <w:t>,</w:t>
      </w:r>
      <w:r w:rsidRPr="00D50DDA">
        <w:rPr>
          <w:rFonts w:ascii="Roboto-Light" w:eastAsia="Calibri" w:hAnsi="Roboto-Light"/>
          <w:sz w:val="16"/>
          <w:szCs w:val="16"/>
        </w:rPr>
        <w:t xml:space="preserve"> as any level of consumption can put their health a risk. The proportion of people aged 14-17 years who had consumed any alcohol in the previous year was 30.2% in 2019 and 31.0% in 2022-2023.</w:t>
      </w:r>
      <w:r>
        <w:rPr>
          <w:rFonts w:eastAsia="Calibri"/>
        </w:rPr>
        <w:t xml:space="preserve">  </w:t>
      </w:r>
    </w:p>
  </w:footnote>
  <w:footnote w:id="24">
    <w:p w14:paraId="78DD2A53" w14:textId="77777777" w:rsidR="00EE41ED" w:rsidRPr="00A86E74" w:rsidRDefault="00EE41ED" w:rsidP="00EE41ED">
      <w:pPr>
        <w:pStyle w:val="FootnoteText"/>
        <w:rPr>
          <w:rFonts w:ascii="Roboto-Light" w:hAnsi="Roboto-Light"/>
          <w:sz w:val="16"/>
          <w:szCs w:val="16"/>
          <w:lang w:val="en-AU"/>
        </w:rPr>
      </w:pPr>
      <w:r w:rsidRPr="00D50DDA">
        <w:rPr>
          <w:rStyle w:val="FootnoteReference"/>
          <w:rFonts w:ascii="Roboto-Light" w:hAnsi="Roboto-Light"/>
          <w:sz w:val="16"/>
          <w:szCs w:val="16"/>
        </w:rPr>
        <w:footnoteRef/>
      </w:r>
      <w:r w:rsidRPr="00D50DDA">
        <w:rPr>
          <w:rStyle w:val="FootnoteReference"/>
          <w:rFonts w:ascii="Roboto-Light" w:hAnsi="Roboto-Light"/>
          <w:sz w:val="16"/>
          <w:szCs w:val="16"/>
        </w:rPr>
        <w:t xml:space="preserve"> </w:t>
      </w:r>
      <w:r w:rsidRPr="00A86E74">
        <w:rPr>
          <w:rFonts w:ascii="Roboto-Light" w:hAnsi="Roboto-Light"/>
          <w:sz w:val="16"/>
          <w:szCs w:val="16"/>
        </w:rPr>
        <w:t xml:space="preserve">Badcock JC, Holt-Lunstad J, Garcia E, Bombaci P, Lim MH. Position statement: Addressing social isolation and loneliness and the power of human connection. Global Initiative on Loneliness and Connection (GILC). 2022 [accessed 9 February 2024. </w:t>
      </w:r>
      <w:hyperlink r:id="rId4" w:history="1">
        <w:r w:rsidRPr="00A86E74">
          <w:rPr>
            <w:rStyle w:val="Hyperlink"/>
            <w:rFonts w:ascii="Roboto-Light" w:hAnsi="Roboto-Light"/>
            <w:sz w:val="16"/>
            <w:szCs w:val="16"/>
          </w:rPr>
          <w:t>Our Position Statements | GILC</w:t>
        </w:r>
      </w:hyperlink>
      <w:r w:rsidRPr="00A86E74">
        <w:rPr>
          <w:rFonts w:ascii="Roboto-Light" w:hAnsi="Roboto-Light"/>
          <w:sz w:val="16"/>
          <w:szCs w:val="16"/>
        </w:rPr>
        <w:t>].</w:t>
      </w:r>
    </w:p>
  </w:footnote>
  <w:footnote w:id="25">
    <w:p w14:paraId="22B5FC6C" w14:textId="6DBC59E1" w:rsidR="00D2526F" w:rsidRPr="00D50DDA" w:rsidRDefault="00D2526F">
      <w:pPr>
        <w:pStyle w:val="FootnoteText"/>
        <w:rPr>
          <w:rFonts w:ascii="Roboto-Light" w:hAnsi="Roboto-Light"/>
          <w:sz w:val="16"/>
          <w:szCs w:val="16"/>
        </w:rPr>
      </w:pPr>
      <w:r w:rsidRPr="00D50DDA">
        <w:rPr>
          <w:rStyle w:val="FootnoteReference"/>
          <w:rFonts w:ascii="Roboto-Light" w:hAnsi="Roboto-Light"/>
          <w:sz w:val="16"/>
          <w:szCs w:val="16"/>
        </w:rPr>
        <w:footnoteRef/>
      </w:r>
      <w:r w:rsidRPr="00D50DDA">
        <w:rPr>
          <w:rFonts w:ascii="Roboto-Light" w:hAnsi="Roboto-Light"/>
          <w:sz w:val="16"/>
          <w:szCs w:val="16"/>
        </w:rPr>
        <w:t xml:space="preserve"> Cacioppo JT, Hawkley LC, Thisted RA. Perceived social isolation makes me sad: 5-year cross-lagged analyses of loneliness and depressive symptomatology in the Chicago Health, Aging, and Social Relations Study. Psychol Aging. 2010 Jun;25(2):453-63. </w:t>
      </w:r>
      <w:r w:rsidR="00392F9B" w:rsidRPr="00B335E7">
        <w:rPr>
          <w:rFonts w:ascii="Roboto-Light" w:hAnsi="Roboto-Light"/>
          <w:sz w:val="16"/>
          <w:szCs w:val="16"/>
        </w:rPr>
        <w:t>doi:10.1037/a0017216</w:t>
      </w:r>
      <w:r w:rsidR="00392F9B">
        <w:rPr>
          <w:rFonts w:ascii="Roboto-Light" w:hAnsi="Roboto-Light"/>
          <w:sz w:val="16"/>
          <w:szCs w:val="16"/>
        </w:rPr>
        <w:t xml:space="preserve">. </w:t>
      </w:r>
      <w:r w:rsidR="00E94FEA" w:rsidRPr="00A86E74">
        <w:rPr>
          <w:rFonts w:ascii="Roboto-Light" w:hAnsi="Roboto-Light"/>
          <w:sz w:val="16"/>
          <w:szCs w:val="16"/>
        </w:rPr>
        <w:t xml:space="preserve">[accessed </w:t>
      </w:r>
      <w:r w:rsidR="00E94FEA">
        <w:rPr>
          <w:rFonts w:ascii="Roboto-Light" w:hAnsi="Roboto-Light"/>
          <w:sz w:val="16"/>
          <w:szCs w:val="16"/>
        </w:rPr>
        <w:t>19 June</w:t>
      </w:r>
      <w:r w:rsidR="00E94FEA" w:rsidRPr="00A86E74">
        <w:rPr>
          <w:rFonts w:ascii="Roboto-Light" w:hAnsi="Roboto-Light"/>
          <w:sz w:val="16"/>
          <w:szCs w:val="16"/>
        </w:rPr>
        <w:t xml:space="preserve"> 2024</w:t>
      </w:r>
      <w:r w:rsidR="00E94FEA">
        <w:rPr>
          <w:rFonts w:ascii="Roboto-Light" w:hAnsi="Roboto-Light"/>
          <w:sz w:val="16"/>
          <w:szCs w:val="16"/>
        </w:rPr>
        <w:t>].</w:t>
      </w:r>
    </w:p>
  </w:footnote>
  <w:footnote w:id="26">
    <w:p w14:paraId="5541CEF0" w14:textId="79F830D6" w:rsidR="0001335F" w:rsidRPr="00D50DDA" w:rsidRDefault="0001335F">
      <w:pPr>
        <w:pStyle w:val="FootnoteText"/>
        <w:rPr>
          <w:lang w:val="en-AU"/>
        </w:rPr>
      </w:pPr>
      <w:r w:rsidRPr="00D50DDA">
        <w:rPr>
          <w:rStyle w:val="FootnoteReference"/>
          <w:rFonts w:ascii="Roboto-Light" w:hAnsi="Roboto-Light"/>
          <w:sz w:val="16"/>
          <w:szCs w:val="16"/>
        </w:rPr>
        <w:footnoteRef/>
      </w:r>
      <w:r>
        <w:t xml:space="preserve"> </w:t>
      </w:r>
      <w:r w:rsidRPr="00D50DDA">
        <w:rPr>
          <w:rFonts w:ascii="Roboto-Light" w:hAnsi="Roboto-Light"/>
          <w:sz w:val="16"/>
          <w:szCs w:val="16"/>
        </w:rPr>
        <w:t>Lim MH, Rodebaugh TL, Zyphur MJ, Gleeson J</w:t>
      </w:r>
      <w:r w:rsidR="00FF6702">
        <w:rPr>
          <w:rFonts w:ascii="Roboto-Light" w:hAnsi="Roboto-Light"/>
          <w:sz w:val="16"/>
          <w:szCs w:val="16"/>
        </w:rPr>
        <w:t>F</w:t>
      </w:r>
      <w:r w:rsidRPr="00D50DDA">
        <w:rPr>
          <w:rFonts w:ascii="Roboto-Light" w:hAnsi="Roboto-Light"/>
          <w:sz w:val="16"/>
          <w:szCs w:val="16"/>
        </w:rPr>
        <w:t>M. Loneliness over time: The crucial role of social anxiety. Journal of Abnormal Psychology</w:t>
      </w:r>
      <w:r w:rsidR="00FF6702">
        <w:rPr>
          <w:rFonts w:ascii="Roboto-Light" w:hAnsi="Roboto-Light"/>
          <w:sz w:val="16"/>
          <w:szCs w:val="16"/>
        </w:rPr>
        <w:t>. 2016</w:t>
      </w:r>
      <w:r w:rsidR="001B2BC9">
        <w:rPr>
          <w:rFonts w:ascii="Roboto-Light" w:hAnsi="Roboto-Light"/>
          <w:sz w:val="16"/>
          <w:szCs w:val="16"/>
        </w:rPr>
        <w:t>;</w:t>
      </w:r>
      <w:r w:rsidRPr="00D50DDA">
        <w:rPr>
          <w:rFonts w:ascii="Roboto-Light" w:hAnsi="Roboto-Light"/>
          <w:sz w:val="16"/>
          <w:szCs w:val="16"/>
        </w:rPr>
        <w:t>125(5)</w:t>
      </w:r>
      <w:r w:rsidR="001B2BC9">
        <w:rPr>
          <w:rFonts w:ascii="Roboto-Light" w:hAnsi="Roboto-Light"/>
          <w:sz w:val="16"/>
          <w:szCs w:val="16"/>
        </w:rPr>
        <w:t>:</w:t>
      </w:r>
      <w:r w:rsidRPr="00D50DDA">
        <w:rPr>
          <w:rFonts w:ascii="Roboto-Light" w:hAnsi="Roboto-Light"/>
          <w:sz w:val="16"/>
          <w:szCs w:val="16"/>
        </w:rPr>
        <w:t>620–630. </w:t>
      </w:r>
      <w:r w:rsidRPr="00B335E7">
        <w:rPr>
          <w:rFonts w:ascii="Roboto-Light" w:hAnsi="Roboto-Light"/>
          <w:sz w:val="16"/>
          <w:szCs w:val="16"/>
        </w:rPr>
        <w:t>doi.org/10.1037/abn0000162</w:t>
      </w:r>
      <w:r w:rsidR="00E94FEA">
        <w:rPr>
          <w:rFonts w:ascii="Roboto Light" w:hAnsi="Roboto Light"/>
          <w:sz w:val="16"/>
          <w:szCs w:val="16"/>
        </w:rPr>
        <w:t xml:space="preserve"> </w:t>
      </w:r>
      <w:r w:rsidR="00E94FEA" w:rsidRPr="00A86E74">
        <w:rPr>
          <w:rFonts w:ascii="Roboto-Light" w:hAnsi="Roboto-Light"/>
          <w:sz w:val="16"/>
          <w:szCs w:val="16"/>
        </w:rPr>
        <w:t xml:space="preserve">[accessed </w:t>
      </w:r>
      <w:r w:rsidR="00E94FEA">
        <w:rPr>
          <w:rFonts w:ascii="Roboto-Light" w:hAnsi="Roboto-Light"/>
          <w:sz w:val="16"/>
          <w:szCs w:val="16"/>
        </w:rPr>
        <w:t>19 June</w:t>
      </w:r>
      <w:r w:rsidR="00E94FEA" w:rsidRPr="00A86E74">
        <w:rPr>
          <w:rFonts w:ascii="Roboto-Light" w:hAnsi="Roboto-Light"/>
          <w:sz w:val="16"/>
          <w:szCs w:val="16"/>
        </w:rPr>
        <w:t xml:space="preserve"> 2024</w:t>
      </w:r>
      <w:r w:rsidR="00E94FEA">
        <w:rPr>
          <w:rFonts w:ascii="Roboto-Light" w:hAnsi="Roboto-Light"/>
          <w:sz w:val="16"/>
          <w:szCs w:val="16"/>
        </w:rPr>
        <w:t>].</w:t>
      </w:r>
    </w:p>
  </w:footnote>
  <w:footnote w:id="27">
    <w:p w14:paraId="57ADAB3C" w14:textId="3D071350" w:rsidR="00EE41ED" w:rsidRPr="008619C5" w:rsidRDefault="00EE41ED" w:rsidP="00EE41ED">
      <w:pPr>
        <w:pStyle w:val="FootnoteText"/>
        <w:rPr>
          <w:lang w:val="en-AU"/>
        </w:rPr>
      </w:pPr>
      <w:r w:rsidRPr="00A86E74">
        <w:rPr>
          <w:rStyle w:val="FootnoteReference"/>
          <w:rFonts w:ascii="Roboto-Light" w:hAnsi="Roboto-Light"/>
          <w:sz w:val="16"/>
          <w:szCs w:val="16"/>
        </w:rPr>
        <w:footnoteRef/>
      </w:r>
      <w:r w:rsidRPr="00A86E74">
        <w:rPr>
          <w:rFonts w:ascii="Roboto-Light" w:hAnsi="Roboto-Light"/>
          <w:sz w:val="16"/>
          <w:szCs w:val="16"/>
        </w:rPr>
        <w:t xml:space="preserve"> </w:t>
      </w:r>
      <w:r w:rsidR="003154AE" w:rsidRPr="003154AE">
        <w:rPr>
          <w:rFonts w:ascii="Roboto-Light" w:hAnsi="Roboto-Light"/>
          <w:sz w:val="16"/>
          <w:szCs w:val="16"/>
        </w:rPr>
        <w:t>Holt-Lunstad</w:t>
      </w:r>
      <w:r w:rsidR="00195155">
        <w:rPr>
          <w:rFonts w:ascii="Roboto-Light" w:hAnsi="Roboto-Light"/>
          <w:sz w:val="16"/>
          <w:szCs w:val="16"/>
        </w:rPr>
        <w:t xml:space="preserve"> </w:t>
      </w:r>
      <w:r w:rsidR="003154AE" w:rsidRPr="003154AE">
        <w:rPr>
          <w:rFonts w:ascii="Roboto-Light" w:hAnsi="Roboto-Light"/>
          <w:sz w:val="16"/>
          <w:szCs w:val="16"/>
        </w:rPr>
        <w:t>J, Smith TB, Baker M, Harris T, Stephenson D. Loneliness and Social Isolation as Risk Factors for Mortality: A Meta-Analytic Review. Perspectives on Psychological Science</w:t>
      </w:r>
      <w:r w:rsidR="00195155">
        <w:rPr>
          <w:rFonts w:ascii="Roboto-Light" w:hAnsi="Roboto-Light"/>
          <w:sz w:val="16"/>
          <w:szCs w:val="16"/>
        </w:rPr>
        <w:t>.</w:t>
      </w:r>
      <w:r w:rsidR="00F94EA3">
        <w:rPr>
          <w:rFonts w:ascii="Roboto-Light" w:hAnsi="Roboto-Light"/>
          <w:sz w:val="16"/>
          <w:szCs w:val="16"/>
        </w:rPr>
        <w:t xml:space="preserve"> 2015</w:t>
      </w:r>
      <w:r w:rsidR="006646AE">
        <w:rPr>
          <w:rFonts w:ascii="Roboto-Light" w:hAnsi="Roboto-Light"/>
          <w:sz w:val="16"/>
          <w:szCs w:val="16"/>
        </w:rPr>
        <w:t>;</w:t>
      </w:r>
      <w:r w:rsidR="003154AE" w:rsidRPr="003154AE">
        <w:rPr>
          <w:rFonts w:ascii="Roboto-Light" w:hAnsi="Roboto-Light"/>
          <w:sz w:val="16"/>
          <w:szCs w:val="16"/>
        </w:rPr>
        <w:t>10(2)</w:t>
      </w:r>
      <w:r w:rsidR="00877111">
        <w:rPr>
          <w:rFonts w:ascii="Roboto-Light" w:hAnsi="Roboto-Light"/>
          <w:sz w:val="16"/>
          <w:szCs w:val="16"/>
        </w:rPr>
        <w:t>:</w:t>
      </w:r>
      <w:r w:rsidR="003154AE" w:rsidRPr="003154AE">
        <w:rPr>
          <w:rFonts w:ascii="Roboto-Light" w:hAnsi="Roboto-Light"/>
          <w:sz w:val="16"/>
          <w:szCs w:val="16"/>
        </w:rPr>
        <w:t xml:space="preserve">227-237. </w:t>
      </w:r>
      <w:r w:rsidR="005F010E" w:rsidRPr="00B335E7">
        <w:rPr>
          <w:rFonts w:ascii="Roboto-Light" w:hAnsi="Roboto-Light"/>
          <w:sz w:val="16"/>
          <w:szCs w:val="16"/>
        </w:rPr>
        <w:t>doi.org/10.1177/1745691614568352</w:t>
      </w:r>
      <w:r w:rsidR="005F010E">
        <w:rPr>
          <w:rFonts w:ascii="Roboto-Light" w:hAnsi="Roboto-Light"/>
          <w:sz w:val="16"/>
          <w:szCs w:val="16"/>
        </w:rPr>
        <w:t xml:space="preserve"> </w:t>
      </w:r>
      <w:r w:rsidR="005F010E" w:rsidRPr="00A86E74">
        <w:rPr>
          <w:rFonts w:ascii="Roboto-Light" w:hAnsi="Roboto-Light"/>
          <w:sz w:val="16"/>
          <w:szCs w:val="16"/>
        </w:rPr>
        <w:t xml:space="preserve">[accessed </w:t>
      </w:r>
      <w:r w:rsidR="005F010E">
        <w:rPr>
          <w:rFonts w:ascii="Roboto-Light" w:hAnsi="Roboto-Light"/>
          <w:sz w:val="16"/>
          <w:szCs w:val="16"/>
        </w:rPr>
        <w:t>19 June</w:t>
      </w:r>
      <w:r w:rsidR="005F010E" w:rsidRPr="00A86E74">
        <w:rPr>
          <w:rFonts w:ascii="Roboto-Light" w:hAnsi="Roboto-Light"/>
          <w:sz w:val="16"/>
          <w:szCs w:val="16"/>
        </w:rPr>
        <w:t xml:space="preserve"> 2024</w:t>
      </w:r>
      <w:r w:rsidR="005F010E">
        <w:rPr>
          <w:rFonts w:ascii="Roboto-Light" w:hAnsi="Roboto-Light"/>
          <w:sz w:val="16"/>
          <w:szCs w:val="16"/>
        </w:rPr>
        <w:t>].</w:t>
      </w:r>
    </w:p>
  </w:footnote>
  <w:footnote w:id="28">
    <w:p w14:paraId="3C8F0B04" w14:textId="2A60A13B" w:rsidR="00EE41ED" w:rsidRPr="00D50DDA" w:rsidRDefault="00EE41ED" w:rsidP="00EE41ED">
      <w:pPr>
        <w:pStyle w:val="FootnoteText"/>
        <w:rPr>
          <w:rFonts w:ascii="Roboto-Light" w:hAnsi="Roboto-Light"/>
          <w:sz w:val="16"/>
          <w:szCs w:val="16"/>
          <w:lang w:val="en-AU"/>
        </w:rPr>
      </w:pPr>
      <w:r w:rsidRPr="00D50DDA">
        <w:rPr>
          <w:rStyle w:val="FootnoteReference"/>
          <w:rFonts w:ascii="Roboto-Light" w:hAnsi="Roboto-Light"/>
          <w:sz w:val="16"/>
          <w:szCs w:val="16"/>
        </w:rPr>
        <w:footnoteRef/>
      </w:r>
      <w:r w:rsidRPr="00D50DDA">
        <w:rPr>
          <w:rFonts w:ascii="Roboto-Light" w:hAnsi="Roboto-Light"/>
          <w:sz w:val="16"/>
          <w:szCs w:val="16"/>
        </w:rPr>
        <w:t xml:space="preserve"> </w:t>
      </w:r>
      <w:r w:rsidRPr="00A86E74">
        <w:rPr>
          <w:rFonts w:ascii="Roboto-Light" w:hAnsi="Roboto-Light"/>
          <w:sz w:val="16"/>
          <w:szCs w:val="16"/>
          <w:lang w:eastAsia="en-AU"/>
        </w:rPr>
        <w:t xml:space="preserve">Manera KE, Smith BJ, Owen KB, Phongsavan P, Lim MH. Psychometric assessment of scales for measuring loneliness and social isolation: an analysis of the household, income and labour dynamics in Australia (HILDA) survey. Health Qual Life Outcomes. 2022 Mar 5;20(1):40. </w:t>
      </w:r>
      <w:r w:rsidR="00625426" w:rsidRPr="00AA0720">
        <w:rPr>
          <w:rFonts w:ascii="Roboto-Light" w:hAnsi="Roboto-Light"/>
          <w:sz w:val="16"/>
          <w:szCs w:val="16"/>
          <w:lang w:eastAsia="en-AU"/>
        </w:rPr>
        <w:t>doi:10.1186/s12955-022-01946-6</w:t>
      </w:r>
      <w:r w:rsidR="00625426">
        <w:rPr>
          <w:rFonts w:ascii="Roboto-Light" w:hAnsi="Roboto-Light"/>
          <w:sz w:val="16"/>
          <w:szCs w:val="16"/>
          <w:lang w:eastAsia="en-AU"/>
        </w:rPr>
        <w:t xml:space="preserve">. </w:t>
      </w:r>
      <w:r w:rsidRPr="00A86E74">
        <w:rPr>
          <w:rFonts w:ascii="Roboto-Light" w:hAnsi="Roboto-Light"/>
          <w:sz w:val="16"/>
          <w:szCs w:val="16"/>
          <w:lang w:eastAsia="en-AU"/>
        </w:rPr>
        <w:t>Erratum in: Health Qual Life Outcomes. 2023 Sep 29;21(1):109.</w:t>
      </w:r>
    </w:p>
  </w:footnote>
  <w:footnote w:id="29">
    <w:p w14:paraId="56A679B6" w14:textId="08DCD62D" w:rsidR="00EE41ED" w:rsidRPr="009F7845" w:rsidRDefault="00EE41ED" w:rsidP="00EE41ED">
      <w:pPr>
        <w:pStyle w:val="FootnoteText"/>
        <w:rPr>
          <w:rFonts w:ascii="Roboto-Light" w:hAnsi="Roboto-Light"/>
          <w:sz w:val="16"/>
          <w:szCs w:val="16"/>
          <w:lang w:val="en-AU"/>
        </w:rPr>
      </w:pPr>
      <w:r w:rsidRPr="009F7845">
        <w:rPr>
          <w:rStyle w:val="FootnoteReference"/>
          <w:rFonts w:ascii="Roboto-Light" w:hAnsi="Roboto-Light" w:hint="eastAsia"/>
          <w:sz w:val="16"/>
          <w:szCs w:val="16"/>
        </w:rPr>
        <w:footnoteRef/>
      </w:r>
      <w:r w:rsidRPr="009F7845">
        <w:rPr>
          <w:rFonts w:ascii="Roboto-Light" w:hAnsi="Roboto-Light" w:hint="eastAsia"/>
          <w:sz w:val="16"/>
          <w:szCs w:val="16"/>
        </w:rPr>
        <w:t xml:space="preserve"> Link B, Phelan J. Conceptualizing Stigma. Annual Review of Sociology. 2001;27:363-85. </w:t>
      </w:r>
      <w:hyperlink r:id="rId5" w:history="1">
        <w:r w:rsidR="006B7BF9" w:rsidRPr="004A2280">
          <w:rPr>
            <w:rStyle w:val="Hyperlink"/>
            <w:rFonts w:ascii="Roboto-Light" w:hAnsi="Roboto-Light"/>
            <w:sz w:val="16"/>
            <w:szCs w:val="16"/>
          </w:rPr>
          <w:t>http://www.jstor.org/stable/2678626</w:t>
        </w:r>
      </w:hyperlink>
    </w:p>
  </w:footnote>
  <w:footnote w:id="30">
    <w:p w14:paraId="4B980C1D" w14:textId="60FBDBBB" w:rsidR="00EE41ED" w:rsidRPr="00A974C0" w:rsidRDefault="00EE41ED" w:rsidP="00EE41ED">
      <w:pPr>
        <w:pStyle w:val="FootnoteText"/>
        <w:rPr>
          <w:rFonts w:ascii="Roboto-Light" w:hAnsi="Roboto-Light"/>
          <w:sz w:val="16"/>
          <w:szCs w:val="16"/>
          <w:lang w:val="en-AU"/>
        </w:rPr>
      </w:pPr>
      <w:r w:rsidRPr="00A86E74">
        <w:rPr>
          <w:rStyle w:val="FootnoteReference"/>
          <w:rFonts w:ascii="Roboto-Light" w:hAnsi="Roboto-Light"/>
          <w:sz w:val="16"/>
          <w:szCs w:val="16"/>
        </w:rPr>
        <w:footnoteRef/>
      </w:r>
      <w:r w:rsidRPr="00A86E74">
        <w:rPr>
          <w:rFonts w:ascii="Roboto-Light" w:hAnsi="Roboto-Light"/>
          <w:sz w:val="16"/>
          <w:szCs w:val="16"/>
        </w:rPr>
        <w:t xml:space="preserve"> </w:t>
      </w:r>
      <w:r w:rsidRPr="00A974C0">
        <w:rPr>
          <w:rFonts w:ascii="Roboto-Light" w:hAnsi="Roboto-Light"/>
          <w:sz w:val="16"/>
          <w:szCs w:val="16"/>
        </w:rPr>
        <w:t xml:space="preserve">Corrigan PW, Rao D. On the self-stigma of mental illness: stages, disclosure, and strategies for change. Can J Psychiatry. 2012 Aug;57(8):464-9. </w:t>
      </w:r>
      <w:r w:rsidR="00625426" w:rsidRPr="00AA0720">
        <w:rPr>
          <w:rFonts w:ascii="Roboto-Light" w:hAnsi="Roboto-Light"/>
          <w:sz w:val="16"/>
          <w:szCs w:val="16"/>
        </w:rPr>
        <w:t>doi:10.1177/070674371205700804</w:t>
      </w:r>
      <w:r w:rsidR="00625426">
        <w:rPr>
          <w:rFonts w:ascii="Roboto-Light" w:hAnsi="Roboto-Light"/>
          <w:sz w:val="16"/>
          <w:szCs w:val="16"/>
        </w:rPr>
        <w:t xml:space="preserve">. </w:t>
      </w:r>
    </w:p>
  </w:footnote>
  <w:footnote w:id="31">
    <w:p w14:paraId="23159BF0" w14:textId="4BDB5FF5" w:rsidR="00EE41ED" w:rsidRPr="00A86E74" w:rsidRDefault="00EE41ED" w:rsidP="00EE41ED">
      <w:pPr>
        <w:pStyle w:val="FootnoteText"/>
        <w:rPr>
          <w:lang w:val="en-AU"/>
        </w:rPr>
      </w:pPr>
      <w:r w:rsidRPr="009F7845">
        <w:rPr>
          <w:rStyle w:val="FootnoteReference"/>
          <w:rFonts w:ascii="Roboto-Light" w:hAnsi="Roboto-Light" w:hint="eastAsia"/>
          <w:sz w:val="16"/>
          <w:szCs w:val="16"/>
        </w:rPr>
        <w:footnoteRef/>
      </w:r>
      <w:r w:rsidRPr="009F7845">
        <w:rPr>
          <w:rFonts w:ascii="Roboto-Light" w:hAnsi="Roboto-Light" w:hint="eastAsia"/>
          <w:sz w:val="16"/>
          <w:szCs w:val="16"/>
        </w:rPr>
        <w:t xml:space="preserve"> Groot C, Rehm I, Andrews C, Hobern B, Morgan R, Green H, et al. Report on Findings from the Our Turn to Speak Survey: Understanding the impact of stigma and discrimination on people living with complex mental health issues. Melbourne; 2020</w:t>
      </w:r>
      <w:r w:rsidR="00A1672A">
        <w:rPr>
          <w:rFonts w:ascii="Roboto-Light" w:hAnsi="Roboto-Light"/>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3A4E6" w14:textId="38115AD2" w:rsidR="00000B8A" w:rsidRDefault="00A60BB3">
    <w:pPr>
      <w:pStyle w:val="Header"/>
    </w:pPr>
    <w:r>
      <w:rPr>
        <w:noProof/>
      </w:rPr>
      <w:drawing>
        <wp:anchor distT="0" distB="0" distL="114300" distR="114300" simplePos="0" relativeHeight="251658240" behindDoc="1" locked="0" layoutInCell="1" allowOverlap="1" wp14:anchorId="0CD5FF09" wp14:editId="0C77ADD6">
          <wp:simplePos x="0" y="0"/>
          <wp:positionH relativeFrom="page">
            <wp:align>left</wp:align>
          </wp:positionH>
          <wp:positionV relativeFrom="page">
            <wp:align>top</wp:align>
          </wp:positionV>
          <wp:extent cx="7556400" cy="10692000"/>
          <wp:effectExtent l="0" t="0" r="635" b="1905"/>
          <wp:wrapNone/>
          <wp:docPr id="940305977" name="Graphic 940305977" descr="National Mental Health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589923" name="Graphic 1" descr="National Mental Health Commission"/>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p>
  <w:p w14:paraId="16965803" w14:textId="77777777" w:rsidR="003E2D9C" w:rsidRDefault="003E2D9C"/>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8C883" w14:textId="77777777" w:rsidR="00FB4752" w:rsidRDefault="00FB4752">
    <w:pPr>
      <w:pStyle w:val="Header"/>
    </w:pPr>
    <w:r>
      <w:rPr>
        <w:noProof/>
      </w:rPr>
      <w:drawing>
        <wp:anchor distT="0" distB="0" distL="114300" distR="114300" simplePos="0" relativeHeight="251658243" behindDoc="1" locked="0" layoutInCell="1" allowOverlap="1" wp14:anchorId="123877B4" wp14:editId="1B54F14F">
          <wp:simplePos x="0" y="0"/>
          <wp:positionH relativeFrom="page">
            <wp:align>left</wp:align>
          </wp:positionH>
          <wp:positionV relativeFrom="page">
            <wp:align>top</wp:align>
          </wp:positionV>
          <wp:extent cx="7560000" cy="10695600"/>
          <wp:effectExtent l="0" t="0" r="0" b="0"/>
          <wp:wrapNone/>
          <wp:docPr id="1620931271" name="Graphic 1620931271" descr="National Mental Health Commiss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230570" name="Graphic 1" descr="National Mental Health Commission">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8503C" w14:textId="77777777" w:rsidR="009B119F" w:rsidRDefault="009B11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7726D" w14:textId="77777777" w:rsidR="009B119F" w:rsidRDefault="009B119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154D9" w14:textId="15DD3AA6" w:rsidR="00B97A72" w:rsidRDefault="00B97A7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11430" w14:textId="63ADCBC6" w:rsidR="00B97A72" w:rsidRDefault="00B97A7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3D8041C4" w14:paraId="11E6CFDB" w14:textId="77777777" w:rsidTr="3D8041C4">
      <w:trPr>
        <w:trHeight w:val="300"/>
      </w:trPr>
      <w:tc>
        <w:tcPr>
          <w:tcW w:w="3210" w:type="dxa"/>
        </w:tcPr>
        <w:p w14:paraId="74AA69F5" w14:textId="17C447E5" w:rsidR="3D8041C4" w:rsidRDefault="3D8041C4" w:rsidP="3D8041C4">
          <w:pPr>
            <w:pStyle w:val="Header"/>
            <w:ind w:left="-115"/>
          </w:pPr>
        </w:p>
      </w:tc>
      <w:tc>
        <w:tcPr>
          <w:tcW w:w="3210" w:type="dxa"/>
        </w:tcPr>
        <w:p w14:paraId="60B9D225" w14:textId="6359EFCE" w:rsidR="3D8041C4" w:rsidRDefault="3D8041C4" w:rsidP="3D8041C4">
          <w:pPr>
            <w:pStyle w:val="Header"/>
            <w:jc w:val="center"/>
          </w:pPr>
        </w:p>
      </w:tc>
      <w:tc>
        <w:tcPr>
          <w:tcW w:w="3210" w:type="dxa"/>
        </w:tcPr>
        <w:p w14:paraId="63DEA415" w14:textId="429EAB57" w:rsidR="3D8041C4" w:rsidRDefault="3D8041C4" w:rsidP="3D8041C4">
          <w:pPr>
            <w:pStyle w:val="Header"/>
            <w:ind w:right="-115"/>
            <w:jc w:val="right"/>
          </w:pPr>
        </w:p>
      </w:tc>
    </w:tr>
  </w:tbl>
  <w:p w14:paraId="375AA03C" w14:textId="3B826CCA" w:rsidR="00B97A72" w:rsidRDefault="00B97A7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6EBB7" w14:textId="77777777" w:rsidR="00567892" w:rsidRDefault="00567892">
    <w:pPr>
      <w:pStyle w:val="Header"/>
    </w:pPr>
    <w:r>
      <w:rPr>
        <w:noProof/>
      </w:rPr>
      <w:drawing>
        <wp:anchor distT="0" distB="0" distL="114300" distR="114300" simplePos="0" relativeHeight="251658241" behindDoc="1" locked="0" layoutInCell="1" allowOverlap="1" wp14:anchorId="2B0315D5" wp14:editId="30694720">
          <wp:simplePos x="0" y="0"/>
          <wp:positionH relativeFrom="page">
            <wp:align>left</wp:align>
          </wp:positionH>
          <wp:positionV relativeFrom="page">
            <wp:align>top</wp:align>
          </wp:positionV>
          <wp:extent cx="7556400" cy="10692000"/>
          <wp:effectExtent l="0" t="0" r="635" b="1905"/>
          <wp:wrapNone/>
          <wp:docPr id="5" name="Graphic 5" descr="National Mental Health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589923" name="Graphic 1" descr="National Mental Health Commission"/>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485"/>
      <w:gridCol w:w="1485"/>
      <w:gridCol w:w="1485"/>
    </w:tblGrid>
    <w:tr w:rsidR="3D8041C4" w14:paraId="6F5FB3FC" w14:textId="77777777" w:rsidTr="3D8041C4">
      <w:trPr>
        <w:trHeight w:val="300"/>
      </w:trPr>
      <w:tc>
        <w:tcPr>
          <w:tcW w:w="1485" w:type="dxa"/>
        </w:tcPr>
        <w:p w14:paraId="0E735D98" w14:textId="15A7B1E9" w:rsidR="3D8041C4" w:rsidRDefault="3D8041C4" w:rsidP="3D8041C4">
          <w:pPr>
            <w:pStyle w:val="Header"/>
            <w:ind w:left="-115"/>
          </w:pPr>
        </w:p>
      </w:tc>
      <w:tc>
        <w:tcPr>
          <w:tcW w:w="1485" w:type="dxa"/>
        </w:tcPr>
        <w:p w14:paraId="59701793" w14:textId="41BF3A3C" w:rsidR="3D8041C4" w:rsidRDefault="3D8041C4" w:rsidP="3D8041C4">
          <w:pPr>
            <w:pStyle w:val="Header"/>
            <w:jc w:val="center"/>
          </w:pPr>
        </w:p>
      </w:tc>
      <w:tc>
        <w:tcPr>
          <w:tcW w:w="1485" w:type="dxa"/>
        </w:tcPr>
        <w:p w14:paraId="64FEF1BE" w14:textId="5037629D" w:rsidR="3D8041C4" w:rsidRDefault="3D8041C4" w:rsidP="3D8041C4">
          <w:pPr>
            <w:pStyle w:val="Header"/>
            <w:ind w:right="-115"/>
            <w:jc w:val="right"/>
          </w:pPr>
        </w:p>
      </w:tc>
    </w:tr>
  </w:tbl>
  <w:p w14:paraId="3E9E3843" w14:textId="722DFE07" w:rsidR="00B97A72" w:rsidRDefault="00B97A7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93324" w14:textId="6720325E" w:rsidR="00B97A72" w:rsidRDefault="00AE058B">
    <w:pPr>
      <w:pStyle w:val="Header"/>
    </w:pPr>
    <w:r>
      <w:rPr>
        <w:noProof/>
      </w:rPr>
      <w:drawing>
        <wp:anchor distT="0" distB="0" distL="114300" distR="114300" simplePos="0" relativeHeight="251658242" behindDoc="1" locked="0" layoutInCell="1" allowOverlap="1" wp14:anchorId="5939241A" wp14:editId="52D1BF91">
          <wp:simplePos x="0" y="0"/>
          <wp:positionH relativeFrom="page">
            <wp:align>right</wp:align>
          </wp:positionH>
          <wp:positionV relativeFrom="page">
            <wp:align>top</wp:align>
          </wp:positionV>
          <wp:extent cx="7556400" cy="10692000"/>
          <wp:effectExtent l="0" t="0" r="6985" b="0"/>
          <wp:wrapNone/>
          <wp:docPr id="871795529" name="Graphic 8717955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412183" name="Graphic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A5CADB5C"/>
    <w:lvl w:ilvl="0">
      <w:start w:val="1"/>
      <w:numFmt w:val="bullet"/>
      <w:pStyle w:val="ListBullet2"/>
      <w:lvlText w:val="—"/>
      <w:lvlJc w:val="left"/>
      <w:pPr>
        <w:tabs>
          <w:tab w:val="num" w:pos="454"/>
        </w:tabs>
        <w:ind w:left="454" w:hanging="284"/>
      </w:pPr>
      <w:rPr>
        <w:rFonts w:ascii="Roboto-Bold" w:hAnsi="Roboto-Bold" w:hint="default"/>
        <w:color w:val="008143"/>
      </w:rPr>
    </w:lvl>
  </w:abstractNum>
  <w:abstractNum w:abstractNumId="1" w15:restartNumberingAfterBreak="0">
    <w:nsid w:val="0328401A"/>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34D4A3A"/>
    <w:multiLevelType w:val="hybridMultilevel"/>
    <w:tmpl w:val="0BD09936"/>
    <w:lvl w:ilvl="0" w:tplc="7D9EA4A6">
      <w:start w:val="1"/>
      <w:numFmt w:val="bullet"/>
      <w:lvlText w:val="•"/>
      <w:lvlJc w:val="left"/>
      <w:pPr>
        <w:ind w:left="170" w:hanging="170"/>
      </w:pPr>
      <w:rPr>
        <w:rFonts w:ascii="Roboto" w:hAnsi="Roboto" w:hint="default"/>
        <w:color w:val="008142"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5E54331"/>
    <w:multiLevelType w:val="multilevel"/>
    <w:tmpl w:val="732AB586"/>
    <w:styleLink w:val="CurrentList2"/>
    <w:lvl w:ilvl="0">
      <w:start w:val="1"/>
      <w:numFmt w:val="decimal"/>
      <w:lvlText w:val="%1."/>
      <w:lvlJc w:val="left"/>
      <w:pPr>
        <w:ind w:left="360" w:hanging="360"/>
      </w:pPr>
      <w:rPr>
        <w:rFonts w:hint="default"/>
        <w:color w:val="00B0DE"/>
      </w:rPr>
    </w:lvl>
    <w:lvl w:ilvl="1">
      <w:start w:val="1"/>
      <w:numFmt w:val="bullet"/>
      <w:lvlText w:val="o"/>
      <w:lvlJc w:val="left"/>
      <w:pPr>
        <w:ind w:left="36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cs="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960" w:hanging="360"/>
      </w:pPr>
      <w:rPr>
        <w:rFonts w:ascii="Symbol" w:hAnsi="Symbol" w:hint="default"/>
      </w:rPr>
    </w:lvl>
    <w:lvl w:ilvl="7">
      <w:start w:val="1"/>
      <w:numFmt w:val="bullet"/>
      <w:lvlText w:val="o"/>
      <w:lvlJc w:val="left"/>
      <w:pPr>
        <w:ind w:left="4680" w:hanging="360"/>
      </w:pPr>
      <w:rPr>
        <w:rFonts w:ascii="Courier New" w:hAnsi="Courier New" w:cs="Courier New" w:hint="default"/>
      </w:rPr>
    </w:lvl>
    <w:lvl w:ilvl="8">
      <w:start w:val="1"/>
      <w:numFmt w:val="bullet"/>
      <w:lvlText w:val=""/>
      <w:lvlJc w:val="left"/>
      <w:pPr>
        <w:ind w:left="5400" w:hanging="360"/>
      </w:pPr>
      <w:rPr>
        <w:rFonts w:ascii="Wingdings" w:hAnsi="Wingdings" w:hint="default"/>
      </w:rPr>
    </w:lvl>
  </w:abstractNum>
  <w:abstractNum w:abstractNumId="4" w15:restartNumberingAfterBreak="0">
    <w:nsid w:val="06B7558F"/>
    <w:multiLevelType w:val="hybridMultilevel"/>
    <w:tmpl w:val="4AB698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EE7B86"/>
    <w:multiLevelType w:val="hybridMultilevel"/>
    <w:tmpl w:val="5224C4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7C4DB6"/>
    <w:multiLevelType w:val="hybridMultilevel"/>
    <w:tmpl w:val="ED4AF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D00724E"/>
    <w:multiLevelType w:val="hybridMultilevel"/>
    <w:tmpl w:val="51C68382"/>
    <w:lvl w:ilvl="0" w:tplc="5290CF5A">
      <w:start w:val="1"/>
      <w:numFmt w:val="bullet"/>
      <w:lvlText w:val="•"/>
      <w:lvlJc w:val="left"/>
      <w:pPr>
        <w:ind w:left="170" w:hanging="170"/>
      </w:pPr>
      <w:rPr>
        <w:rFonts w:ascii="Roboto" w:hAnsi="Roboto" w:hint="default"/>
        <w:color w:val="008142"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0F211B99"/>
    <w:multiLevelType w:val="hybridMultilevel"/>
    <w:tmpl w:val="5A26DB22"/>
    <w:lvl w:ilvl="0" w:tplc="A9DAA346">
      <w:start w:val="1"/>
      <w:numFmt w:val="bullet"/>
      <w:lvlText w:val="•"/>
      <w:lvlJc w:val="left"/>
      <w:pPr>
        <w:ind w:left="170" w:hanging="170"/>
      </w:pPr>
      <w:rPr>
        <w:rFonts w:ascii="Roboto" w:hAnsi="Roboto"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FE615F5"/>
    <w:multiLevelType w:val="hybridMultilevel"/>
    <w:tmpl w:val="1592E0B4"/>
    <w:lvl w:ilvl="0" w:tplc="A0DA5A4C">
      <w:start w:val="1"/>
      <w:numFmt w:val="bullet"/>
      <w:lvlText w:val="•"/>
      <w:lvlJc w:val="left"/>
      <w:pPr>
        <w:ind w:left="360" w:hanging="360"/>
      </w:pPr>
      <w:rPr>
        <w:rFonts w:ascii="Roboto" w:hAnsi="Roboto"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00B32DE"/>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00D6FEF"/>
    <w:multiLevelType w:val="hybridMultilevel"/>
    <w:tmpl w:val="082AB670"/>
    <w:lvl w:ilvl="0" w:tplc="11F0A0B6">
      <w:start w:val="1"/>
      <w:numFmt w:val="bullet"/>
      <w:lvlText w:val="•"/>
      <w:lvlJc w:val="left"/>
      <w:pPr>
        <w:ind w:left="170" w:hanging="170"/>
      </w:pPr>
      <w:rPr>
        <w:rFonts w:ascii="Roboto" w:hAnsi="Roboto" w:hint="default"/>
        <w:color w:val="008142"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1583704A"/>
    <w:multiLevelType w:val="hybridMultilevel"/>
    <w:tmpl w:val="08D89264"/>
    <w:lvl w:ilvl="0" w:tplc="A0DA5A4C">
      <w:start w:val="1"/>
      <w:numFmt w:val="bullet"/>
      <w:lvlText w:val="•"/>
      <w:lvlJc w:val="left"/>
      <w:pPr>
        <w:ind w:left="360" w:hanging="360"/>
      </w:pPr>
      <w:rPr>
        <w:rFonts w:ascii="Roboto" w:hAnsi="Roboto"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B9A2503"/>
    <w:multiLevelType w:val="hybridMultilevel"/>
    <w:tmpl w:val="583A037A"/>
    <w:lvl w:ilvl="0" w:tplc="A0DA5A4C">
      <w:start w:val="1"/>
      <w:numFmt w:val="bullet"/>
      <w:lvlText w:val="•"/>
      <w:lvlJc w:val="left"/>
      <w:pPr>
        <w:ind w:left="360" w:hanging="360"/>
      </w:pPr>
      <w:rPr>
        <w:rFonts w:ascii="Roboto" w:hAnsi="Roboto"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DB90B6B"/>
    <w:multiLevelType w:val="hybridMultilevel"/>
    <w:tmpl w:val="FAA415CC"/>
    <w:lvl w:ilvl="0" w:tplc="292839EE">
      <w:start w:val="1"/>
      <w:numFmt w:val="bullet"/>
      <w:pStyle w:val="NMHCbulletlist"/>
      <w:lvlText w:val="•"/>
      <w:lvlJc w:val="left"/>
      <w:pPr>
        <w:ind w:left="720" w:hanging="360"/>
      </w:pPr>
      <w:rPr>
        <w:rFonts w:ascii="Roboto" w:hAnsi="Roboto" w:hint="default"/>
        <w:color w:val="C6D533" w:themeColor="accent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DF02BA5"/>
    <w:multiLevelType w:val="multilevel"/>
    <w:tmpl w:val="732AB586"/>
    <w:styleLink w:val="CurrentList3"/>
    <w:lvl w:ilvl="0">
      <w:start w:val="1"/>
      <w:numFmt w:val="decimal"/>
      <w:lvlText w:val="%1."/>
      <w:lvlJc w:val="left"/>
      <w:pPr>
        <w:ind w:left="360" w:hanging="360"/>
      </w:pPr>
      <w:rPr>
        <w:rFonts w:hint="default"/>
        <w:color w:val="00B0DE"/>
      </w:rPr>
    </w:lvl>
    <w:lvl w:ilvl="1">
      <w:start w:val="1"/>
      <w:numFmt w:val="bullet"/>
      <w:lvlText w:val="o"/>
      <w:lvlJc w:val="left"/>
      <w:pPr>
        <w:ind w:left="36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cs="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960" w:hanging="360"/>
      </w:pPr>
      <w:rPr>
        <w:rFonts w:ascii="Symbol" w:hAnsi="Symbol" w:hint="default"/>
      </w:rPr>
    </w:lvl>
    <w:lvl w:ilvl="7">
      <w:start w:val="1"/>
      <w:numFmt w:val="bullet"/>
      <w:lvlText w:val="o"/>
      <w:lvlJc w:val="left"/>
      <w:pPr>
        <w:ind w:left="4680" w:hanging="360"/>
      </w:pPr>
      <w:rPr>
        <w:rFonts w:ascii="Courier New" w:hAnsi="Courier New" w:cs="Courier New" w:hint="default"/>
      </w:rPr>
    </w:lvl>
    <w:lvl w:ilvl="8">
      <w:start w:val="1"/>
      <w:numFmt w:val="bullet"/>
      <w:lvlText w:val=""/>
      <w:lvlJc w:val="left"/>
      <w:pPr>
        <w:ind w:left="5400" w:hanging="360"/>
      </w:pPr>
      <w:rPr>
        <w:rFonts w:ascii="Wingdings" w:hAnsi="Wingdings" w:hint="default"/>
      </w:rPr>
    </w:lvl>
  </w:abstractNum>
  <w:abstractNum w:abstractNumId="16" w15:restartNumberingAfterBreak="0">
    <w:nsid w:val="20627B8D"/>
    <w:multiLevelType w:val="hybridMultilevel"/>
    <w:tmpl w:val="72C6B370"/>
    <w:lvl w:ilvl="0" w:tplc="05DAC48C">
      <w:start w:val="1"/>
      <w:numFmt w:val="bullet"/>
      <w:lvlText w:val="•"/>
      <w:lvlJc w:val="left"/>
      <w:pPr>
        <w:ind w:left="170" w:hanging="170"/>
      </w:pPr>
      <w:rPr>
        <w:rFonts w:ascii="Roboto" w:hAnsi="Roboto" w:hint="default"/>
        <w:color w:val="008142"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221710CA"/>
    <w:multiLevelType w:val="hybridMultilevel"/>
    <w:tmpl w:val="8D0C78CC"/>
    <w:lvl w:ilvl="0" w:tplc="A0DA5A4C">
      <w:start w:val="1"/>
      <w:numFmt w:val="bullet"/>
      <w:lvlText w:val="•"/>
      <w:lvlJc w:val="left"/>
      <w:pPr>
        <w:ind w:left="360" w:hanging="360"/>
      </w:pPr>
      <w:rPr>
        <w:rFonts w:ascii="Roboto" w:hAnsi="Roboto"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5B30C3D"/>
    <w:multiLevelType w:val="hybridMultilevel"/>
    <w:tmpl w:val="4412D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A082871"/>
    <w:multiLevelType w:val="hybridMultilevel"/>
    <w:tmpl w:val="A75E380E"/>
    <w:lvl w:ilvl="0" w:tplc="82CC605E">
      <w:start w:val="1"/>
      <w:numFmt w:val="bullet"/>
      <w:lvlText w:val="•"/>
      <w:lvlJc w:val="left"/>
      <w:pPr>
        <w:ind w:left="170" w:hanging="170"/>
      </w:pPr>
      <w:rPr>
        <w:rFonts w:ascii="Roboto" w:hAnsi="Roboto" w:hint="default"/>
        <w:color w:val="008142"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2AF40FC3"/>
    <w:multiLevelType w:val="hybridMultilevel"/>
    <w:tmpl w:val="C9ECEF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C5449F0"/>
    <w:multiLevelType w:val="hybridMultilevel"/>
    <w:tmpl w:val="796208A4"/>
    <w:lvl w:ilvl="0" w:tplc="389AE672">
      <w:start w:val="1"/>
      <w:numFmt w:val="decimal"/>
      <w:pStyle w:val="ListNumber"/>
      <w:lvlText w:val="%1."/>
      <w:lvlJc w:val="left"/>
      <w:pPr>
        <w:tabs>
          <w:tab w:val="num" w:pos="360"/>
        </w:tabs>
        <w:ind w:left="360" w:hanging="360"/>
      </w:pPr>
      <w:rPr>
        <w:rFonts w:hint="default"/>
        <w:b/>
        <w:i w:val="0"/>
        <w:color w:val="00814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DAA028B"/>
    <w:multiLevelType w:val="hybridMultilevel"/>
    <w:tmpl w:val="AF0CECFE"/>
    <w:lvl w:ilvl="0" w:tplc="8C703516">
      <w:start w:val="1"/>
      <w:numFmt w:val="bullet"/>
      <w:lvlText w:val="•"/>
      <w:lvlJc w:val="left"/>
      <w:pPr>
        <w:ind w:left="170" w:hanging="170"/>
      </w:pPr>
      <w:rPr>
        <w:rFonts w:ascii="Roboto" w:hAnsi="Roboto" w:hint="default"/>
        <w:color w:val="008142"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2E3E4232"/>
    <w:multiLevelType w:val="hybridMultilevel"/>
    <w:tmpl w:val="39FCDD20"/>
    <w:lvl w:ilvl="0" w:tplc="83469CE0">
      <w:start w:val="1"/>
      <w:numFmt w:val="bullet"/>
      <w:pStyle w:val="ListParagraph"/>
      <w:lvlText w:val="•"/>
      <w:lvlJc w:val="left"/>
      <w:pPr>
        <w:ind w:left="170" w:hanging="170"/>
      </w:pPr>
      <w:rPr>
        <w:rFonts w:ascii="Roboto-Bold" w:hAnsi="Roboto-Bold" w:hint="default"/>
        <w:color w:val="008143"/>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24" w15:restartNumberingAfterBreak="0">
    <w:nsid w:val="2E3E4BA4"/>
    <w:multiLevelType w:val="hybridMultilevel"/>
    <w:tmpl w:val="4BBCFE48"/>
    <w:lvl w:ilvl="0" w:tplc="7FB82412">
      <w:start w:val="1"/>
      <w:numFmt w:val="bullet"/>
      <w:lvlText w:val="•"/>
      <w:lvlJc w:val="left"/>
      <w:pPr>
        <w:ind w:left="170" w:hanging="170"/>
      </w:pPr>
      <w:rPr>
        <w:rFonts w:ascii="Roboto" w:hAnsi="Roboto" w:hint="default"/>
        <w:color w:val="008142"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33B4377F"/>
    <w:multiLevelType w:val="hybridMultilevel"/>
    <w:tmpl w:val="96F6BFA0"/>
    <w:lvl w:ilvl="0" w:tplc="ECAC1F5C">
      <w:start w:val="1"/>
      <w:numFmt w:val="bullet"/>
      <w:pStyle w:val="ListBullet"/>
      <w:lvlText w:val="•"/>
      <w:lvlJc w:val="left"/>
      <w:pPr>
        <w:ind w:left="170" w:hanging="170"/>
      </w:pPr>
      <w:rPr>
        <w:rFonts w:ascii="Roboto-Bold" w:hAnsi="Roboto-Bold" w:hint="default"/>
        <w:color w:val="00814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4CF25F2"/>
    <w:multiLevelType w:val="hybridMultilevel"/>
    <w:tmpl w:val="E58A6A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88513F3"/>
    <w:multiLevelType w:val="multilevel"/>
    <w:tmpl w:val="0809001D"/>
    <w:styleLink w:val="CurrentList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39907CAC"/>
    <w:multiLevelType w:val="hybridMultilevel"/>
    <w:tmpl w:val="34E244BC"/>
    <w:lvl w:ilvl="0" w:tplc="4F5AABF4">
      <w:start w:val="1"/>
      <w:numFmt w:val="bullet"/>
      <w:lvlText w:val="•"/>
      <w:lvlJc w:val="left"/>
      <w:pPr>
        <w:ind w:left="170" w:hanging="170"/>
      </w:pPr>
      <w:rPr>
        <w:rFonts w:ascii="Roboto" w:hAnsi="Roboto"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40554318"/>
    <w:multiLevelType w:val="hybridMultilevel"/>
    <w:tmpl w:val="84764B9A"/>
    <w:lvl w:ilvl="0" w:tplc="A0DA5A4C">
      <w:start w:val="1"/>
      <w:numFmt w:val="bullet"/>
      <w:lvlText w:val="•"/>
      <w:lvlJc w:val="left"/>
      <w:pPr>
        <w:ind w:left="360" w:hanging="360"/>
      </w:pPr>
      <w:rPr>
        <w:rFonts w:ascii="Roboto" w:hAnsi="Roboto"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42E627F8"/>
    <w:multiLevelType w:val="hybridMultilevel"/>
    <w:tmpl w:val="0990593A"/>
    <w:lvl w:ilvl="0" w:tplc="A0DA5A4C">
      <w:start w:val="1"/>
      <w:numFmt w:val="bullet"/>
      <w:lvlText w:val="•"/>
      <w:lvlJc w:val="left"/>
      <w:pPr>
        <w:ind w:left="360" w:hanging="360"/>
      </w:pPr>
      <w:rPr>
        <w:rFonts w:ascii="Roboto" w:hAnsi="Roboto"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457448BD"/>
    <w:multiLevelType w:val="multilevel"/>
    <w:tmpl w:val="E1865778"/>
    <w:styleLink w:val="CurrentList1"/>
    <w:lvl w:ilvl="0">
      <w:start w:val="1"/>
      <w:numFmt w:val="bullet"/>
      <w:lvlText w:val="•"/>
      <w:lvlJc w:val="left"/>
      <w:pPr>
        <w:ind w:left="170" w:hanging="170"/>
      </w:pPr>
      <w:rPr>
        <w:rFonts w:ascii="Roboto-Bold" w:hAnsi="Roboto-Bold" w:hint="default"/>
        <w:color w:val="F7941D"/>
      </w:rPr>
    </w:lvl>
    <w:lvl w:ilvl="1">
      <w:start w:val="1"/>
      <w:numFmt w:val="bullet"/>
      <w:lvlText w:val="o"/>
      <w:lvlJc w:val="left"/>
      <w:pPr>
        <w:ind w:left="36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cs="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960" w:hanging="360"/>
      </w:pPr>
      <w:rPr>
        <w:rFonts w:ascii="Symbol" w:hAnsi="Symbol" w:hint="default"/>
      </w:rPr>
    </w:lvl>
    <w:lvl w:ilvl="7">
      <w:start w:val="1"/>
      <w:numFmt w:val="bullet"/>
      <w:lvlText w:val="o"/>
      <w:lvlJc w:val="left"/>
      <w:pPr>
        <w:ind w:left="4680" w:hanging="360"/>
      </w:pPr>
      <w:rPr>
        <w:rFonts w:ascii="Courier New" w:hAnsi="Courier New" w:cs="Courier New" w:hint="default"/>
      </w:rPr>
    </w:lvl>
    <w:lvl w:ilvl="8">
      <w:start w:val="1"/>
      <w:numFmt w:val="bullet"/>
      <w:lvlText w:val=""/>
      <w:lvlJc w:val="left"/>
      <w:pPr>
        <w:ind w:left="5400" w:hanging="360"/>
      </w:pPr>
      <w:rPr>
        <w:rFonts w:ascii="Wingdings" w:hAnsi="Wingdings" w:hint="default"/>
      </w:rPr>
    </w:lvl>
  </w:abstractNum>
  <w:abstractNum w:abstractNumId="32" w15:restartNumberingAfterBreak="0">
    <w:nsid w:val="45AF0151"/>
    <w:multiLevelType w:val="hybridMultilevel"/>
    <w:tmpl w:val="6BD41A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5D8235E"/>
    <w:multiLevelType w:val="hybridMultilevel"/>
    <w:tmpl w:val="0BCAC6B0"/>
    <w:lvl w:ilvl="0" w:tplc="7A164264">
      <w:start w:val="1"/>
      <w:numFmt w:val="bullet"/>
      <w:lvlText w:val="•"/>
      <w:lvlJc w:val="left"/>
      <w:pPr>
        <w:ind w:left="170" w:hanging="170"/>
      </w:pPr>
      <w:rPr>
        <w:rFonts w:ascii="Roboto" w:hAnsi="Roboto"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46E03477"/>
    <w:multiLevelType w:val="hybridMultilevel"/>
    <w:tmpl w:val="D6B20796"/>
    <w:lvl w:ilvl="0" w:tplc="A0DA5A4C">
      <w:start w:val="1"/>
      <w:numFmt w:val="bullet"/>
      <w:lvlText w:val="•"/>
      <w:lvlJc w:val="left"/>
      <w:pPr>
        <w:ind w:left="360" w:hanging="360"/>
      </w:pPr>
      <w:rPr>
        <w:rFonts w:ascii="Roboto" w:hAnsi="Roboto"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47AC4B26"/>
    <w:multiLevelType w:val="hybridMultilevel"/>
    <w:tmpl w:val="4524C390"/>
    <w:lvl w:ilvl="0" w:tplc="36F6E93E">
      <w:start w:val="1"/>
      <w:numFmt w:val="bullet"/>
      <w:lvlText w:val="•"/>
      <w:lvlJc w:val="left"/>
      <w:pPr>
        <w:ind w:left="170" w:hanging="170"/>
      </w:pPr>
      <w:rPr>
        <w:rFonts w:ascii="Roboto" w:hAnsi="Roboto" w:hint="default"/>
        <w:color w:val="008142"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48D9671B"/>
    <w:multiLevelType w:val="hybridMultilevel"/>
    <w:tmpl w:val="76C26F2C"/>
    <w:lvl w:ilvl="0" w:tplc="5B5425F0">
      <w:start w:val="1"/>
      <w:numFmt w:val="bullet"/>
      <w:lvlText w:val="•"/>
      <w:lvlJc w:val="left"/>
      <w:pPr>
        <w:ind w:left="170" w:hanging="170"/>
      </w:pPr>
      <w:rPr>
        <w:rFonts w:ascii="Roboto" w:hAnsi="Roboto"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4DCD66F0"/>
    <w:multiLevelType w:val="hybridMultilevel"/>
    <w:tmpl w:val="0D9A4F6C"/>
    <w:lvl w:ilvl="0" w:tplc="A1D27666">
      <w:start w:val="1"/>
      <w:numFmt w:val="bullet"/>
      <w:lvlText w:val="•"/>
      <w:lvlJc w:val="left"/>
      <w:pPr>
        <w:ind w:left="170" w:hanging="170"/>
      </w:pPr>
      <w:rPr>
        <w:rFonts w:ascii="Roboto" w:hAnsi="Roboto" w:hint="default"/>
        <w:color w:val="008142"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 w15:restartNumberingAfterBreak="0">
    <w:nsid w:val="50D246AA"/>
    <w:multiLevelType w:val="hybridMultilevel"/>
    <w:tmpl w:val="31A4E8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1934367"/>
    <w:multiLevelType w:val="hybridMultilevel"/>
    <w:tmpl w:val="613E1FF6"/>
    <w:lvl w:ilvl="0" w:tplc="982C3AD4">
      <w:start w:val="1"/>
      <w:numFmt w:val="bullet"/>
      <w:lvlText w:val="•"/>
      <w:lvlJc w:val="left"/>
      <w:pPr>
        <w:ind w:left="170" w:hanging="170"/>
      </w:pPr>
      <w:rPr>
        <w:rFonts w:ascii="Roboto" w:hAnsi="Roboto"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528862DA"/>
    <w:multiLevelType w:val="hybridMultilevel"/>
    <w:tmpl w:val="1D1058C4"/>
    <w:lvl w:ilvl="0" w:tplc="1D7ECCD0">
      <w:start w:val="1"/>
      <w:numFmt w:val="bullet"/>
      <w:lvlText w:val="•"/>
      <w:lvlJc w:val="left"/>
      <w:pPr>
        <w:ind w:left="170" w:hanging="170"/>
      </w:pPr>
      <w:rPr>
        <w:rFonts w:ascii="Roboto" w:hAnsi="Roboto"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543B2476"/>
    <w:multiLevelType w:val="hybridMultilevel"/>
    <w:tmpl w:val="3DCAD192"/>
    <w:lvl w:ilvl="0" w:tplc="D9D8C3A8">
      <w:start w:val="1"/>
      <w:numFmt w:val="bullet"/>
      <w:lvlText w:val="•"/>
      <w:lvlJc w:val="left"/>
      <w:pPr>
        <w:ind w:left="170" w:hanging="170"/>
      </w:pPr>
      <w:rPr>
        <w:rFonts w:ascii="Roboto" w:hAnsi="Roboto"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5B952A6E"/>
    <w:multiLevelType w:val="hybridMultilevel"/>
    <w:tmpl w:val="B2223AEC"/>
    <w:lvl w:ilvl="0" w:tplc="8BA4BE2A">
      <w:start w:val="1"/>
      <w:numFmt w:val="bullet"/>
      <w:lvlText w:val="•"/>
      <w:lvlJc w:val="left"/>
      <w:pPr>
        <w:ind w:left="170" w:hanging="170"/>
      </w:pPr>
      <w:rPr>
        <w:rFonts w:ascii="Roboto" w:hAnsi="Roboto" w:hint="default"/>
        <w:color w:val="008142"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3" w15:restartNumberingAfterBreak="0">
    <w:nsid w:val="5CD050AC"/>
    <w:multiLevelType w:val="hybridMultilevel"/>
    <w:tmpl w:val="38B259A8"/>
    <w:lvl w:ilvl="0" w:tplc="A0DA5A4C">
      <w:start w:val="1"/>
      <w:numFmt w:val="bullet"/>
      <w:lvlText w:val="•"/>
      <w:lvlJc w:val="left"/>
      <w:pPr>
        <w:ind w:left="360" w:hanging="360"/>
      </w:pPr>
      <w:rPr>
        <w:rFonts w:ascii="Roboto" w:hAnsi="Roboto"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5D5E2C8D"/>
    <w:multiLevelType w:val="hybridMultilevel"/>
    <w:tmpl w:val="B526FE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E1631DA"/>
    <w:multiLevelType w:val="hybridMultilevel"/>
    <w:tmpl w:val="94CA7FB6"/>
    <w:lvl w:ilvl="0" w:tplc="B2BEA942">
      <w:start w:val="1"/>
      <w:numFmt w:val="bullet"/>
      <w:lvlText w:val="•"/>
      <w:lvlJc w:val="left"/>
      <w:pPr>
        <w:ind w:left="170" w:hanging="170"/>
      </w:pPr>
      <w:rPr>
        <w:rFonts w:ascii="Roboto" w:hAnsi="Roboto" w:hint="default"/>
        <w:color w:val="008142"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6" w15:restartNumberingAfterBreak="0">
    <w:nsid w:val="62C90092"/>
    <w:multiLevelType w:val="hybridMultilevel"/>
    <w:tmpl w:val="1AE88C72"/>
    <w:lvl w:ilvl="0" w:tplc="7B503B60">
      <w:start w:val="1"/>
      <w:numFmt w:val="bullet"/>
      <w:lvlText w:val=""/>
      <w:lvlJc w:val="left"/>
      <w:pPr>
        <w:ind w:left="720" w:hanging="360"/>
      </w:pPr>
      <w:rPr>
        <w:rFonts w:ascii="Symbol" w:hAnsi="Symbol"/>
      </w:rPr>
    </w:lvl>
    <w:lvl w:ilvl="1" w:tplc="4C781EC0">
      <w:start w:val="1"/>
      <w:numFmt w:val="bullet"/>
      <w:lvlText w:val=""/>
      <w:lvlJc w:val="left"/>
      <w:pPr>
        <w:ind w:left="720" w:hanging="360"/>
      </w:pPr>
      <w:rPr>
        <w:rFonts w:ascii="Symbol" w:hAnsi="Symbol"/>
      </w:rPr>
    </w:lvl>
    <w:lvl w:ilvl="2" w:tplc="F424CF04">
      <w:start w:val="1"/>
      <w:numFmt w:val="bullet"/>
      <w:lvlText w:val=""/>
      <w:lvlJc w:val="left"/>
      <w:pPr>
        <w:ind w:left="720" w:hanging="360"/>
      </w:pPr>
      <w:rPr>
        <w:rFonts w:ascii="Symbol" w:hAnsi="Symbol"/>
      </w:rPr>
    </w:lvl>
    <w:lvl w:ilvl="3" w:tplc="41A0F51A">
      <w:start w:val="1"/>
      <w:numFmt w:val="bullet"/>
      <w:lvlText w:val=""/>
      <w:lvlJc w:val="left"/>
      <w:pPr>
        <w:ind w:left="720" w:hanging="360"/>
      </w:pPr>
      <w:rPr>
        <w:rFonts w:ascii="Symbol" w:hAnsi="Symbol"/>
      </w:rPr>
    </w:lvl>
    <w:lvl w:ilvl="4" w:tplc="7CDEDA70">
      <w:start w:val="1"/>
      <w:numFmt w:val="bullet"/>
      <w:lvlText w:val=""/>
      <w:lvlJc w:val="left"/>
      <w:pPr>
        <w:ind w:left="720" w:hanging="360"/>
      </w:pPr>
      <w:rPr>
        <w:rFonts w:ascii="Symbol" w:hAnsi="Symbol"/>
      </w:rPr>
    </w:lvl>
    <w:lvl w:ilvl="5" w:tplc="8BA26BC2">
      <w:start w:val="1"/>
      <w:numFmt w:val="bullet"/>
      <w:lvlText w:val=""/>
      <w:lvlJc w:val="left"/>
      <w:pPr>
        <w:ind w:left="720" w:hanging="360"/>
      </w:pPr>
      <w:rPr>
        <w:rFonts w:ascii="Symbol" w:hAnsi="Symbol"/>
      </w:rPr>
    </w:lvl>
    <w:lvl w:ilvl="6" w:tplc="558C2D90">
      <w:start w:val="1"/>
      <w:numFmt w:val="bullet"/>
      <w:lvlText w:val=""/>
      <w:lvlJc w:val="left"/>
      <w:pPr>
        <w:ind w:left="720" w:hanging="360"/>
      </w:pPr>
      <w:rPr>
        <w:rFonts w:ascii="Symbol" w:hAnsi="Symbol"/>
      </w:rPr>
    </w:lvl>
    <w:lvl w:ilvl="7" w:tplc="3F12E298">
      <w:start w:val="1"/>
      <w:numFmt w:val="bullet"/>
      <w:lvlText w:val=""/>
      <w:lvlJc w:val="left"/>
      <w:pPr>
        <w:ind w:left="720" w:hanging="360"/>
      </w:pPr>
      <w:rPr>
        <w:rFonts w:ascii="Symbol" w:hAnsi="Symbol"/>
      </w:rPr>
    </w:lvl>
    <w:lvl w:ilvl="8" w:tplc="600C2F60">
      <w:start w:val="1"/>
      <w:numFmt w:val="bullet"/>
      <w:lvlText w:val=""/>
      <w:lvlJc w:val="left"/>
      <w:pPr>
        <w:ind w:left="720" w:hanging="360"/>
      </w:pPr>
      <w:rPr>
        <w:rFonts w:ascii="Symbol" w:hAnsi="Symbol"/>
      </w:rPr>
    </w:lvl>
  </w:abstractNum>
  <w:abstractNum w:abstractNumId="47" w15:restartNumberingAfterBreak="0">
    <w:nsid w:val="63724712"/>
    <w:multiLevelType w:val="hybridMultilevel"/>
    <w:tmpl w:val="AC5CB09E"/>
    <w:lvl w:ilvl="0" w:tplc="3E189C06">
      <w:start w:val="1"/>
      <w:numFmt w:val="bullet"/>
      <w:lvlText w:val="•"/>
      <w:lvlJc w:val="left"/>
      <w:pPr>
        <w:ind w:left="170" w:hanging="170"/>
      </w:pPr>
      <w:rPr>
        <w:rFonts w:ascii="Roboto" w:hAnsi="Roboto" w:hint="default"/>
        <w:color w:val="008142"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8" w15:restartNumberingAfterBreak="0">
    <w:nsid w:val="641F4689"/>
    <w:multiLevelType w:val="hybridMultilevel"/>
    <w:tmpl w:val="CF86F0D4"/>
    <w:lvl w:ilvl="0" w:tplc="EDB613DE">
      <w:start w:val="1"/>
      <w:numFmt w:val="bullet"/>
      <w:lvlText w:val="•"/>
      <w:lvlJc w:val="left"/>
      <w:pPr>
        <w:ind w:left="170" w:hanging="170"/>
      </w:pPr>
      <w:rPr>
        <w:rFonts w:ascii="Roboto" w:hAnsi="Roboto"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65664243"/>
    <w:multiLevelType w:val="hybridMultilevel"/>
    <w:tmpl w:val="7EF4F5B0"/>
    <w:lvl w:ilvl="0" w:tplc="A2F28FFE">
      <w:start w:val="1"/>
      <w:numFmt w:val="bullet"/>
      <w:lvlText w:val="•"/>
      <w:lvlJc w:val="left"/>
      <w:pPr>
        <w:ind w:left="170" w:hanging="170"/>
      </w:pPr>
      <w:rPr>
        <w:rFonts w:ascii="Roboto" w:hAnsi="Roboto" w:hint="default"/>
        <w:color w:val="008142"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0" w15:restartNumberingAfterBreak="0">
    <w:nsid w:val="6B63736F"/>
    <w:multiLevelType w:val="hybridMultilevel"/>
    <w:tmpl w:val="8FD438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C2E7AA2"/>
    <w:multiLevelType w:val="hybridMultilevel"/>
    <w:tmpl w:val="922889F0"/>
    <w:lvl w:ilvl="0" w:tplc="2DD0CE2C">
      <w:start w:val="1"/>
      <w:numFmt w:val="bullet"/>
      <w:lvlText w:val="•"/>
      <w:lvlJc w:val="left"/>
      <w:pPr>
        <w:ind w:left="170" w:hanging="170"/>
      </w:pPr>
      <w:rPr>
        <w:rFonts w:ascii="Roboto" w:hAnsi="Roboto"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6E97768E"/>
    <w:multiLevelType w:val="hybridMultilevel"/>
    <w:tmpl w:val="E06AFB78"/>
    <w:lvl w:ilvl="0" w:tplc="A0DA5A4C">
      <w:start w:val="1"/>
      <w:numFmt w:val="bullet"/>
      <w:lvlText w:val="•"/>
      <w:lvlJc w:val="left"/>
      <w:pPr>
        <w:ind w:left="360" w:hanging="360"/>
      </w:pPr>
      <w:rPr>
        <w:rFonts w:ascii="Roboto" w:hAnsi="Roboto"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6F6659D3"/>
    <w:multiLevelType w:val="hybridMultilevel"/>
    <w:tmpl w:val="5DAAD0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3490FBD"/>
    <w:multiLevelType w:val="hybridMultilevel"/>
    <w:tmpl w:val="C51EC3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7E313B8"/>
    <w:multiLevelType w:val="hybridMultilevel"/>
    <w:tmpl w:val="6A9406E0"/>
    <w:lvl w:ilvl="0" w:tplc="A0DA5A4C">
      <w:start w:val="1"/>
      <w:numFmt w:val="bullet"/>
      <w:lvlText w:val="•"/>
      <w:lvlJc w:val="left"/>
      <w:pPr>
        <w:ind w:left="360" w:hanging="360"/>
      </w:pPr>
      <w:rPr>
        <w:rFonts w:ascii="Roboto" w:hAnsi="Roboto"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7A573CB6"/>
    <w:multiLevelType w:val="hybridMultilevel"/>
    <w:tmpl w:val="C11C05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F360217"/>
    <w:multiLevelType w:val="hybridMultilevel"/>
    <w:tmpl w:val="CE6EE2B8"/>
    <w:lvl w:ilvl="0" w:tplc="31EA64A6">
      <w:start w:val="1"/>
      <w:numFmt w:val="bullet"/>
      <w:lvlText w:val="•"/>
      <w:lvlJc w:val="left"/>
      <w:pPr>
        <w:ind w:left="170" w:hanging="170"/>
      </w:pPr>
      <w:rPr>
        <w:rFonts w:ascii="Roboto" w:hAnsi="Roboto"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433403431">
    <w:abstractNumId w:val="0"/>
  </w:num>
  <w:num w:numId="2" w16cid:durableId="863591431">
    <w:abstractNumId w:val="23"/>
  </w:num>
  <w:num w:numId="3" w16cid:durableId="795753658">
    <w:abstractNumId w:val="31"/>
  </w:num>
  <w:num w:numId="4" w16cid:durableId="696352150">
    <w:abstractNumId w:val="21"/>
  </w:num>
  <w:num w:numId="5" w16cid:durableId="2096705773">
    <w:abstractNumId w:val="3"/>
  </w:num>
  <w:num w:numId="6" w16cid:durableId="50619322">
    <w:abstractNumId w:val="15"/>
  </w:num>
  <w:num w:numId="7" w16cid:durableId="785274452">
    <w:abstractNumId w:val="10"/>
  </w:num>
  <w:num w:numId="8" w16cid:durableId="1226985331">
    <w:abstractNumId w:val="25"/>
  </w:num>
  <w:num w:numId="9" w16cid:durableId="424959011">
    <w:abstractNumId w:val="1"/>
  </w:num>
  <w:num w:numId="10" w16cid:durableId="1243025513">
    <w:abstractNumId w:val="27"/>
  </w:num>
  <w:num w:numId="11" w16cid:durableId="1680041118">
    <w:abstractNumId w:val="14"/>
  </w:num>
  <w:num w:numId="12" w16cid:durableId="217521866">
    <w:abstractNumId w:val="46"/>
  </w:num>
  <w:num w:numId="13" w16cid:durableId="1867790633">
    <w:abstractNumId w:val="6"/>
  </w:num>
  <w:num w:numId="14" w16cid:durableId="2129084703">
    <w:abstractNumId w:val="56"/>
  </w:num>
  <w:num w:numId="15" w16cid:durableId="746458698">
    <w:abstractNumId w:val="50"/>
  </w:num>
  <w:num w:numId="16" w16cid:durableId="359169563">
    <w:abstractNumId w:val="20"/>
  </w:num>
  <w:num w:numId="17" w16cid:durableId="1371034829">
    <w:abstractNumId w:val="4"/>
  </w:num>
  <w:num w:numId="18" w16cid:durableId="208415427">
    <w:abstractNumId w:val="32"/>
  </w:num>
  <w:num w:numId="19" w16cid:durableId="2073187131">
    <w:abstractNumId w:val="38"/>
  </w:num>
  <w:num w:numId="20" w16cid:durableId="1760905099">
    <w:abstractNumId w:val="54"/>
  </w:num>
  <w:num w:numId="21" w16cid:durableId="824053969">
    <w:abstractNumId w:val="44"/>
  </w:num>
  <w:num w:numId="22" w16cid:durableId="1848059178">
    <w:abstractNumId w:val="53"/>
  </w:num>
  <w:num w:numId="23" w16cid:durableId="224724682">
    <w:abstractNumId w:val="18"/>
  </w:num>
  <w:num w:numId="24" w16cid:durableId="1499685645">
    <w:abstractNumId w:val="26"/>
  </w:num>
  <w:num w:numId="25" w16cid:durableId="527061624">
    <w:abstractNumId w:val="5"/>
  </w:num>
  <w:num w:numId="26" w16cid:durableId="980228937">
    <w:abstractNumId w:val="35"/>
  </w:num>
  <w:num w:numId="27" w16cid:durableId="673460087">
    <w:abstractNumId w:val="17"/>
  </w:num>
  <w:num w:numId="28" w16cid:durableId="2053456864">
    <w:abstractNumId w:val="13"/>
  </w:num>
  <w:num w:numId="29" w16cid:durableId="307635710">
    <w:abstractNumId w:val="29"/>
  </w:num>
  <w:num w:numId="30" w16cid:durableId="763652828">
    <w:abstractNumId w:val="34"/>
  </w:num>
  <w:num w:numId="31" w16cid:durableId="283003921">
    <w:abstractNumId w:val="43"/>
  </w:num>
  <w:num w:numId="32" w16cid:durableId="459692717">
    <w:abstractNumId w:val="55"/>
  </w:num>
  <w:num w:numId="33" w16cid:durableId="149640889">
    <w:abstractNumId w:val="30"/>
  </w:num>
  <w:num w:numId="34" w16cid:durableId="2107269276">
    <w:abstractNumId w:val="12"/>
  </w:num>
  <w:num w:numId="35" w16cid:durableId="914431910">
    <w:abstractNumId w:val="39"/>
  </w:num>
  <w:num w:numId="36" w16cid:durableId="1443181958">
    <w:abstractNumId w:val="8"/>
  </w:num>
  <w:num w:numId="37" w16cid:durableId="554001096">
    <w:abstractNumId w:val="41"/>
  </w:num>
  <w:num w:numId="38" w16cid:durableId="624000180">
    <w:abstractNumId w:val="33"/>
  </w:num>
  <w:num w:numId="39" w16cid:durableId="1429420585">
    <w:abstractNumId w:val="51"/>
  </w:num>
  <w:num w:numId="40" w16cid:durableId="1576433243">
    <w:abstractNumId w:val="48"/>
  </w:num>
  <w:num w:numId="41" w16cid:durableId="1599017542">
    <w:abstractNumId w:val="36"/>
  </w:num>
  <w:num w:numId="42" w16cid:durableId="910583769">
    <w:abstractNumId w:val="28"/>
  </w:num>
  <w:num w:numId="43" w16cid:durableId="831487092">
    <w:abstractNumId w:val="40"/>
  </w:num>
  <w:num w:numId="44" w16cid:durableId="215551072">
    <w:abstractNumId w:val="57"/>
  </w:num>
  <w:num w:numId="45" w16cid:durableId="174006399">
    <w:abstractNumId w:val="52"/>
  </w:num>
  <w:num w:numId="46" w16cid:durableId="290745838">
    <w:abstractNumId w:val="9"/>
  </w:num>
  <w:num w:numId="47" w16cid:durableId="1369448377">
    <w:abstractNumId w:val="19"/>
  </w:num>
  <w:num w:numId="48" w16cid:durableId="1277130099">
    <w:abstractNumId w:val="7"/>
  </w:num>
  <w:num w:numId="49" w16cid:durableId="2111505144">
    <w:abstractNumId w:val="16"/>
  </w:num>
  <w:num w:numId="50" w16cid:durableId="1214197062">
    <w:abstractNumId w:val="2"/>
  </w:num>
  <w:num w:numId="51" w16cid:durableId="758672141">
    <w:abstractNumId w:val="37"/>
  </w:num>
  <w:num w:numId="52" w16cid:durableId="1068770884">
    <w:abstractNumId w:val="42"/>
  </w:num>
  <w:num w:numId="53" w16cid:durableId="800535023">
    <w:abstractNumId w:val="22"/>
  </w:num>
  <w:num w:numId="54" w16cid:durableId="959150047">
    <w:abstractNumId w:val="24"/>
  </w:num>
  <w:num w:numId="55" w16cid:durableId="425271043">
    <w:abstractNumId w:val="11"/>
  </w:num>
  <w:num w:numId="56" w16cid:durableId="1566456309">
    <w:abstractNumId w:val="49"/>
  </w:num>
  <w:num w:numId="57" w16cid:durableId="764423224">
    <w:abstractNumId w:val="45"/>
  </w:num>
  <w:num w:numId="58" w16cid:durableId="252782176">
    <w:abstractNumId w:val="47"/>
  </w:num>
  <w:num w:numId="59" w16cid:durableId="1714964991">
    <w:abstractNumId w:val="23"/>
  </w:num>
  <w:num w:numId="60" w16cid:durableId="1040932435">
    <w:abstractNumId w:val="23"/>
  </w:num>
  <w:num w:numId="61" w16cid:durableId="1938125946">
    <w:abstractNumId w:val="2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efaultTableStyle w:val="NMHCTableNavy"/>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89C"/>
    <w:rsid w:val="00000B8A"/>
    <w:rsid w:val="00001269"/>
    <w:rsid w:val="00001B00"/>
    <w:rsid w:val="00001C25"/>
    <w:rsid w:val="00002046"/>
    <w:rsid w:val="0000220A"/>
    <w:rsid w:val="00003C40"/>
    <w:rsid w:val="000064D0"/>
    <w:rsid w:val="00007F49"/>
    <w:rsid w:val="00010356"/>
    <w:rsid w:val="00010F9B"/>
    <w:rsid w:val="00011386"/>
    <w:rsid w:val="000117CB"/>
    <w:rsid w:val="00011B38"/>
    <w:rsid w:val="0001257A"/>
    <w:rsid w:val="00012725"/>
    <w:rsid w:val="0001335F"/>
    <w:rsid w:val="0001415B"/>
    <w:rsid w:val="0001491B"/>
    <w:rsid w:val="00014BDE"/>
    <w:rsid w:val="00015132"/>
    <w:rsid w:val="00015E5A"/>
    <w:rsid w:val="00016002"/>
    <w:rsid w:val="00016C6C"/>
    <w:rsid w:val="00017498"/>
    <w:rsid w:val="00020D23"/>
    <w:rsid w:val="0002183D"/>
    <w:rsid w:val="000223F7"/>
    <w:rsid w:val="00023072"/>
    <w:rsid w:val="0002347B"/>
    <w:rsid w:val="000238A0"/>
    <w:rsid w:val="00023AE5"/>
    <w:rsid w:val="000243C0"/>
    <w:rsid w:val="00024642"/>
    <w:rsid w:val="0002532B"/>
    <w:rsid w:val="000275BA"/>
    <w:rsid w:val="00027A9B"/>
    <w:rsid w:val="00027B48"/>
    <w:rsid w:val="00030857"/>
    <w:rsid w:val="00032067"/>
    <w:rsid w:val="00033C3E"/>
    <w:rsid w:val="00035E27"/>
    <w:rsid w:val="00040475"/>
    <w:rsid w:val="0004112D"/>
    <w:rsid w:val="000424F9"/>
    <w:rsid w:val="00043646"/>
    <w:rsid w:val="00043849"/>
    <w:rsid w:val="00051E11"/>
    <w:rsid w:val="00052138"/>
    <w:rsid w:val="000525D8"/>
    <w:rsid w:val="00055DA0"/>
    <w:rsid w:val="00056599"/>
    <w:rsid w:val="000566DE"/>
    <w:rsid w:val="00057B54"/>
    <w:rsid w:val="000602BA"/>
    <w:rsid w:val="00060369"/>
    <w:rsid w:val="00060730"/>
    <w:rsid w:val="0006212D"/>
    <w:rsid w:val="00062A07"/>
    <w:rsid w:val="00064143"/>
    <w:rsid w:val="00064793"/>
    <w:rsid w:val="000651D7"/>
    <w:rsid w:val="000654EC"/>
    <w:rsid w:val="0006553F"/>
    <w:rsid w:val="00065C2E"/>
    <w:rsid w:val="0006648C"/>
    <w:rsid w:val="00066500"/>
    <w:rsid w:val="00067275"/>
    <w:rsid w:val="0006727A"/>
    <w:rsid w:val="00067329"/>
    <w:rsid w:val="00067FCD"/>
    <w:rsid w:val="000704BA"/>
    <w:rsid w:val="0007053C"/>
    <w:rsid w:val="00071433"/>
    <w:rsid w:val="00071E93"/>
    <w:rsid w:val="00072ADF"/>
    <w:rsid w:val="00073DB9"/>
    <w:rsid w:val="00076835"/>
    <w:rsid w:val="00080F4A"/>
    <w:rsid w:val="000818C6"/>
    <w:rsid w:val="00082126"/>
    <w:rsid w:val="0008377B"/>
    <w:rsid w:val="00084111"/>
    <w:rsid w:val="00085A4E"/>
    <w:rsid w:val="00087203"/>
    <w:rsid w:val="00087408"/>
    <w:rsid w:val="000913C1"/>
    <w:rsid w:val="00091C7A"/>
    <w:rsid w:val="0009289C"/>
    <w:rsid w:val="000929ED"/>
    <w:rsid w:val="0009501A"/>
    <w:rsid w:val="000964D1"/>
    <w:rsid w:val="00096DDE"/>
    <w:rsid w:val="000A0571"/>
    <w:rsid w:val="000A0732"/>
    <w:rsid w:val="000A0F59"/>
    <w:rsid w:val="000A16F2"/>
    <w:rsid w:val="000A2091"/>
    <w:rsid w:val="000A302A"/>
    <w:rsid w:val="000A400A"/>
    <w:rsid w:val="000A424A"/>
    <w:rsid w:val="000A440B"/>
    <w:rsid w:val="000A5A44"/>
    <w:rsid w:val="000A798D"/>
    <w:rsid w:val="000A7B06"/>
    <w:rsid w:val="000B0F5B"/>
    <w:rsid w:val="000B2026"/>
    <w:rsid w:val="000B2E48"/>
    <w:rsid w:val="000B33F1"/>
    <w:rsid w:val="000B44EF"/>
    <w:rsid w:val="000B47BE"/>
    <w:rsid w:val="000B51D9"/>
    <w:rsid w:val="000B5D8A"/>
    <w:rsid w:val="000B5F9D"/>
    <w:rsid w:val="000B6041"/>
    <w:rsid w:val="000B66C0"/>
    <w:rsid w:val="000B7F87"/>
    <w:rsid w:val="000C0200"/>
    <w:rsid w:val="000C0ACF"/>
    <w:rsid w:val="000C0BFD"/>
    <w:rsid w:val="000C204C"/>
    <w:rsid w:val="000C23EC"/>
    <w:rsid w:val="000C300B"/>
    <w:rsid w:val="000C430F"/>
    <w:rsid w:val="000C4D8B"/>
    <w:rsid w:val="000C61A1"/>
    <w:rsid w:val="000D0A3B"/>
    <w:rsid w:val="000D2921"/>
    <w:rsid w:val="000D2B66"/>
    <w:rsid w:val="000D352A"/>
    <w:rsid w:val="000D4817"/>
    <w:rsid w:val="000D6846"/>
    <w:rsid w:val="000D7BFD"/>
    <w:rsid w:val="000D7CF6"/>
    <w:rsid w:val="000E212B"/>
    <w:rsid w:val="000E248D"/>
    <w:rsid w:val="000E27CB"/>
    <w:rsid w:val="000E4355"/>
    <w:rsid w:val="000E4641"/>
    <w:rsid w:val="000E5D00"/>
    <w:rsid w:val="000E7377"/>
    <w:rsid w:val="000F1FB5"/>
    <w:rsid w:val="000F2805"/>
    <w:rsid w:val="000F29B5"/>
    <w:rsid w:val="000F3026"/>
    <w:rsid w:val="000F437A"/>
    <w:rsid w:val="000F492E"/>
    <w:rsid w:val="000F4CE7"/>
    <w:rsid w:val="000F5037"/>
    <w:rsid w:val="000F71EF"/>
    <w:rsid w:val="0010107E"/>
    <w:rsid w:val="001011F4"/>
    <w:rsid w:val="00101D2B"/>
    <w:rsid w:val="00101F43"/>
    <w:rsid w:val="00104118"/>
    <w:rsid w:val="00104D1D"/>
    <w:rsid w:val="001050DE"/>
    <w:rsid w:val="0010789A"/>
    <w:rsid w:val="00111825"/>
    <w:rsid w:val="00111D37"/>
    <w:rsid w:val="001127EB"/>
    <w:rsid w:val="00112B6F"/>
    <w:rsid w:val="001136DA"/>
    <w:rsid w:val="00113961"/>
    <w:rsid w:val="001139E4"/>
    <w:rsid w:val="0011461A"/>
    <w:rsid w:val="001149FF"/>
    <w:rsid w:val="00114EE0"/>
    <w:rsid w:val="0011512C"/>
    <w:rsid w:val="001158C6"/>
    <w:rsid w:val="00117874"/>
    <w:rsid w:val="001225E0"/>
    <w:rsid w:val="00122FB9"/>
    <w:rsid w:val="00125BEA"/>
    <w:rsid w:val="00127A80"/>
    <w:rsid w:val="00127D43"/>
    <w:rsid w:val="0013076E"/>
    <w:rsid w:val="00130D33"/>
    <w:rsid w:val="001310AE"/>
    <w:rsid w:val="0013178A"/>
    <w:rsid w:val="0013183E"/>
    <w:rsid w:val="00131A84"/>
    <w:rsid w:val="00133A11"/>
    <w:rsid w:val="00134B4D"/>
    <w:rsid w:val="00135FF9"/>
    <w:rsid w:val="001370A5"/>
    <w:rsid w:val="00144B5B"/>
    <w:rsid w:val="00145510"/>
    <w:rsid w:val="001470A9"/>
    <w:rsid w:val="00147B23"/>
    <w:rsid w:val="00147D55"/>
    <w:rsid w:val="00150688"/>
    <w:rsid w:val="00150777"/>
    <w:rsid w:val="0015377B"/>
    <w:rsid w:val="00154CD1"/>
    <w:rsid w:val="0015593B"/>
    <w:rsid w:val="00156593"/>
    <w:rsid w:val="0015696F"/>
    <w:rsid w:val="001576B3"/>
    <w:rsid w:val="00157910"/>
    <w:rsid w:val="0016108F"/>
    <w:rsid w:val="00161ECB"/>
    <w:rsid w:val="00162F38"/>
    <w:rsid w:val="0016457E"/>
    <w:rsid w:val="00165974"/>
    <w:rsid w:val="00166DAA"/>
    <w:rsid w:val="00170F5A"/>
    <w:rsid w:val="00171174"/>
    <w:rsid w:val="00171323"/>
    <w:rsid w:val="00171546"/>
    <w:rsid w:val="001720B0"/>
    <w:rsid w:val="00176F13"/>
    <w:rsid w:val="00177688"/>
    <w:rsid w:val="00177BEA"/>
    <w:rsid w:val="00177E4C"/>
    <w:rsid w:val="00177FBA"/>
    <w:rsid w:val="00180BCB"/>
    <w:rsid w:val="00182220"/>
    <w:rsid w:val="00183FD2"/>
    <w:rsid w:val="00184245"/>
    <w:rsid w:val="00184290"/>
    <w:rsid w:val="00184A6D"/>
    <w:rsid w:val="001908F2"/>
    <w:rsid w:val="00190A69"/>
    <w:rsid w:val="001920DF"/>
    <w:rsid w:val="001926AA"/>
    <w:rsid w:val="00193F60"/>
    <w:rsid w:val="0019481C"/>
    <w:rsid w:val="00195155"/>
    <w:rsid w:val="001951F7"/>
    <w:rsid w:val="001973E7"/>
    <w:rsid w:val="001A077C"/>
    <w:rsid w:val="001A0B9C"/>
    <w:rsid w:val="001A1837"/>
    <w:rsid w:val="001A26C2"/>
    <w:rsid w:val="001A3752"/>
    <w:rsid w:val="001A7D05"/>
    <w:rsid w:val="001B2635"/>
    <w:rsid w:val="001B2BC9"/>
    <w:rsid w:val="001B3BB1"/>
    <w:rsid w:val="001B4331"/>
    <w:rsid w:val="001B4DF9"/>
    <w:rsid w:val="001B6238"/>
    <w:rsid w:val="001B71E6"/>
    <w:rsid w:val="001B7362"/>
    <w:rsid w:val="001B7D52"/>
    <w:rsid w:val="001C0824"/>
    <w:rsid w:val="001C1C63"/>
    <w:rsid w:val="001C5212"/>
    <w:rsid w:val="001C6359"/>
    <w:rsid w:val="001D185F"/>
    <w:rsid w:val="001D1EA6"/>
    <w:rsid w:val="001D24F4"/>
    <w:rsid w:val="001D2A3A"/>
    <w:rsid w:val="001D2ABB"/>
    <w:rsid w:val="001D3A16"/>
    <w:rsid w:val="001D4336"/>
    <w:rsid w:val="001D4723"/>
    <w:rsid w:val="001D4DF3"/>
    <w:rsid w:val="001D52DF"/>
    <w:rsid w:val="001E09D7"/>
    <w:rsid w:val="001E34A3"/>
    <w:rsid w:val="001E3CF8"/>
    <w:rsid w:val="001E4F4F"/>
    <w:rsid w:val="001E6580"/>
    <w:rsid w:val="001E66AA"/>
    <w:rsid w:val="001F08EB"/>
    <w:rsid w:val="001F1708"/>
    <w:rsid w:val="001F264A"/>
    <w:rsid w:val="001F3702"/>
    <w:rsid w:val="001F37D0"/>
    <w:rsid w:val="001F4069"/>
    <w:rsid w:val="001F7C6C"/>
    <w:rsid w:val="001F7CCD"/>
    <w:rsid w:val="00200539"/>
    <w:rsid w:val="00200FD6"/>
    <w:rsid w:val="002017C8"/>
    <w:rsid w:val="00201E35"/>
    <w:rsid w:val="00202DA9"/>
    <w:rsid w:val="00203BB9"/>
    <w:rsid w:val="00203C04"/>
    <w:rsid w:val="002044D6"/>
    <w:rsid w:val="00204B2B"/>
    <w:rsid w:val="002054B8"/>
    <w:rsid w:val="00205941"/>
    <w:rsid w:val="00205CDD"/>
    <w:rsid w:val="00206B56"/>
    <w:rsid w:val="002079FC"/>
    <w:rsid w:val="002104F7"/>
    <w:rsid w:val="002117DA"/>
    <w:rsid w:val="00212931"/>
    <w:rsid w:val="0021461C"/>
    <w:rsid w:val="0021531E"/>
    <w:rsid w:val="002156EC"/>
    <w:rsid w:val="0021760F"/>
    <w:rsid w:val="00217DDB"/>
    <w:rsid w:val="00220263"/>
    <w:rsid w:val="00220DF1"/>
    <w:rsid w:val="00221131"/>
    <w:rsid w:val="00221CC9"/>
    <w:rsid w:val="00221FCF"/>
    <w:rsid w:val="00222AF1"/>
    <w:rsid w:val="0022388B"/>
    <w:rsid w:val="002244C0"/>
    <w:rsid w:val="00226544"/>
    <w:rsid w:val="00227E20"/>
    <w:rsid w:val="0023000D"/>
    <w:rsid w:val="00230317"/>
    <w:rsid w:val="002307B8"/>
    <w:rsid w:val="00232263"/>
    <w:rsid w:val="00234852"/>
    <w:rsid w:val="00237399"/>
    <w:rsid w:val="00240613"/>
    <w:rsid w:val="00240E86"/>
    <w:rsid w:val="00241936"/>
    <w:rsid w:val="00242664"/>
    <w:rsid w:val="0024328F"/>
    <w:rsid w:val="00243316"/>
    <w:rsid w:val="00243862"/>
    <w:rsid w:val="00244AC6"/>
    <w:rsid w:val="00244EC2"/>
    <w:rsid w:val="00246151"/>
    <w:rsid w:val="00246815"/>
    <w:rsid w:val="00247BED"/>
    <w:rsid w:val="00250055"/>
    <w:rsid w:val="00250EF0"/>
    <w:rsid w:val="0025164F"/>
    <w:rsid w:val="0025174B"/>
    <w:rsid w:val="00254590"/>
    <w:rsid w:val="00254862"/>
    <w:rsid w:val="00254C70"/>
    <w:rsid w:val="002557D5"/>
    <w:rsid w:val="00255D7E"/>
    <w:rsid w:val="002562EA"/>
    <w:rsid w:val="00256F72"/>
    <w:rsid w:val="00257822"/>
    <w:rsid w:val="00261381"/>
    <w:rsid w:val="002619E0"/>
    <w:rsid w:val="002630B9"/>
    <w:rsid w:val="002631E3"/>
    <w:rsid w:val="0026350A"/>
    <w:rsid w:val="00263573"/>
    <w:rsid w:val="002635B4"/>
    <w:rsid w:val="00263A40"/>
    <w:rsid w:val="00265B70"/>
    <w:rsid w:val="00266065"/>
    <w:rsid w:val="0026685C"/>
    <w:rsid w:val="00266B13"/>
    <w:rsid w:val="00267AC3"/>
    <w:rsid w:val="002709CC"/>
    <w:rsid w:val="00270D2E"/>
    <w:rsid w:val="00270FB3"/>
    <w:rsid w:val="00271DDE"/>
    <w:rsid w:val="00272F28"/>
    <w:rsid w:val="00274B71"/>
    <w:rsid w:val="00274D78"/>
    <w:rsid w:val="00275721"/>
    <w:rsid w:val="00276B53"/>
    <w:rsid w:val="00276BE0"/>
    <w:rsid w:val="00276FB1"/>
    <w:rsid w:val="00277A27"/>
    <w:rsid w:val="00277D1F"/>
    <w:rsid w:val="00280F81"/>
    <w:rsid w:val="0028148A"/>
    <w:rsid w:val="00281552"/>
    <w:rsid w:val="00283199"/>
    <w:rsid w:val="002841AE"/>
    <w:rsid w:val="00284C10"/>
    <w:rsid w:val="00285A6C"/>
    <w:rsid w:val="00285FA9"/>
    <w:rsid w:val="002901EE"/>
    <w:rsid w:val="002902E2"/>
    <w:rsid w:val="00290B37"/>
    <w:rsid w:val="00290FDD"/>
    <w:rsid w:val="00291C87"/>
    <w:rsid w:val="0029201B"/>
    <w:rsid w:val="0029274F"/>
    <w:rsid w:val="00292C71"/>
    <w:rsid w:val="00293728"/>
    <w:rsid w:val="002938CF"/>
    <w:rsid w:val="0029425D"/>
    <w:rsid w:val="0029469C"/>
    <w:rsid w:val="00295207"/>
    <w:rsid w:val="002A2843"/>
    <w:rsid w:val="002A3D6C"/>
    <w:rsid w:val="002A40F1"/>
    <w:rsid w:val="002A4792"/>
    <w:rsid w:val="002A59C2"/>
    <w:rsid w:val="002A65C7"/>
    <w:rsid w:val="002A721E"/>
    <w:rsid w:val="002A781E"/>
    <w:rsid w:val="002A7BE0"/>
    <w:rsid w:val="002B031E"/>
    <w:rsid w:val="002B1D53"/>
    <w:rsid w:val="002B214F"/>
    <w:rsid w:val="002B2335"/>
    <w:rsid w:val="002B236A"/>
    <w:rsid w:val="002B2858"/>
    <w:rsid w:val="002B2ACA"/>
    <w:rsid w:val="002B3612"/>
    <w:rsid w:val="002B40B9"/>
    <w:rsid w:val="002B6331"/>
    <w:rsid w:val="002C01D3"/>
    <w:rsid w:val="002C0E2B"/>
    <w:rsid w:val="002C3356"/>
    <w:rsid w:val="002C5B95"/>
    <w:rsid w:val="002C5ED6"/>
    <w:rsid w:val="002C5EE7"/>
    <w:rsid w:val="002C658F"/>
    <w:rsid w:val="002C734E"/>
    <w:rsid w:val="002D3348"/>
    <w:rsid w:val="002D35B7"/>
    <w:rsid w:val="002D3B73"/>
    <w:rsid w:val="002D6A3B"/>
    <w:rsid w:val="002D6F97"/>
    <w:rsid w:val="002E0682"/>
    <w:rsid w:val="002E1E10"/>
    <w:rsid w:val="002E3BE9"/>
    <w:rsid w:val="002E4088"/>
    <w:rsid w:val="002E4912"/>
    <w:rsid w:val="002E4C06"/>
    <w:rsid w:val="002E56DB"/>
    <w:rsid w:val="002E5736"/>
    <w:rsid w:val="002F0B15"/>
    <w:rsid w:val="002F21FA"/>
    <w:rsid w:val="002F3405"/>
    <w:rsid w:val="002F36EF"/>
    <w:rsid w:val="002F4063"/>
    <w:rsid w:val="002F46A9"/>
    <w:rsid w:val="002F4B86"/>
    <w:rsid w:val="002F5A10"/>
    <w:rsid w:val="002F72AB"/>
    <w:rsid w:val="002F77FA"/>
    <w:rsid w:val="002F7CFC"/>
    <w:rsid w:val="00300B64"/>
    <w:rsid w:val="00301494"/>
    <w:rsid w:val="00302891"/>
    <w:rsid w:val="00302A64"/>
    <w:rsid w:val="00303C72"/>
    <w:rsid w:val="003052AC"/>
    <w:rsid w:val="00305FFB"/>
    <w:rsid w:val="00307B82"/>
    <w:rsid w:val="00310281"/>
    <w:rsid w:val="00311184"/>
    <w:rsid w:val="003111BF"/>
    <w:rsid w:val="0031245D"/>
    <w:rsid w:val="003130CF"/>
    <w:rsid w:val="00313850"/>
    <w:rsid w:val="003154AE"/>
    <w:rsid w:val="00315774"/>
    <w:rsid w:val="00316916"/>
    <w:rsid w:val="00316AD5"/>
    <w:rsid w:val="00316D2C"/>
    <w:rsid w:val="0031753D"/>
    <w:rsid w:val="003179E2"/>
    <w:rsid w:val="00317AB2"/>
    <w:rsid w:val="00320459"/>
    <w:rsid w:val="0032051C"/>
    <w:rsid w:val="0032156A"/>
    <w:rsid w:val="0032278F"/>
    <w:rsid w:val="00323FAA"/>
    <w:rsid w:val="00326B6A"/>
    <w:rsid w:val="0032753F"/>
    <w:rsid w:val="003275BB"/>
    <w:rsid w:val="00330F60"/>
    <w:rsid w:val="003338B3"/>
    <w:rsid w:val="00334612"/>
    <w:rsid w:val="00334E6B"/>
    <w:rsid w:val="003367F4"/>
    <w:rsid w:val="003372DD"/>
    <w:rsid w:val="003374FB"/>
    <w:rsid w:val="0033770D"/>
    <w:rsid w:val="003377C5"/>
    <w:rsid w:val="003405D1"/>
    <w:rsid w:val="00340874"/>
    <w:rsid w:val="00340B39"/>
    <w:rsid w:val="00342419"/>
    <w:rsid w:val="0034491F"/>
    <w:rsid w:val="00345523"/>
    <w:rsid w:val="0034584F"/>
    <w:rsid w:val="0034638D"/>
    <w:rsid w:val="003468C8"/>
    <w:rsid w:val="003471C9"/>
    <w:rsid w:val="003504E0"/>
    <w:rsid w:val="00351AEB"/>
    <w:rsid w:val="003523AC"/>
    <w:rsid w:val="003552E8"/>
    <w:rsid w:val="003553E9"/>
    <w:rsid w:val="00357220"/>
    <w:rsid w:val="003604BD"/>
    <w:rsid w:val="003627C5"/>
    <w:rsid w:val="00364146"/>
    <w:rsid w:val="003652F8"/>
    <w:rsid w:val="0036626E"/>
    <w:rsid w:val="003662DC"/>
    <w:rsid w:val="00366DBF"/>
    <w:rsid w:val="0036782F"/>
    <w:rsid w:val="00370206"/>
    <w:rsid w:val="00372203"/>
    <w:rsid w:val="003736C8"/>
    <w:rsid w:val="003740F4"/>
    <w:rsid w:val="003749D1"/>
    <w:rsid w:val="00374EF7"/>
    <w:rsid w:val="00375572"/>
    <w:rsid w:val="00375A3B"/>
    <w:rsid w:val="003803E5"/>
    <w:rsid w:val="00381795"/>
    <w:rsid w:val="003837D0"/>
    <w:rsid w:val="00383DE3"/>
    <w:rsid w:val="00383F93"/>
    <w:rsid w:val="0038443C"/>
    <w:rsid w:val="00384498"/>
    <w:rsid w:val="00385018"/>
    <w:rsid w:val="0038728C"/>
    <w:rsid w:val="003906FC"/>
    <w:rsid w:val="00390D85"/>
    <w:rsid w:val="00392F9B"/>
    <w:rsid w:val="00392FDE"/>
    <w:rsid w:val="003937FF"/>
    <w:rsid w:val="00394710"/>
    <w:rsid w:val="0039473C"/>
    <w:rsid w:val="00394C86"/>
    <w:rsid w:val="00395416"/>
    <w:rsid w:val="00395BE5"/>
    <w:rsid w:val="00396403"/>
    <w:rsid w:val="0039684D"/>
    <w:rsid w:val="00396874"/>
    <w:rsid w:val="003968E7"/>
    <w:rsid w:val="0039723A"/>
    <w:rsid w:val="00397731"/>
    <w:rsid w:val="003A1B63"/>
    <w:rsid w:val="003A3C30"/>
    <w:rsid w:val="003A3C4F"/>
    <w:rsid w:val="003A6104"/>
    <w:rsid w:val="003B0CCB"/>
    <w:rsid w:val="003B1C55"/>
    <w:rsid w:val="003B22EB"/>
    <w:rsid w:val="003B5686"/>
    <w:rsid w:val="003B56CC"/>
    <w:rsid w:val="003C03F2"/>
    <w:rsid w:val="003C0C76"/>
    <w:rsid w:val="003C17CB"/>
    <w:rsid w:val="003C28C3"/>
    <w:rsid w:val="003C3813"/>
    <w:rsid w:val="003C3989"/>
    <w:rsid w:val="003C3B4E"/>
    <w:rsid w:val="003C40EE"/>
    <w:rsid w:val="003C5100"/>
    <w:rsid w:val="003C686F"/>
    <w:rsid w:val="003D0C75"/>
    <w:rsid w:val="003D0E4D"/>
    <w:rsid w:val="003D268D"/>
    <w:rsid w:val="003D2F03"/>
    <w:rsid w:val="003D3904"/>
    <w:rsid w:val="003D5AF2"/>
    <w:rsid w:val="003D6E8B"/>
    <w:rsid w:val="003D715A"/>
    <w:rsid w:val="003D73A0"/>
    <w:rsid w:val="003D750D"/>
    <w:rsid w:val="003D771B"/>
    <w:rsid w:val="003D7985"/>
    <w:rsid w:val="003E01D7"/>
    <w:rsid w:val="003E063B"/>
    <w:rsid w:val="003E1138"/>
    <w:rsid w:val="003E14BA"/>
    <w:rsid w:val="003E2D9C"/>
    <w:rsid w:val="003E31F2"/>
    <w:rsid w:val="003E3B60"/>
    <w:rsid w:val="003E44D6"/>
    <w:rsid w:val="003E6631"/>
    <w:rsid w:val="003E7A90"/>
    <w:rsid w:val="003F0B33"/>
    <w:rsid w:val="003F1516"/>
    <w:rsid w:val="003F1A4D"/>
    <w:rsid w:val="003F1C13"/>
    <w:rsid w:val="003F4001"/>
    <w:rsid w:val="003F7561"/>
    <w:rsid w:val="003F76A3"/>
    <w:rsid w:val="0040306F"/>
    <w:rsid w:val="00403584"/>
    <w:rsid w:val="00404019"/>
    <w:rsid w:val="004040F2"/>
    <w:rsid w:val="00407B19"/>
    <w:rsid w:val="00410EEE"/>
    <w:rsid w:val="00412CD4"/>
    <w:rsid w:val="00412E42"/>
    <w:rsid w:val="0041303C"/>
    <w:rsid w:val="00414824"/>
    <w:rsid w:val="004156C4"/>
    <w:rsid w:val="004157F9"/>
    <w:rsid w:val="00417FA7"/>
    <w:rsid w:val="00417FE7"/>
    <w:rsid w:val="0042098C"/>
    <w:rsid w:val="00420CED"/>
    <w:rsid w:val="0042168A"/>
    <w:rsid w:val="004224BE"/>
    <w:rsid w:val="0042255E"/>
    <w:rsid w:val="00422565"/>
    <w:rsid w:val="00422A6E"/>
    <w:rsid w:val="00425001"/>
    <w:rsid w:val="00425E4A"/>
    <w:rsid w:val="004264AC"/>
    <w:rsid w:val="00427092"/>
    <w:rsid w:val="004277A9"/>
    <w:rsid w:val="00427FCB"/>
    <w:rsid w:val="00430923"/>
    <w:rsid w:val="00430BDA"/>
    <w:rsid w:val="00432DE9"/>
    <w:rsid w:val="00434362"/>
    <w:rsid w:val="00434B66"/>
    <w:rsid w:val="004357CF"/>
    <w:rsid w:val="00436977"/>
    <w:rsid w:val="0043738E"/>
    <w:rsid w:val="004378B4"/>
    <w:rsid w:val="00437915"/>
    <w:rsid w:val="00437935"/>
    <w:rsid w:val="00440313"/>
    <w:rsid w:val="00440993"/>
    <w:rsid w:val="00440C36"/>
    <w:rsid w:val="00442552"/>
    <w:rsid w:val="0044259F"/>
    <w:rsid w:val="00443BBC"/>
    <w:rsid w:val="00443F6B"/>
    <w:rsid w:val="0044441B"/>
    <w:rsid w:val="00444702"/>
    <w:rsid w:val="00444EF1"/>
    <w:rsid w:val="00445FE1"/>
    <w:rsid w:val="0044677B"/>
    <w:rsid w:val="00446F1E"/>
    <w:rsid w:val="00447182"/>
    <w:rsid w:val="00447BF1"/>
    <w:rsid w:val="0045092F"/>
    <w:rsid w:val="00450D28"/>
    <w:rsid w:val="0045152C"/>
    <w:rsid w:val="004522CD"/>
    <w:rsid w:val="00452694"/>
    <w:rsid w:val="00452F72"/>
    <w:rsid w:val="0045370A"/>
    <w:rsid w:val="0045375C"/>
    <w:rsid w:val="00454B65"/>
    <w:rsid w:val="004554EB"/>
    <w:rsid w:val="00455F7B"/>
    <w:rsid w:val="00456BDE"/>
    <w:rsid w:val="004573BD"/>
    <w:rsid w:val="004574EC"/>
    <w:rsid w:val="004607B2"/>
    <w:rsid w:val="00460BDD"/>
    <w:rsid w:val="004610B1"/>
    <w:rsid w:val="0046158D"/>
    <w:rsid w:val="00463895"/>
    <w:rsid w:val="00463CCE"/>
    <w:rsid w:val="0046698A"/>
    <w:rsid w:val="00467316"/>
    <w:rsid w:val="0047001D"/>
    <w:rsid w:val="0047080F"/>
    <w:rsid w:val="00471B3E"/>
    <w:rsid w:val="00471D67"/>
    <w:rsid w:val="004721EE"/>
    <w:rsid w:val="004748A2"/>
    <w:rsid w:val="00474CD3"/>
    <w:rsid w:val="00475A89"/>
    <w:rsid w:val="00475E07"/>
    <w:rsid w:val="0047695A"/>
    <w:rsid w:val="004776E0"/>
    <w:rsid w:val="00480AEB"/>
    <w:rsid w:val="00480D3C"/>
    <w:rsid w:val="0048176B"/>
    <w:rsid w:val="0048286E"/>
    <w:rsid w:val="00483EDD"/>
    <w:rsid w:val="004844FF"/>
    <w:rsid w:val="004846ED"/>
    <w:rsid w:val="004851A0"/>
    <w:rsid w:val="00486D41"/>
    <w:rsid w:val="004924D5"/>
    <w:rsid w:val="0049290D"/>
    <w:rsid w:val="00492AB3"/>
    <w:rsid w:val="00494F93"/>
    <w:rsid w:val="004966B4"/>
    <w:rsid w:val="00497070"/>
    <w:rsid w:val="004973AB"/>
    <w:rsid w:val="004976CB"/>
    <w:rsid w:val="00497A32"/>
    <w:rsid w:val="00497BBA"/>
    <w:rsid w:val="00497D1B"/>
    <w:rsid w:val="004A01F7"/>
    <w:rsid w:val="004A20BC"/>
    <w:rsid w:val="004A2BC9"/>
    <w:rsid w:val="004A3D17"/>
    <w:rsid w:val="004A3FCB"/>
    <w:rsid w:val="004A6FA2"/>
    <w:rsid w:val="004A6FCB"/>
    <w:rsid w:val="004A7C62"/>
    <w:rsid w:val="004B0001"/>
    <w:rsid w:val="004B016B"/>
    <w:rsid w:val="004B1620"/>
    <w:rsid w:val="004B16E9"/>
    <w:rsid w:val="004B25A9"/>
    <w:rsid w:val="004B28CA"/>
    <w:rsid w:val="004B35B7"/>
    <w:rsid w:val="004B7E09"/>
    <w:rsid w:val="004B7EFE"/>
    <w:rsid w:val="004C080E"/>
    <w:rsid w:val="004C1F27"/>
    <w:rsid w:val="004C43EC"/>
    <w:rsid w:val="004C58F7"/>
    <w:rsid w:val="004C5F38"/>
    <w:rsid w:val="004C6707"/>
    <w:rsid w:val="004C722F"/>
    <w:rsid w:val="004C752F"/>
    <w:rsid w:val="004C7B8E"/>
    <w:rsid w:val="004C7E45"/>
    <w:rsid w:val="004D01B3"/>
    <w:rsid w:val="004D20E1"/>
    <w:rsid w:val="004D30C6"/>
    <w:rsid w:val="004D403A"/>
    <w:rsid w:val="004D54BF"/>
    <w:rsid w:val="004D7476"/>
    <w:rsid w:val="004D7AFA"/>
    <w:rsid w:val="004E026A"/>
    <w:rsid w:val="004E170A"/>
    <w:rsid w:val="004E22D0"/>
    <w:rsid w:val="004E51A9"/>
    <w:rsid w:val="004E5A41"/>
    <w:rsid w:val="004E6304"/>
    <w:rsid w:val="004E7EE5"/>
    <w:rsid w:val="004F1EFA"/>
    <w:rsid w:val="004F4A66"/>
    <w:rsid w:val="004F4B6F"/>
    <w:rsid w:val="004F61C6"/>
    <w:rsid w:val="004F6FC2"/>
    <w:rsid w:val="004F729E"/>
    <w:rsid w:val="005005F2"/>
    <w:rsid w:val="00500F86"/>
    <w:rsid w:val="005012F2"/>
    <w:rsid w:val="005037BF"/>
    <w:rsid w:val="005038D1"/>
    <w:rsid w:val="00503D7E"/>
    <w:rsid w:val="00503DF8"/>
    <w:rsid w:val="005041B1"/>
    <w:rsid w:val="0050678D"/>
    <w:rsid w:val="00510EAF"/>
    <w:rsid w:val="00512311"/>
    <w:rsid w:val="00512E80"/>
    <w:rsid w:val="00513067"/>
    <w:rsid w:val="005133B4"/>
    <w:rsid w:val="00513FC6"/>
    <w:rsid w:val="00515263"/>
    <w:rsid w:val="0051589C"/>
    <w:rsid w:val="00516438"/>
    <w:rsid w:val="00522243"/>
    <w:rsid w:val="00522E33"/>
    <w:rsid w:val="00523406"/>
    <w:rsid w:val="005245C1"/>
    <w:rsid w:val="00524A27"/>
    <w:rsid w:val="00526A27"/>
    <w:rsid w:val="00526A72"/>
    <w:rsid w:val="005273AE"/>
    <w:rsid w:val="005311C7"/>
    <w:rsid w:val="00532246"/>
    <w:rsid w:val="0053238F"/>
    <w:rsid w:val="005330B0"/>
    <w:rsid w:val="005337D6"/>
    <w:rsid w:val="00537075"/>
    <w:rsid w:val="00542BFB"/>
    <w:rsid w:val="00544177"/>
    <w:rsid w:val="00545222"/>
    <w:rsid w:val="005475EA"/>
    <w:rsid w:val="00547767"/>
    <w:rsid w:val="005477C9"/>
    <w:rsid w:val="00550129"/>
    <w:rsid w:val="0055046B"/>
    <w:rsid w:val="005506CC"/>
    <w:rsid w:val="00551D29"/>
    <w:rsid w:val="00552A0B"/>
    <w:rsid w:val="005537F3"/>
    <w:rsid w:val="00554923"/>
    <w:rsid w:val="00554C01"/>
    <w:rsid w:val="00557890"/>
    <w:rsid w:val="00557FD1"/>
    <w:rsid w:val="00560083"/>
    <w:rsid w:val="0056074D"/>
    <w:rsid w:val="0056143D"/>
    <w:rsid w:val="00561C1B"/>
    <w:rsid w:val="00561E38"/>
    <w:rsid w:val="00561E89"/>
    <w:rsid w:val="00562A66"/>
    <w:rsid w:val="005630EA"/>
    <w:rsid w:val="005633E4"/>
    <w:rsid w:val="0056372C"/>
    <w:rsid w:val="00563737"/>
    <w:rsid w:val="00564114"/>
    <w:rsid w:val="005641A6"/>
    <w:rsid w:val="00564BC1"/>
    <w:rsid w:val="00566C2F"/>
    <w:rsid w:val="00567892"/>
    <w:rsid w:val="0056795F"/>
    <w:rsid w:val="00567CC4"/>
    <w:rsid w:val="00567D3D"/>
    <w:rsid w:val="00570046"/>
    <w:rsid w:val="0057024E"/>
    <w:rsid w:val="00570268"/>
    <w:rsid w:val="0057035D"/>
    <w:rsid w:val="00571107"/>
    <w:rsid w:val="005732BD"/>
    <w:rsid w:val="00573FF9"/>
    <w:rsid w:val="005741BF"/>
    <w:rsid w:val="00574D3B"/>
    <w:rsid w:val="005752E9"/>
    <w:rsid w:val="005755BE"/>
    <w:rsid w:val="00575763"/>
    <w:rsid w:val="00577CEC"/>
    <w:rsid w:val="00580297"/>
    <w:rsid w:val="00580974"/>
    <w:rsid w:val="00582307"/>
    <w:rsid w:val="00582621"/>
    <w:rsid w:val="00582B1E"/>
    <w:rsid w:val="0058311B"/>
    <w:rsid w:val="00583163"/>
    <w:rsid w:val="0058356C"/>
    <w:rsid w:val="00583665"/>
    <w:rsid w:val="00583822"/>
    <w:rsid w:val="00583A32"/>
    <w:rsid w:val="00586098"/>
    <w:rsid w:val="0058627B"/>
    <w:rsid w:val="005867FD"/>
    <w:rsid w:val="00586A30"/>
    <w:rsid w:val="00586C42"/>
    <w:rsid w:val="00590BDA"/>
    <w:rsid w:val="00591375"/>
    <w:rsid w:val="00592944"/>
    <w:rsid w:val="00593369"/>
    <w:rsid w:val="005936D7"/>
    <w:rsid w:val="005939C3"/>
    <w:rsid w:val="00593ACD"/>
    <w:rsid w:val="00593C38"/>
    <w:rsid w:val="00594577"/>
    <w:rsid w:val="005968B7"/>
    <w:rsid w:val="0059728D"/>
    <w:rsid w:val="005A0E73"/>
    <w:rsid w:val="005A1533"/>
    <w:rsid w:val="005A1957"/>
    <w:rsid w:val="005A26CC"/>
    <w:rsid w:val="005A2FC1"/>
    <w:rsid w:val="005A2FC3"/>
    <w:rsid w:val="005A4761"/>
    <w:rsid w:val="005A48E0"/>
    <w:rsid w:val="005A555E"/>
    <w:rsid w:val="005A57D8"/>
    <w:rsid w:val="005A5977"/>
    <w:rsid w:val="005A677C"/>
    <w:rsid w:val="005A70DE"/>
    <w:rsid w:val="005A7A39"/>
    <w:rsid w:val="005B0EA5"/>
    <w:rsid w:val="005B0F43"/>
    <w:rsid w:val="005B15B0"/>
    <w:rsid w:val="005B1E83"/>
    <w:rsid w:val="005B282C"/>
    <w:rsid w:val="005B4E7A"/>
    <w:rsid w:val="005B679B"/>
    <w:rsid w:val="005B731E"/>
    <w:rsid w:val="005C1190"/>
    <w:rsid w:val="005C1FC2"/>
    <w:rsid w:val="005C2576"/>
    <w:rsid w:val="005C3825"/>
    <w:rsid w:val="005C47B0"/>
    <w:rsid w:val="005C54EE"/>
    <w:rsid w:val="005C5DE9"/>
    <w:rsid w:val="005C6DF0"/>
    <w:rsid w:val="005C7C7C"/>
    <w:rsid w:val="005D089B"/>
    <w:rsid w:val="005D53E7"/>
    <w:rsid w:val="005D5D7C"/>
    <w:rsid w:val="005D5F2B"/>
    <w:rsid w:val="005D6D5B"/>
    <w:rsid w:val="005D6EC6"/>
    <w:rsid w:val="005D6EE1"/>
    <w:rsid w:val="005E17B1"/>
    <w:rsid w:val="005E1B4C"/>
    <w:rsid w:val="005E1FFE"/>
    <w:rsid w:val="005E2CEC"/>
    <w:rsid w:val="005E341E"/>
    <w:rsid w:val="005E472F"/>
    <w:rsid w:val="005E66CE"/>
    <w:rsid w:val="005E689C"/>
    <w:rsid w:val="005F010E"/>
    <w:rsid w:val="005F1834"/>
    <w:rsid w:val="005F2142"/>
    <w:rsid w:val="005F2DDC"/>
    <w:rsid w:val="005F3698"/>
    <w:rsid w:val="005F4459"/>
    <w:rsid w:val="005F4CD6"/>
    <w:rsid w:val="005F5582"/>
    <w:rsid w:val="005F5609"/>
    <w:rsid w:val="005F7417"/>
    <w:rsid w:val="00600291"/>
    <w:rsid w:val="00602D0A"/>
    <w:rsid w:val="00602E85"/>
    <w:rsid w:val="00603698"/>
    <w:rsid w:val="00603F45"/>
    <w:rsid w:val="006055A1"/>
    <w:rsid w:val="00606CD4"/>
    <w:rsid w:val="00607480"/>
    <w:rsid w:val="00607655"/>
    <w:rsid w:val="0061142D"/>
    <w:rsid w:val="00611E62"/>
    <w:rsid w:val="006139D0"/>
    <w:rsid w:val="00613DB8"/>
    <w:rsid w:val="006149FD"/>
    <w:rsid w:val="00615289"/>
    <w:rsid w:val="00620B9D"/>
    <w:rsid w:val="00623E57"/>
    <w:rsid w:val="006241DB"/>
    <w:rsid w:val="00624B3D"/>
    <w:rsid w:val="00625426"/>
    <w:rsid w:val="00630424"/>
    <w:rsid w:val="00630B96"/>
    <w:rsid w:val="00630DE3"/>
    <w:rsid w:val="0063182B"/>
    <w:rsid w:val="00632A4F"/>
    <w:rsid w:val="00633DD0"/>
    <w:rsid w:val="006351AD"/>
    <w:rsid w:val="00636830"/>
    <w:rsid w:val="00640A35"/>
    <w:rsid w:val="006419CF"/>
    <w:rsid w:val="00641F91"/>
    <w:rsid w:val="006431DD"/>
    <w:rsid w:val="006439CC"/>
    <w:rsid w:val="006440D2"/>
    <w:rsid w:val="006471E7"/>
    <w:rsid w:val="00650327"/>
    <w:rsid w:val="00651BA3"/>
    <w:rsid w:val="00651D75"/>
    <w:rsid w:val="00652CE6"/>
    <w:rsid w:val="00652DD8"/>
    <w:rsid w:val="00653B4A"/>
    <w:rsid w:val="00653F2E"/>
    <w:rsid w:val="006541BE"/>
    <w:rsid w:val="00655014"/>
    <w:rsid w:val="00657A3D"/>
    <w:rsid w:val="00657E37"/>
    <w:rsid w:val="006606D7"/>
    <w:rsid w:val="00660733"/>
    <w:rsid w:val="00660E2A"/>
    <w:rsid w:val="006612ED"/>
    <w:rsid w:val="006629CA"/>
    <w:rsid w:val="00662D4E"/>
    <w:rsid w:val="00662FB3"/>
    <w:rsid w:val="006638D8"/>
    <w:rsid w:val="006646AE"/>
    <w:rsid w:val="00666307"/>
    <w:rsid w:val="00666A21"/>
    <w:rsid w:val="00670EE2"/>
    <w:rsid w:val="00674405"/>
    <w:rsid w:val="00674B2F"/>
    <w:rsid w:val="00675BE2"/>
    <w:rsid w:val="006776A4"/>
    <w:rsid w:val="0067797A"/>
    <w:rsid w:val="006802B3"/>
    <w:rsid w:val="00680821"/>
    <w:rsid w:val="00680A17"/>
    <w:rsid w:val="006811EC"/>
    <w:rsid w:val="006813FA"/>
    <w:rsid w:val="006823F7"/>
    <w:rsid w:val="00682B02"/>
    <w:rsid w:val="00683B4D"/>
    <w:rsid w:val="0068615E"/>
    <w:rsid w:val="00686181"/>
    <w:rsid w:val="00686290"/>
    <w:rsid w:val="00686585"/>
    <w:rsid w:val="006869EC"/>
    <w:rsid w:val="00686E88"/>
    <w:rsid w:val="00687177"/>
    <w:rsid w:val="006877AE"/>
    <w:rsid w:val="0068798D"/>
    <w:rsid w:val="00690016"/>
    <w:rsid w:val="0069094F"/>
    <w:rsid w:val="00690D11"/>
    <w:rsid w:val="00691146"/>
    <w:rsid w:val="00691208"/>
    <w:rsid w:val="00692900"/>
    <w:rsid w:val="006929E8"/>
    <w:rsid w:val="00693675"/>
    <w:rsid w:val="00694854"/>
    <w:rsid w:val="00695CBA"/>
    <w:rsid w:val="00696079"/>
    <w:rsid w:val="006963AE"/>
    <w:rsid w:val="006A0232"/>
    <w:rsid w:val="006A104A"/>
    <w:rsid w:val="006A2091"/>
    <w:rsid w:val="006A2E37"/>
    <w:rsid w:val="006A3A74"/>
    <w:rsid w:val="006A3EC4"/>
    <w:rsid w:val="006A47C3"/>
    <w:rsid w:val="006A6A74"/>
    <w:rsid w:val="006A6C59"/>
    <w:rsid w:val="006B1726"/>
    <w:rsid w:val="006B1CFB"/>
    <w:rsid w:val="006B3736"/>
    <w:rsid w:val="006B3DAC"/>
    <w:rsid w:val="006B5805"/>
    <w:rsid w:val="006B5CAE"/>
    <w:rsid w:val="006B6023"/>
    <w:rsid w:val="006B7894"/>
    <w:rsid w:val="006B7BF9"/>
    <w:rsid w:val="006C0E66"/>
    <w:rsid w:val="006C2580"/>
    <w:rsid w:val="006C4209"/>
    <w:rsid w:val="006C4812"/>
    <w:rsid w:val="006C5565"/>
    <w:rsid w:val="006C5FAD"/>
    <w:rsid w:val="006C734C"/>
    <w:rsid w:val="006C7A3C"/>
    <w:rsid w:val="006D4189"/>
    <w:rsid w:val="006D4B72"/>
    <w:rsid w:val="006D545D"/>
    <w:rsid w:val="006D6142"/>
    <w:rsid w:val="006D685E"/>
    <w:rsid w:val="006D69D1"/>
    <w:rsid w:val="006D7CCC"/>
    <w:rsid w:val="006E0E3F"/>
    <w:rsid w:val="006E1772"/>
    <w:rsid w:val="006E1F05"/>
    <w:rsid w:val="006E37DA"/>
    <w:rsid w:val="006E5644"/>
    <w:rsid w:val="006E5B2E"/>
    <w:rsid w:val="006E5CB6"/>
    <w:rsid w:val="006E6425"/>
    <w:rsid w:val="006E75C9"/>
    <w:rsid w:val="006E7B92"/>
    <w:rsid w:val="006F04AB"/>
    <w:rsid w:val="006F084A"/>
    <w:rsid w:val="006F4895"/>
    <w:rsid w:val="006F58D4"/>
    <w:rsid w:val="006F7017"/>
    <w:rsid w:val="006F714D"/>
    <w:rsid w:val="007002FC"/>
    <w:rsid w:val="007015BA"/>
    <w:rsid w:val="00701D7F"/>
    <w:rsid w:val="0070216F"/>
    <w:rsid w:val="00703D16"/>
    <w:rsid w:val="00704374"/>
    <w:rsid w:val="00704D5E"/>
    <w:rsid w:val="0070518B"/>
    <w:rsid w:val="00705667"/>
    <w:rsid w:val="007056EC"/>
    <w:rsid w:val="00705770"/>
    <w:rsid w:val="007065AE"/>
    <w:rsid w:val="00706CD0"/>
    <w:rsid w:val="007114AE"/>
    <w:rsid w:val="00713CE3"/>
    <w:rsid w:val="00713E40"/>
    <w:rsid w:val="007146B1"/>
    <w:rsid w:val="00717444"/>
    <w:rsid w:val="00721857"/>
    <w:rsid w:val="00722E60"/>
    <w:rsid w:val="00723519"/>
    <w:rsid w:val="00723595"/>
    <w:rsid w:val="00723BAF"/>
    <w:rsid w:val="00723BCD"/>
    <w:rsid w:val="00724DEB"/>
    <w:rsid w:val="00725DF3"/>
    <w:rsid w:val="007266DA"/>
    <w:rsid w:val="00727207"/>
    <w:rsid w:val="00730149"/>
    <w:rsid w:val="00731A0A"/>
    <w:rsid w:val="00732479"/>
    <w:rsid w:val="00732B45"/>
    <w:rsid w:val="0073402F"/>
    <w:rsid w:val="00734787"/>
    <w:rsid w:val="00734FE1"/>
    <w:rsid w:val="007350A7"/>
    <w:rsid w:val="00735E73"/>
    <w:rsid w:val="00735F53"/>
    <w:rsid w:val="00736249"/>
    <w:rsid w:val="007364BC"/>
    <w:rsid w:val="00737032"/>
    <w:rsid w:val="0073759C"/>
    <w:rsid w:val="00740298"/>
    <w:rsid w:val="007404A6"/>
    <w:rsid w:val="00745197"/>
    <w:rsid w:val="0074719B"/>
    <w:rsid w:val="00750615"/>
    <w:rsid w:val="00750A38"/>
    <w:rsid w:val="00751473"/>
    <w:rsid w:val="00751777"/>
    <w:rsid w:val="00751C64"/>
    <w:rsid w:val="007544E6"/>
    <w:rsid w:val="007568D9"/>
    <w:rsid w:val="00756BED"/>
    <w:rsid w:val="00756E2C"/>
    <w:rsid w:val="00756E39"/>
    <w:rsid w:val="007579AD"/>
    <w:rsid w:val="007610A4"/>
    <w:rsid w:val="007610C8"/>
    <w:rsid w:val="00762976"/>
    <w:rsid w:val="00763146"/>
    <w:rsid w:val="00763235"/>
    <w:rsid w:val="007645AB"/>
    <w:rsid w:val="00764E64"/>
    <w:rsid w:val="00764F3E"/>
    <w:rsid w:val="00765396"/>
    <w:rsid w:val="00766EFD"/>
    <w:rsid w:val="00771912"/>
    <w:rsid w:val="0077214A"/>
    <w:rsid w:val="007738D5"/>
    <w:rsid w:val="00773BEA"/>
    <w:rsid w:val="0077516A"/>
    <w:rsid w:val="00775A05"/>
    <w:rsid w:val="00776BD8"/>
    <w:rsid w:val="007772ED"/>
    <w:rsid w:val="00777488"/>
    <w:rsid w:val="0077792C"/>
    <w:rsid w:val="00780429"/>
    <w:rsid w:val="007806C1"/>
    <w:rsid w:val="00782451"/>
    <w:rsid w:val="00782DBA"/>
    <w:rsid w:val="0078397E"/>
    <w:rsid w:val="00783B1F"/>
    <w:rsid w:val="007842C7"/>
    <w:rsid w:val="00784630"/>
    <w:rsid w:val="0078485A"/>
    <w:rsid w:val="00784CDA"/>
    <w:rsid w:val="00785E31"/>
    <w:rsid w:val="00785F88"/>
    <w:rsid w:val="007863B8"/>
    <w:rsid w:val="00790B8B"/>
    <w:rsid w:val="0079139C"/>
    <w:rsid w:val="007920B5"/>
    <w:rsid w:val="00792747"/>
    <w:rsid w:val="00792AFD"/>
    <w:rsid w:val="00792C6F"/>
    <w:rsid w:val="00793614"/>
    <w:rsid w:val="00794A42"/>
    <w:rsid w:val="00794FF0"/>
    <w:rsid w:val="0079552C"/>
    <w:rsid w:val="00795B14"/>
    <w:rsid w:val="007972A9"/>
    <w:rsid w:val="007A0207"/>
    <w:rsid w:val="007A0776"/>
    <w:rsid w:val="007A18A7"/>
    <w:rsid w:val="007A18AE"/>
    <w:rsid w:val="007A36E1"/>
    <w:rsid w:val="007A4F15"/>
    <w:rsid w:val="007A5964"/>
    <w:rsid w:val="007A5FBB"/>
    <w:rsid w:val="007A7101"/>
    <w:rsid w:val="007A7F85"/>
    <w:rsid w:val="007B0733"/>
    <w:rsid w:val="007B0F0E"/>
    <w:rsid w:val="007B22C0"/>
    <w:rsid w:val="007B2872"/>
    <w:rsid w:val="007B3986"/>
    <w:rsid w:val="007B3AC4"/>
    <w:rsid w:val="007B3CBE"/>
    <w:rsid w:val="007B4603"/>
    <w:rsid w:val="007B52D7"/>
    <w:rsid w:val="007B62B4"/>
    <w:rsid w:val="007B69C3"/>
    <w:rsid w:val="007B7463"/>
    <w:rsid w:val="007B7DB1"/>
    <w:rsid w:val="007B7F32"/>
    <w:rsid w:val="007C0155"/>
    <w:rsid w:val="007C0F54"/>
    <w:rsid w:val="007C0FF7"/>
    <w:rsid w:val="007C2DC7"/>
    <w:rsid w:val="007C4E92"/>
    <w:rsid w:val="007C4F47"/>
    <w:rsid w:val="007C598E"/>
    <w:rsid w:val="007D08C6"/>
    <w:rsid w:val="007D2475"/>
    <w:rsid w:val="007D2C85"/>
    <w:rsid w:val="007D3543"/>
    <w:rsid w:val="007D3D7E"/>
    <w:rsid w:val="007D3E4E"/>
    <w:rsid w:val="007D55E9"/>
    <w:rsid w:val="007D5B9B"/>
    <w:rsid w:val="007D63A1"/>
    <w:rsid w:val="007D71BF"/>
    <w:rsid w:val="007D74B0"/>
    <w:rsid w:val="007D7976"/>
    <w:rsid w:val="007D7A86"/>
    <w:rsid w:val="007E0D4A"/>
    <w:rsid w:val="007E308C"/>
    <w:rsid w:val="007E3783"/>
    <w:rsid w:val="007E3A97"/>
    <w:rsid w:val="007E44D2"/>
    <w:rsid w:val="007E630F"/>
    <w:rsid w:val="007E69BD"/>
    <w:rsid w:val="007E69F7"/>
    <w:rsid w:val="007F2E55"/>
    <w:rsid w:val="007F3E21"/>
    <w:rsid w:val="007F3EF3"/>
    <w:rsid w:val="007F7C9F"/>
    <w:rsid w:val="0080247A"/>
    <w:rsid w:val="00803754"/>
    <w:rsid w:val="00803F6F"/>
    <w:rsid w:val="00806158"/>
    <w:rsid w:val="008078DB"/>
    <w:rsid w:val="00811494"/>
    <w:rsid w:val="008115A5"/>
    <w:rsid w:val="00811A2B"/>
    <w:rsid w:val="00813D1E"/>
    <w:rsid w:val="00814B85"/>
    <w:rsid w:val="0081518F"/>
    <w:rsid w:val="008151DB"/>
    <w:rsid w:val="008170C0"/>
    <w:rsid w:val="00817A27"/>
    <w:rsid w:val="00817DBE"/>
    <w:rsid w:val="00820C42"/>
    <w:rsid w:val="00821654"/>
    <w:rsid w:val="00822744"/>
    <w:rsid w:val="00823B91"/>
    <w:rsid w:val="008244BF"/>
    <w:rsid w:val="008254BE"/>
    <w:rsid w:val="00825728"/>
    <w:rsid w:val="00827943"/>
    <w:rsid w:val="008307B7"/>
    <w:rsid w:val="008308EC"/>
    <w:rsid w:val="00833680"/>
    <w:rsid w:val="008336FB"/>
    <w:rsid w:val="00833A24"/>
    <w:rsid w:val="0083437B"/>
    <w:rsid w:val="008348C5"/>
    <w:rsid w:val="008352A6"/>
    <w:rsid w:val="00835EB1"/>
    <w:rsid w:val="00836930"/>
    <w:rsid w:val="00836F77"/>
    <w:rsid w:val="008415F4"/>
    <w:rsid w:val="00841C96"/>
    <w:rsid w:val="00841DAB"/>
    <w:rsid w:val="00843331"/>
    <w:rsid w:val="00843FBD"/>
    <w:rsid w:val="008449C7"/>
    <w:rsid w:val="00846201"/>
    <w:rsid w:val="008466E5"/>
    <w:rsid w:val="00846B47"/>
    <w:rsid w:val="00846B79"/>
    <w:rsid w:val="00846C27"/>
    <w:rsid w:val="00846E81"/>
    <w:rsid w:val="0085085B"/>
    <w:rsid w:val="008510B0"/>
    <w:rsid w:val="00851183"/>
    <w:rsid w:val="00853208"/>
    <w:rsid w:val="0085326C"/>
    <w:rsid w:val="00853CA4"/>
    <w:rsid w:val="00853E73"/>
    <w:rsid w:val="008544BD"/>
    <w:rsid w:val="008554CD"/>
    <w:rsid w:val="008571CA"/>
    <w:rsid w:val="00860125"/>
    <w:rsid w:val="00860BD2"/>
    <w:rsid w:val="00860CCD"/>
    <w:rsid w:val="0086109C"/>
    <w:rsid w:val="008617DB"/>
    <w:rsid w:val="00861AE0"/>
    <w:rsid w:val="0086307E"/>
    <w:rsid w:val="00864CA0"/>
    <w:rsid w:val="0086622E"/>
    <w:rsid w:val="008704B4"/>
    <w:rsid w:val="008707C9"/>
    <w:rsid w:val="008709DD"/>
    <w:rsid w:val="00871926"/>
    <w:rsid w:val="00874CC8"/>
    <w:rsid w:val="00874CFA"/>
    <w:rsid w:val="008758EB"/>
    <w:rsid w:val="00877111"/>
    <w:rsid w:val="00877653"/>
    <w:rsid w:val="008805D8"/>
    <w:rsid w:val="008807B7"/>
    <w:rsid w:val="00881875"/>
    <w:rsid w:val="00881949"/>
    <w:rsid w:val="00883891"/>
    <w:rsid w:val="00883B22"/>
    <w:rsid w:val="00883FFA"/>
    <w:rsid w:val="008849C4"/>
    <w:rsid w:val="008879B7"/>
    <w:rsid w:val="00890DC8"/>
    <w:rsid w:val="00891038"/>
    <w:rsid w:val="008921A0"/>
    <w:rsid w:val="00892BA6"/>
    <w:rsid w:val="00892FE1"/>
    <w:rsid w:val="00893217"/>
    <w:rsid w:val="0089577C"/>
    <w:rsid w:val="00896400"/>
    <w:rsid w:val="00896728"/>
    <w:rsid w:val="00896927"/>
    <w:rsid w:val="00896AC4"/>
    <w:rsid w:val="00897C56"/>
    <w:rsid w:val="008A0E3E"/>
    <w:rsid w:val="008A21A3"/>
    <w:rsid w:val="008A22CA"/>
    <w:rsid w:val="008A239D"/>
    <w:rsid w:val="008A3036"/>
    <w:rsid w:val="008A38D6"/>
    <w:rsid w:val="008A3CCE"/>
    <w:rsid w:val="008A488B"/>
    <w:rsid w:val="008A5E27"/>
    <w:rsid w:val="008A6979"/>
    <w:rsid w:val="008A6E15"/>
    <w:rsid w:val="008A7421"/>
    <w:rsid w:val="008A7BFF"/>
    <w:rsid w:val="008B0071"/>
    <w:rsid w:val="008B112C"/>
    <w:rsid w:val="008B1B0B"/>
    <w:rsid w:val="008B2691"/>
    <w:rsid w:val="008B2BAE"/>
    <w:rsid w:val="008B5643"/>
    <w:rsid w:val="008B7C11"/>
    <w:rsid w:val="008B7D3D"/>
    <w:rsid w:val="008C173A"/>
    <w:rsid w:val="008C1A15"/>
    <w:rsid w:val="008C2E42"/>
    <w:rsid w:val="008C2EBA"/>
    <w:rsid w:val="008C327D"/>
    <w:rsid w:val="008C4100"/>
    <w:rsid w:val="008C61FE"/>
    <w:rsid w:val="008C6380"/>
    <w:rsid w:val="008C6411"/>
    <w:rsid w:val="008C66A2"/>
    <w:rsid w:val="008D0C40"/>
    <w:rsid w:val="008D1E14"/>
    <w:rsid w:val="008D310C"/>
    <w:rsid w:val="008D5E8E"/>
    <w:rsid w:val="008D66E3"/>
    <w:rsid w:val="008D6775"/>
    <w:rsid w:val="008E0321"/>
    <w:rsid w:val="008E065D"/>
    <w:rsid w:val="008E27E8"/>
    <w:rsid w:val="008E2A24"/>
    <w:rsid w:val="008E2CB6"/>
    <w:rsid w:val="008E4492"/>
    <w:rsid w:val="008E4518"/>
    <w:rsid w:val="008E5898"/>
    <w:rsid w:val="008E5F2F"/>
    <w:rsid w:val="008E657B"/>
    <w:rsid w:val="008E6667"/>
    <w:rsid w:val="008E6AE5"/>
    <w:rsid w:val="008E6D4A"/>
    <w:rsid w:val="008F01A4"/>
    <w:rsid w:val="008F02F3"/>
    <w:rsid w:val="008F0552"/>
    <w:rsid w:val="008F07C3"/>
    <w:rsid w:val="008F16DB"/>
    <w:rsid w:val="008F34F4"/>
    <w:rsid w:val="008F5072"/>
    <w:rsid w:val="008F54BB"/>
    <w:rsid w:val="008F68CC"/>
    <w:rsid w:val="008F71E7"/>
    <w:rsid w:val="008F736F"/>
    <w:rsid w:val="009002A8"/>
    <w:rsid w:val="00900D76"/>
    <w:rsid w:val="009014A4"/>
    <w:rsid w:val="009032D8"/>
    <w:rsid w:val="00903B13"/>
    <w:rsid w:val="00904737"/>
    <w:rsid w:val="00905115"/>
    <w:rsid w:val="0090576F"/>
    <w:rsid w:val="00905B1E"/>
    <w:rsid w:val="00905E31"/>
    <w:rsid w:val="00906C77"/>
    <w:rsid w:val="00906CF4"/>
    <w:rsid w:val="00906D0B"/>
    <w:rsid w:val="00906D46"/>
    <w:rsid w:val="0090781D"/>
    <w:rsid w:val="00911631"/>
    <w:rsid w:val="00911AFB"/>
    <w:rsid w:val="00911DBC"/>
    <w:rsid w:val="00912425"/>
    <w:rsid w:val="00912D9A"/>
    <w:rsid w:val="00913987"/>
    <w:rsid w:val="00913A56"/>
    <w:rsid w:val="009146C8"/>
    <w:rsid w:val="009146F1"/>
    <w:rsid w:val="0091493B"/>
    <w:rsid w:val="0091531F"/>
    <w:rsid w:val="0091621A"/>
    <w:rsid w:val="00916693"/>
    <w:rsid w:val="00917CB3"/>
    <w:rsid w:val="00920211"/>
    <w:rsid w:val="009202CA"/>
    <w:rsid w:val="00920AB7"/>
    <w:rsid w:val="00921AA3"/>
    <w:rsid w:val="009229B1"/>
    <w:rsid w:val="00922A75"/>
    <w:rsid w:val="00922E5C"/>
    <w:rsid w:val="00923556"/>
    <w:rsid w:val="00923664"/>
    <w:rsid w:val="00925580"/>
    <w:rsid w:val="00925941"/>
    <w:rsid w:val="00925BAE"/>
    <w:rsid w:val="00926156"/>
    <w:rsid w:val="00926AD2"/>
    <w:rsid w:val="009270E9"/>
    <w:rsid w:val="0092733A"/>
    <w:rsid w:val="00927E95"/>
    <w:rsid w:val="00931272"/>
    <w:rsid w:val="0093418C"/>
    <w:rsid w:val="00934C1F"/>
    <w:rsid w:val="009369CC"/>
    <w:rsid w:val="00936DF1"/>
    <w:rsid w:val="00937628"/>
    <w:rsid w:val="009416BD"/>
    <w:rsid w:val="00942C06"/>
    <w:rsid w:val="00942D05"/>
    <w:rsid w:val="009436A4"/>
    <w:rsid w:val="00944B85"/>
    <w:rsid w:val="0094535F"/>
    <w:rsid w:val="00945622"/>
    <w:rsid w:val="00945EDC"/>
    <w:rsid w:val="00947865"/>
    <w:rsid w:val="0095016A"/>
    <w:rsid w:val="00950F16"/>
    <w:rsid w:val="00952256"/>
    <w:rsid w:val="009529E9"/>
    <w:rsid w:val="00952DB8"/>
    <w:rsid w:val="00953277"/>
    <w:rsid w:val="00954653"/>
    <w:rsid w:val="00954ED6"/>
    <w:rsid w:val="0095500D"/>
    <w:rsid w:val="009573E6"/>
    <w:rsid w:val="009577D1"/>
    <w:rsid w:val="00960D41"/>
    <w:rsid w:val="0096120F"/>
    <w:rsid w:val="00961693"/>
    <w:rsid w:val="00965D9E"/>
    <w:rsid w:val="009663B8"/>
    <w:rsid w:val="00966996"/>
    <w:rsid w:val="00966A1C"/>
    <w:rsid w:val="009676AD"/>
    <w:rsid w:val="00970497"/>
    <w:rsid w:val="00971D02"/>
    <w:rsid w:val="00972770"/>
    <w:rsid w:val="00973C04"/>
    <w:rsid w:val="00974BFE"/>
    <w:rsid w:val="00975AE5"/>
    <w:rsid w:val="00976BB1"/>
    <w:rsid w:val="00976EFF"/>
    <w:rsid w:val="00977593"/>
    <w:rsid w:val="009775E3"/>
    <w:rsid w:val="00980A7C"/>
    <w:rsid w:val="009817D5"/>
    <w:rsid w:val="009817FD"/>
    <w:rsid w:val="009828F4"/>
    <w:rsid w:val="0098373B"/>
    <w:rsid w:val="00983BFE"/>
    <w:rsid w:val="00983F24"/>
    <w:rsid w:val="00984191"/>
    <w:rsid w:val="00985AE4"/>
    <w:rsid w:val="009869E1"/>
    <w:rsid w:val="0098745C"/>
    <w:rsid w:val="00987A6F"/>
    <w:rsid w:val="00987AD7"/>
    <w:rsid w:val="0099101B"/>
    <w:rsid w:val="009917FC"/>
    <w:rsid w:val="00993381"/>
    <w:rsid w:val="00994845"/>
    <w:rsid w:val="00994E23"/>
    <w:rsid w:val="009956ED"/>
    <w:rsid w:val="00995952"/>
    <w:rsid w:val="009960C8"/>
    <w:rsid w:val="009965C5"/>
    <w:rsid w:val="00997097"/>
    <w:rsid w:val="00997220"/>
    <w:rsid w:val="0099757C"/>
    <w:rsid w:val="00997BD5"/>
    <w:rsid w:val="00997CC5"/>
    <w:rsid w:val="009A03AE"/>
    <w:rsid w:val="009A050D"/>
    <w:rsid w:val="009A0C12"/>
    <w:rsid w:val="009A1101"/>
    <w:rsid w:val="009A2262"/>
    <w:rsid w:val="009A3244"/>
    <w:rsid w:val="009A3EB2"/>
    <w:rsid w:val="009A56DD"/>
    <w:rsid w:val="009A697C"/>
    <w:rsid w:val="009A6F9E"/>
    <w:rsid w:val="009A70F2"/>
    <w:rsid w:val="009A7699"/>
    <w:rsid w:val="009B0289"/>
    <w:rsid w:val="009B074C"/>
    <w:rsid w:val="009B090E"/>
    <w:rsid w:val="009B119F"/>
    <w:rsid w:val="009B26C7"/>
    <w:rsid w:val="009B2C78"/>
    <w:rsid w:val="009B48FE"/>
    <w:rsid w:val="009B4D0B"/>
    <w:rsid w:val="009B67ED"/>
    <w:rsid w:val="009B79BC"/>
    <w:rsid w:val="009C136F"/>
    <w:rsid w:val="009C1980"/>
    <w:rsid w:val="009C1E64"/>
    <w:rsid w:val="009C2BE6"/>
    <w:rsid w:val="009C3106"/>
    <w:rsid w:val="009C45AE"/>
    <w:rsid w:val="009C485F"/>
    <w:rsid w:val="009C55DD"/>
    <w:rsid w:val="009C5867"/>
    <w:rsid w:val="009C5A07"/>
    <w:rsid w:val="009C6424"/>
    <w:rsid w:val="009C6B1A"/>
    <w:rsid w:val="009C6BBF"/>
    <w:rsid w:val="009C6E07"/>
    <w:rsid w:val="009C7339"/>
    <w:rsid w:val="009C7597"/>
    <w:rsid w:val="009C7DA1"/>
    <w:rsid w:val="009D050B"/>
    <w:rsid w:val="009D0E80"/>
    <w:rsid w:val="009D14FB"/>
    <w:rsid w:val="009D4E9B"/>
    <w:rsid w:val="009D598A"/>
    <w:rsid w:val="009D7EF9"/>
    <w:rsid w:val="009E1A97"/>
    <w:rsid w:val="009E2E3C"/>
    <w:rsid w:val="009E3B91"/>
    <w:rsid w:val="009E4FF4"/>
    <w:rsid w:val="009E56D3"/>
    <w:rsid w:val="009E5B82"/>
    <w:rsid w:val="009E7664"/>
    <w:rsid w:val="009F1825"/>
    <w:rsid w:val="009F18EB"/>
    <w:rsid w:val="009F1B38"/>
    <w:rsid w:val="009F2523"/>
    <w:rsid w:val="009F2829"/>
    <w:rsid w:val="009F2BDE"/>
    <w:rsid w:val="009F2FDB"/>
    <w:rsid w:val="009F407A"/>
    <w:rsid w:val="009F545D"/>
    <w:rsid w:val="009F70CE"/>
    <w:rsid w:val="009F7E9D"/>
    <w:rsid w:val="00A01863"/>
    <w:rsid w:val="00A0186F"/>
    <w:rsid w:val="00A01886"/>
    <w:rsid w:val="00A01C15"/>
    <w:rsid w:val="00A0294D"/>
    <w:rsid w:val="00A02B4B"/>
    <w:rsid w:val="00A044AB"/>
    <w:rsid w:val="00A04FEE"/>
    <w:rsid w:val="00A0524F"/>
    <w:rsid w:val="00A05F30"/>
    <w:rsid w:val="00A10213"/>
    <w:rsid w:val="00A10898"/>
    <w:rsid w:val="00A11F9C"/>
    <w:rsid w:val="00A12408"/>
    <w:rsid w:val="00A124D0"/>
    <w:rsid w:val="00A12F42"/>
    <w:rsid w:val="00A12FFC"/>
    <w:rsid w:val="00A141CD"/>
    <w:rsid w:val="00A14408"/>
    <w:rsid w:val="00A1440B"/>
    <w:rsid w:val="00A14D64"/>
    <w:rsid w:val="00A15BAC"/>
    <w:rsid w:val="00A1672A"/>
    <w:rsid w:val="00A16CA6"/>
    <w:rsid w:val="00A17CCF"/>
    <w:rsid w:val="00A17D1C"/>
    <w:rsid w:val="00A20510"/>
    <w:rsid w:val="00A21987"/>
    <w:rsid w:val="00A21ABD"/>
    <w:rsid w:val="00A2282F"/>
    <w:rsid w:val="00A24DF2"/>
    <w:rsid w:val="00A250C4"/>
    <w:rsid w:val="00A25E66"/>
    <w:rsid w:val="00A2642D"/>
    <w:rsid w:val="00A267A4"/>
    <w:rsid w:val="00A26A82"/>
    <w:rsid w:val="00A3003A"/>
    <w:rsid w:val="00A308A7"/>
    <w:rsid w:val="00A33DB7"/>
    <w:rsid w:val="00A350E0"/>
    <w:rsid w:val="00A3522D"/>
    <w:rsid w:val="00A3578B"/>
    <w:rsid w:val="00A35A70"/>
    <w:rsid w:val="00A36BFA"/>
    <w:rsid w:val="00A372CD"/>
    <w:rsid w:val="00A41BB3"/>
    <w:rsid w:val="00A42557"/>
    <w:rsid w:val="00A42B7C"/>
    <w:rsid w:val="00A42DE3"/>
    <w:rsid w:val="00A45F27"/>
    <w:rsid w:val="00A4628F"/>
    <w:rsid w:val="00A51778"/>
    <w:rsid w:val="00A51E9A"/>
    <w:rsid w:val="00A5222D"/>
    <w:rsid w:val="00A52552"/>
    <w:rsid w:val="00A529AE"/>
    <w:rsid w:val="00A52B74"/>
    <w:rsid w:val="00A531F3"/>
    <w:rsid w:val="00A53CF6"/>
    <w:rsid w:val="00A53F00"/>
    <w:rsid w:val="00A54B0B"/>
    <w:rsid w:val="00A55BF7"/>
    <w:rsid w:val="00A5631B"/>
    <w:rsid w:val="00A571D4"/>
    <w:rsid w:val="00A579A1"/>
    <w:rsid w:val="00A60776"/>
    <w:rsid w:val="00A60A16"/>
    <w:rsid w:val="00A60A37"/>
    <w:rsid w:val="00A60BB3"/>
    <w:rsid w:val="00A62250"/>
    <w:rsid w:val="00A62A67"/>
    <w:rsid w:val="00A64106"/>
    <w:rsid w:val="00A64881"/>
    <w:rsid w:val="00A6645D"/>
    <w:rsid w:val="00A679A9"/>
    <w:rsid w:val="00A67FF3"/>
    <w:rsid w:val="00A704AD"/>
    <w:rsid w:val="00A712FE"/>
    <w:rsid w:val="00A717E2"/>
    <w:rsid w:val="00A71E24"/>
    <w:rsid w:val="00A74E88"/>
    <w:rsid w:val="00A76242"/>
    <w:rsid w:val="00A76C14"/>
    <w:rsid w:val="00A76F6E"/>
    <w:rsid w:val="00A77828"/>
    <w:rsid w:val="00A8052C"/>
    <w:rsid w:val="00A808BC"/>
    <w:rsid w:val="00A816DD"/>
    <w:rsid w:val="00A82011"/>
    <w:rsid w:val="00A8275B"/>
    <w:rsid w:val="00A82AE4"/>
    <w:rsid w:val="00A83CA9"/>
    <w:rsid w:val="00A84A1F"/>
    <w:rsid w:val="00A850A6"/>
    <w:rsid w:val="00A85D4C"/>
    <w:rsid w:val="00A871B2"/>
    <w:rsid w:val="00A90814"/>
    <w:rsid w:val="00A90951"/>
    <w:rsid w:val="00A90E6B"/>
    <w:rsid w:val="00A915FE"/>
    <w:rsid w:val="00A918C0"/>
    <w:rsid w:val="00A930FF"/>
    <w:rsid w:val="00A94382"/>
    <w:rsid w:val="00A94618"/>
    <w:rsid w:val="00A9608F"/>
    <w:rsid w:val="00A960EA"/>
    <w:rsid w:val="00A9630C"/>
    <w:rsid w:val="00A969A4"/>
    <w:rsid w:val="00A96D6A"/>
    <w:rsid w:val="00AA0720"/>
    <w:rsid w:val="00AA10FF"/>
    <w:rsid w:val="00AA14DE"/>
    <w:rsid w:val="00AA4815"/>
    <w:rsid w:val="00AA49A1"/>
    <w:rsid w:val="00AA4FB9"/>
    <w:rsid w:val="00AA58DB"/>
    <w:rsid w:val="00AA657A"/>
    <w:rsid w:val="00AA6E2F"/>
    <w:rsid w:val="00AB0A06"/>
    <w:rsid w:val="00AB1FF5"/>
    <w:rsid w:val="00AB240D"/>
    <w:rsid w:val="00AB2810"/>
    <w:rsid w:val="00AB2A73"/>
    <w:rsid w:val="00AB2C4B"/>
    <w:rsid w:val="00AB378A"/>
    <w:rsid w:val="00AB3CEA"/>
    <w:rsid w:val="00AB3EB8"/>
    <w:rsid w:val="00AB4A83"/>
    <w:rsid w:val="00AB51A9"/>
    <w:rsid w:val="00AB71E1"/>
    <w:rsid w:val="00AB72A8"/>
    <w:rsid w:val="00AB76C0"/>
    <w:rsid w:val="00AB7AD6"/>
    <w:rsid w:val="00AC0E59"/>
    <w:rsid w:val="00AC1127"/>
    <w:rsid w:val="00AC16F1"/>
    <w:rsid w:val="00AC180B"/>
    <w:rsid w:val="00AC2619"/>
    <w:rsid w:val="00AC2B0A"/>
    <w:rsid w:val="00AC35D8"/>
    <w:rsid w:val="00AC4571"/>
    <w:rsid w:val="00AC5E87"/>
    <w:rsid w:val="00AC6682"/>
    <w:rsid w:val="00AC713C"/>
    <w:rsid w:val="00AC7C9E"/>
    <w:rsid w:val="00AD02D8"/>
    <w:rsid w:val="00AD06F2"/>
    <w:rsid w:val="00AD1456"/>
    <w:rsid w:val="00AD17F3"/>
    <w:rsid w:val="00AD2837"/>
    <w:rsid w:val="00AD3A3B"/>
    <w:rsid w:val="00AD418E"/>
    <w:rsid w:val="00AD4AB8"/>
    <w:rsid w:val="00AD6F85"/>
    <w:rsid w:val="00AE058B"/>
    <w:rsid w:val="00AE0C28"/>
    <w:rsid w:val="00AE0EBF"/>
    <w:rsid w:val="00AE1557"/>
    <w:rsid w:val="00AE15DF"/>
    <w:rsid w:val="00AE19B7"/>
    <w:rsid w:val="00AE20FC"/>
    <w:rsid w:val="00AE2923"/>
    <w:rsid w:val="00AE2A5A"/>
    <w:rsid w:val="00AE2B1D"/>
    <w:rsid w:val="00AE34DC"/>
    <w:rsid w:val="00AE78DC"/>
    <w:rsid w:val="00AF07BF"/>
    <w:rsid w:val="00AF0D37"/>
    <w:rsid w:val="00AF0F04"/>
    <w:rsid w:val="00AF3F7C"/>
    <w:rsid w:val="00AF40E1"/>
    <w:rsid w:val="00AF492C"/>
    <w:rsid w:val="00AF5EF8"/>
    <w:rsid w:val="00AF73BD"/>
    <w:rsid w:val="00AF766A"/>
    <w:rsid w:val="00B00966"/>
    <w:rsid w:val="00B02E44"/>
    <w:rsid w:val="00B03178"/>
    <w:rsid w:val="00B040C5"/>
    <w:rsid w:val="00B041DD"/>
    <w:rsid w:val="00B04595"/>
    <w:rsid w:val="00B049B0"/>
    <w:rsid w:val="00B04D6E"/>
    <w:rsid w:val="00B0559C"/>
    <w:rsid w:val="00B05A28"/>
    <w:rsid w:val="00B06601"/>
    <w:rsid w:val="00B109C1"/>
    <w:rsid w:val="00B10CD6"/>
    <w:rsid w:val="00B1180C"/>
    <w:rsid w:val="00B12B89"/>
    <w:rsid w:val="00B131C5"/>
    <w:rsid w:val="00B136EA"/>
    <w:rsid w:val="00B14729"/>
    <w:rsid w:val="00B14C68"/>
    <w:rsid w:val="00B14F65"/>
    <w:rsid w:val="00B15DC0"/>
    <w:rsid w:val="00B163AA"/>
    <w:rsid w:val="00B16E2E"/>
    <w:rsid w:val="00B17599"/>
    <w:rsid w:val="00B17C06"/>
    <w:rsid w:val="00B20326"/>
    <w:rsid w:val="00B209C9"/>
    <w:rsid w:val="00B2151E"/>
    <w:rsid w:val="00B216FB"/>
    <w:rsid w:val="00B22737"/>
    <w:rsid w:val="00B250CC"/>
    <w:rsid w:val="00B25362"/>
    <w:rsid w:val="00B25A93"/>
    <w:rsid w:val="00B25E3C"/>
    <w:rsid w:val="00B266EB"/>
    <w:rsid w:val="00B26CF0"/>
    <w:rsid w:val="00B273F4"/>
    <w:rsid w:val="00B27A2D"/>
    <w:rsid w:val="00B27C6D"/>
    <w:rsid w:val="00B302A4"/>
    <w:rsid w:val="00B329B0"/>
    <w:rsid w:val="00B330AD"/>
    <w:rsid w:val="00B335E7"/>
    <w:rsid w:val="00B338A3"/>
    <w:rsid w:val="00B35408"/>
    <w:rsid w:val="00B35E9B"/>
    <w:rsid w:val="00B3787E"/>
    <w:rsid w:val="00B40501"/>
    <w:rsid w:val="00B41221"/>
    <w:rsid w:val="00B41F8E"/>
    <w:rsid w:val="00B4462B"/>
    <w:rsid w:val="00B460BC"/>
    <w:rsid w:val="00B46A80"/>
    <w:rsid w:val="00B477A9"/>
    <w:rsid w:val="00B50A6A"/>
    <w:rsid w:val="00B50D97"/>
    <w:rsid w:val="00B51413"/>
    <w:rsid w:val="00B51930"/>
    <w:rsid w:val="00B528D3"/>
    <w:rsid w:val="00B52AF1"/>
    <w:rsid w:val="00B52C68"/>
    <w:rsid w:val="00B52DA6"/>
    <w:rsid w:val="00B54DA3"/>
    <w:rsid w:val="00B55CE8"/>
    <w:rsid w:val="00B56032"/>
    <w:rsid w:val="00B5605B"/>
    <w:rsid w:val="00B567C8"/>
    <w:rsid w:val="00B60675"/>
    <w:rsid w:val="00B60974"/>
    <w:rsid w:val="00B61256"/>
    <w:rsid w:val="00B621AD"/>
    <w:rsid w:val="00B6255E"/>
    <w:rsid w:val="00B6279A"/>
    <w:rsid w:val="00B639F3"/>
    <w:rsid w:val="00B654F6"/>
    <w:rsid w:val="00B65A0E"/>
    <w:rsid w:val="00B65A5B"/>
    <w:rsid w:val="00B671BE"/>
    <w:rsid w:val="00B71250"/>
    <w:rsid w:val="00B72399"/>
    <w:rsid w:val="00B74EFB"/>
    <w:rsid w:val="00B76515"/>
    <w:rsid w:val="00B77AEE"/>
    <w:rsid w:val="00B77E04"/>
    <w:rsid w:val="00B81531"/>
    <w:rsid w:val="00B82E3C"/>
    <w:rsid w:val="00B836CB"/>
    <w:rsid w:val="00B854A7"/>
    <w:rsid w:val="00B8621D"/>
    <w:rsid w:val="00B8645F"/>
    <w:rsid w:val="00B905AC"/>
    <w:rsid w:val="00B91019"/>
    <w:rsid w:val="00B92D11"/>
    <w:rsid w:val="00B92E85"/>
    <w:rsid w:val="00B948E5"/>
    <w:rsid w:val="00B94A58"/>
    <w:rsid w:val="00B94C6B"/>
    <w:rsid w:val="00B96B1D"/>
    <w:rsid w:val="00B976C0"/>
    <w:rsid w:val="00B97A72"/>
    <w:rsid w:val="00B97D4C"/>
    <w:rsid w:val="00BA0C69"/>
    <w:rsid w:val="00BA183A"/>
    <w:rsid w:val="00BA1B82"/>
    <w:rsid w:val="00BA1E74"/>
    <w:rsid w:val="00BA2AD5"/>
    <w:rsid w:val="00BA2C49"/>
    <w:rsid w:val="00BA5AD5"/>
    <w:rsid w:val="00BA6363"/>
    <w:rsid w:val="00BB1E9B"/>
    <w:rsid w:val="00BB2B5D"/>
    <w:rsid w:val="00BB3636"/>
    <w:rsid w:val="00BB4059"/>
    <w:rsid w:val="00BB42C8"/>
    <w:rsid w:val="00BB469A"/>
    <w:rsid w:val="00BB5733"/>
    <w:rsid w:val="00BB5D2C"/>
    <w:rsid w:val="00BB6018"/>
    <w:rsid w:val="00BB68FA"/>
    <w:rsid w:val="00BC053A"/>
    <w:rsid w:val="00BC0744"/>
    <w:rsid w:val="00BC4FB4"/>
    <w:rsid w:val="00BC5200"/>
    <w:rsid w:val="00BC757A"/>
    <w:rsid w:val="00BC76C3"/>
    <w:rsid w:val="00BD078B"/>
    <w:rsid w:val="00BD0E4C"/>
    <w:rsid w:val="00BD1922"/>
    <w:rsid w:val="00BD24A8"/>
    <w:rsid w:val="00BD2A14"/>
    <w:rsid w:val="00BD2A6B"/>
    <w:rsid w:val="00BD54A3"/>
    <w:rsid w:val="00BD5FAC"/>
    <w:rsid w:val="00BD681C"/>
    <w:rsid w:val="00BD77E3"/>
    <w:rsid w:val="00BE0487"/>
    <w:rsid w:val="00BE1F66"/>
    <w:rsid w:val="00BE5221"/>
    <w:rsid w:val="00BE541F"/>
    <w:rsid w:val="00BE66FA"/>
    <w:rsid w:val="00BE777E"/>
    <w:rsid w:val="00BF0C25"/>
    <w:rsid w:val="00BF2693"/>
    <w:rsid w:val="00BF3886"/>
    <w:rsid w:val="00BF582C"/>
    <w:rsid w:val="00BF6FFC"/>
    <w:rsid w:val="00BF7031"/>
    <w:rsid w:val="00BF784C"/>
    <w:rsid w:val="00BF7B18"/>
    <w:rsid w:val="00BF7C65"/>
    <w:rsid w:val="00C0127E"/>
    <w:rsid w:val="00C01D5C"/>
    <w:rsid w:val="00C01D85"/>
    <w:rsid w:val="00C02A3C"/>
    <w:rsid w:val="00C03B4C"/>
    <w:rsid w:val="00C04271"/>
    <w:rsid w:val="00C04306"/>
    <w:rsid w:val="00C05525"/>
    <w:rsid w:val="00C058F1"/>
    <w:rsid w:val="00C05DFB"/>
    <w:rsid w:val="00C07B75"/>
    <w:rsid w:val="00C11B0E"/>
    <w:rsid w:val="00C12DF5"/>
    <w:rsid w:val="00C15829"/>
    <w:rsid w:val="00C170FF"/>
    <w:rsid w:val="00C179C0"/>
    <w:rsid w:val="00C17B03"/>
    <w:rsid w:val="00C17BF2"/>
    <w:rsid w:val="00C20CBB"/>
    <w:rsid w:val="00C2161A"/>
    <w:rsid w:val="00C21A94"/>
    <w:rsid w:val="00C22FA7"/>
    <w:rsid w:val="00C233CC"/>
    <w:rsid w:val="00C241C3"/>
    <w:rsid w:val="00C24B37"/>
    <w:rsid w:val="00C24D76"/>
    <w:rsid w:val="00C2660B"/>
    <w:rsid w:val="00C26931"/>
    <w:rsid w:val="00C26C7A"/>
    <w:rsid w:val="00C30EA9"/>
    <w:rsid w:val="00C30F73"/>
    <w:rsid w:val="00C31DBB"/>
    <w:rsid w:val="00C32B51"/>
    <w:rsid w:val="00C32D30"/>
    <w:rsid w:val="00C33F93"/>
    <w:rsid w:val="00C349A5"/>
    <w:rsid w:val="00C34B3D"/>
    <w:rsid w:val="00C37132"/>
    <w:rsid w:val="00C375F3"/>
    <w:rsid w:val="00C402B2"/>
    <w:rsid w:val="00C41787"/>
    <w:rsid w:val="00C4238E"/>
    <w:rsid w:val="00C43098"/>
    <w:rsid w:val="00C44555"/>
    <w:rsid w:val="00C44EBE"/>
    <w:rsid w:val="00C45BB7"/>
    <w:rsid w:val="00C47691"/>
    <w:rsid w:val="00C5043F"/>
    <w:rsid w:val="00C51973"/>
    <w:rsid w:val="00C52776"/>
    <w:rsid w:val="00C52C73"/>
    <w:rsid w:val="00C539F9"/>
    <w:rsid w:val="00C53AB4"/>
    <w:rsid w:val="00C55E67"/>
    <w:rsid w:val="00C56CA1"/>
    <w:rsid w:val="00C57CDB"/>
    <w:rsid w:val="00C60C30"/>
    <w:rsid w:val="00C625D7"/>
    <w:rsid w:val="00C62D62"/>
    <w:rsid w:val="00C63396"/>
    <w:rsid w:val="00C63E56"/>
    <w:rsid w:val="00C65211"/>
    <w:rsid w:val="00C6522F"/>
    <w:rsid w:val="00C65820"/>
    <w:rsid w:val="00C662F6"/>
    <w:rsid w:val="00C6635C"/>
    <w:rsid w:val="00C6744D"/>
    <w:rsid w:val="00C67626"/>
    <w:rsid w:val="00C7167F"/>
    <w:rsid w:val="00C7316E"/>
    <w:rsid w:val="00C7534F"/>
    <w:rsid w:val="00C77935"/>
    <w:rsid w:val="00C804AF"/>
    <w:rsid w:val="00C80DBA"/>
    <w:rsid w:val="00C816C3"/>
    <w:rsid w:val="00C81BCF"/>
    <w:rsid w:val="00C81F67"/>
    <w:rsid w:val="00C823EF"/>
    <w:rsid w:val="00C847CE"/>
    <w:rsid w:val="00C856F5"/>
    <w:rsid w:val="00C863F1"/>
    <w:rsid w:val="00C86FF5"/>
    <w:rsid w:val="00C87F8E"/>
    <w:rsid w:val="00C9102F"/>
    <w:rsid w:val="00C91C48"/>
    <w:rsid w:val="00C92423"/>
    <w:rsid w:val="00C932CD"/>
    <w:rsid w:val="00C93A75"/>
    <w:rsid w:val="00C9413B"/>
    <w:rsid w:val="00C95316"/>
    <w:rsid w:val="00C9573B"/>
    <w:rsid w:val="00C96622"/>
    <w:rsid w:val="00C97A81"/>
    <w:rsid w:val="00CA0665"/>
    <w:rsid w:val="00CA199F"/>
    <w:rsid w:val="00CA2793"/>
    <w:rsid w:val="00CA4AC9"/>
    <w:rsid w:val="00CA53CE"/>
    <w:rsid w:val="00CA59B5"/>
    <w:rsid w:val="00CA601E"/>
    <w:rsid w:val="00CA61B3"/>
    <w:rsid w:val="00CA68AF"/>
    <w:rsid w:val="00CA6E3C"/>
    <w:rsid w:val="00CB02A9"/>
    <w:rsid w:val="00CB04E1"/>
    <w:rsid w:val="00CB1753"/>
    <w:rsid w:val="00CB2DF6"/>
    <w:rsid w:val="00CB335F"/>
    <w:rsid w:val="00CB3C94"/>
    <w:rsid w:val="00CB4EEA"/>
    <w:rsid w:val="00CB5178"/>
    <w:rsid w:val="00CB58F4"/>
    <w:rsid w:val="00CB6204"/>
    <w:rsid w:val="00CB7B7B"/>
    <w:rsid w:val="00CC009F"/>
    <w:rsid w:val="00CC02FF"/>
    <w:rsid w:val="00CC24D7"/>
    <w:rsid w:val="00CC277C"/>
    <w:rsid w:val="00CC3480"/>
    <w:rsid w:val="00CC46E5"/>
    <w:rsid w:val="00CC4B3B"/>
    <w:rsid w:val="00CD0561"/>
    <w:rsid w:val="00CD3A0F"/>
    <w:rsid w:val="00CD3F4C"/>
    <w:rsid w:val="00CD43AB"/>
    <w:rsid w:val="00CD44A6"/>
    <w:rsid w:val="00CD4BCB"/>
    <w:rsid w:val="00CD5709"/>
    <w:rsid w:val="00CD5D31"/>
    <w:rsid w:val="00CD7160"/>
    <w:rsid w:val="00CD7197"/>
    <w:rsid w:val="00CE1CA0"/>
    <w:rsid w:val="00CE1D22"/>
    <w:rsid w:val="00CE385B"/>
    <w:rsid w:val="00CE399C"/>
    <w:rsid w:val="00CE51D3"/>
    <w:rsid w:val="00CE7070"/>
    <w:rsid w:val="00CE7CCA"/>
    <w:rsid w:val="00CF6CAF"/>
    <w:rsid w:val="00CF6CCA"/>
    <w:rsid w:val="00CF7F25"/>
    <w:rsid w:val="00D002A9"/>
    <w:rsid w:val="00D01D3C"/>
    <w:rsid w:val="00D042EB"/>
    <w:rsid w:val="00D04A66"/>
    <w:rsid w:val="00D04E1E"/>
    <w:rsid w:val="00D0531C"/>
    <w:rsid w:val="00D05BE2"/>
    <w:rsid w:val="00D05FBA"/>
    <w:rsid w:val="00D06792"/>
    <w:rsid w:val="00D06B6E"/>
    <w:rsid w:val="00D06F15"/>
    <w:rsid w:val="00D07A77"/>
    <w:rsid w:val="00D10A23"/>
    <w:rsid w:val="00D11C22"/>
    <w:rsid w:val="00D13E1E"/>
    <w:rsid w:val="00D15B82"/>
    <w:rsid w:val="00D15C27"/>
    <w:rsid w:val="00D15CD9"/>
    <w:rsid w:val="00D16F67"/>
    <w:rsid w:val="00D177C2"/>
    <w:rsid w:val="00D17923"/>
    <w:rsid w:val="00D20068"/>
    <w:rsid w:val="00D20982"/>
    <w:rsid w:val="00D21E5C"/>
    <w:rsid w:val="00D221AF"/>
    <w:rsid w:val="00D22A73"/>
    <w:rsid w:val="00D23CE6"/>
    <w:rsid w:val="00D2450D"/>
    <w:rsid w:val="00D245AB"/>
    <w:rsid w:val="00D24CB6"/>
    <w:rsid w:val="00D250F0"/>
    <w:rsid w:val="00D2526F"/>
    <w:rsid w:val="00D265D8"/>
    <w:rsid w:val="00D26DA9"/>
    <w:rsid w:val="00D26F60"/>
    <w:rsid w:val="00D301FB"/>
    <w:rsid w:val="00D306F2"/>
    <w:rsid w:val="00D30C77"/>
    <w:rsid w:val="00D30FC2"/>
    <w:rsid w:val="00D31180"/>
    <w:rsid w:val="00D3212F"/>
    <w:rsid w:val="00D324FE"/>
    <w:rsid w:val="00D33935"/>
    <w:rsid w:val="00D33F14"/>
    <w:rsid w:val="00D34D73"/>
    <w:rsid w:val="00D35075"/>
    <w:rsid w:val="00D35222"/>
    <w:rsid w:val="00D35A3B"/>
    <w:rsid w:val="00D37353"/>
    <w:rsid w:val="00D37C5F"/>
    <w:rsid w:val="00D431F9"/>
    <w:rsid w:val="00D4687B"/>
    <w:rsid w:val="00D471DC"/>
    <w:rsid w:val="00D47B7D"/>
    <w:rsid w:val="00D50049"/>
    <w:rsid w:val="00D50DDA"/>
    <w:rsid w:val="00D5191F"/>
    <w:rsid w:val="00D57BC1"/>
    <w:rsid w:val="00D6091B"/>
    <w:rsid w:val="00D6148B"/>
    <w:rsid w:val="00D634D6"/>
    <w:rsid w:val="00D64A63"/>
    <w:rsid w:val="00D66645"/>
    <w:rsid w:val="00D66DE2"/>
    <w:rsid w:val="00D70089"/>
    <w:rsid w:val="00D708D7"/>
    <w:rsid w:val="00D71B8A"/>
    <w:rsid w:val="00D71E58"/>
    <w:rsid w:val="00D722C0"/>
    <w:rsid w:val="00D72A33"/>
    <w:rsid w:val="00D73336"/>
    <w:rsid w:val="00D738AD"/>
    <w:rsid w:val="00D73D7B"/>
    <w:rsid w:val="00D75111"/>
    <w:rsid w:val="00D75662"/>
    <w:rsid w:val="00D76235"/>
    <w:rsid w:val="00D80223"/>
    <w:rsid w:val="00D80757"/>
    <w:rsid w:val="00D810C7"/>
    <w:rsid w:val="00D821D2"/>
    <w:rsid w:val="00D82750"/>
    <w:rsid w:val="00D82AB1"/>
    <w:rsid w:val="00D84DB0"/>
    <w:rsid w:val="00D87058"/>
    <w:rsid w:val="00D8709A"/>
    <w:rsid w:val="00D92220"/>
    <w:rsid w:val="00D93DEE"/>
    <w:rsid w:val="00D945DB"/>
    <w:rsid w:val="00D94A0B"/>
    <w:rsid w:val="00D955D3"/>
    <w:rsid w:val="00D95F37"/>
    <w:rsid w:val="00D96DA4"/>
    <w:rsid w:val="00D97231"/>
    <w:rsid w:val="00DA0725"/>
    <w:rsid w:val="00DA2035"/>
    <w:rsid w:val="00DA233E"/>
    <w:rsid w:val="00DA248C"/>
    <w:rsid w:val="00DA26EA"/>
    <w:rsid w:val="00DA3E37"/>
    <w:rsid w:val="00DA5556"/>
    <w:rsid w:val="00DA5CBF"/>
    <w:rsid w:val="00DA6331"/>
    <w:rsid w:val="00DB0F8B"/>
    <w:rsid w:val="00DB34A0"/>
    <w:rsid w:val="00DB4B7A"/>
    <w:rsid w:val="00DB5DCF"/>
    <w:rsid w:val="00DB6A7B"/>
    <w:rsid w:val="00DB74F3"/>
    <w:rsid w:val="00DB776F"/>
    <w:rsid w:val="00DC1DC6"/>
    <w:rsid w:val="00DC2A3F"/>
    <w:rsid w:val="00DC34DE"/>
    <w:rsid w:val="00DC39A4"/>
    <w:rsid w:val="00DC4364"/>
    <w:rsid w:val="00DC497A"/>
    <w:rsid w:val="00DC4D8E"/>
    <w:rsid w:val="00DC5790"/>
    <w:rsid w:val="00DC5A36"/>
    <w:rsid w:val="00DC5F94"/>
    <w:rsid w:val="00DD33DC"/>
    <w:rsid w:val="00DD33ED"/>
    <w:rsid w:val="00DD4F56"/>
    <w:rsid w:val="00DD55F1"/>
    <w:rsid w:val="00DD5A32"/>
    <w:rsid w:val="00DD68F0"/>
    <w:rsid w:val="00DD7483"/>
    <w:rsid w:val="00DD7D77"/>
    <w:rsid w:val="00DD7EC3"/>
    <w:rsid w:val="00DE007A"/>
    <w:rsid w:val="00DE05BB"/>
    <w:rsid w:val="00DE0883"/>
    <w:rsid w:val="00DE2D27"/>
    <w:rsid w:val="00DE2FA9"/>
    <w:rsid w:val="00DE3153"/>
    <w:rsid w:val="00DE4BAC"/>
    <w:rsid w:val="00DE56CA"/>
    <w:rsid w:val="00DF2415"/>
    <w:rsid w:val="00DF3F92"/>
    <w:rsid w:val="00DF517B"/>
    <w:rsid w:val="00DF5218"/>
    <w:rsid w:val="00DF547C"/>
    <w:rsid w:val="00DF693C"/>
    <w:rsid w:val="00DF754C"/>
    <w:rsid w:val="00E009DD"/>
    <w:rsid w:val="00E02971"/>
    <w:rsid w:val="00E02A83"/>
    <w:rsid w:val="00E03F55"/>
    <w:rsid w:val="00E04295"/>
    <w:rsid w:val="00E04931"/>
    <w:rsid w:val="00E04BF3"/>
    <w:rsid w:val="00E05325"/>
    <w:rsid w:val="00E05F34"/>
    <w:rsid w:val="00E068FB"/>
    <w:rsid w:val="00E075E1"/>
    <w:rsid w:val="00E11551"/>
    <w:rsid w:val="00E11660"/>
    <w:rsid w:val="00E11B1C"/>
    <w:rsid w:val="00E1423F"/>
    <w:rsid w:val="00E14CD2"/>
    <w:rsid w:val="00E1510F"/>
    <w:rsid w:val="00E16426"/>
    <w:rsid w:val="00E206E6"/>
    <w:rsid w:val="00E20FC0"/>
    <w:rsid w:val="00E24FBD"/>
    <w:rsid w:val="00E251EE"/>
    <w:rsid w:val="00E25867"/>
    <w:rsid w:val="00E2622B"/>
    <w:rsid w:val="00E26377"/>
    <w:rsid w:val="00E3007F"/>
    <w:rsid w:val="00E32A70"/>
    <w:rsid w:val="00E34597"/>
    <w:rsid w:val="00E35E7F"/>
    <w:rsid w:val="00E368E9"/>
    <w:rsid w:val="00E400B9"/>
    <w:rsid w:val="00E40FCD"/>
    <w:rsid w:val="00E42146"/>
    <w:rsid w:val="00E42564"/>
    <w:rsid w:val="00E43B8C"/>
    <w:rsid w:val="00E43E4D"/>
    <w:rsid w:val="00E44315"/>
    <w:rsid w:val="00E44DBF"/>
    <w:rsid w:val="00E45579"/>
    <w:rsid w:val="00E45DAD"/>
    <w:rsid w:val="00E4630F"/>
    <w:rsid w:val="00E4665F"/>
    <w:rsid w:val="00E4740D"/>
    <w:rsid w:val="00E47AF0"/>
    <w:rsid w:val="00E47DF6"/>
    <w:rsid w:val="00E506A6"/>
    <w:rsid w:val="00E50B0E"/>
    <w:rsid w:val="00E519A2"/>
    <w:rsid w:val="00E532D2"/>
    <w:rsid w:val="00E537AB"/>
    <w:rsid w:val="00E538CE"/>
    <w:rsid w:val="00E5399E"/>
    <w:rsid w:val="00E56515"/>
    <w:rsid w:val="00E600CD"/>
    <w:rsid w:val="00E60561"/>
    <w:rsid w:val="00E614FE"/>
    <w:rsid w:val="00E61937"/>
    <w:rsid w:val="00E62128"/>
    <w:rsid w:val="00E6337B"/>
    <w:rsid w:val="00E63848"/>
    <w:rsid w:val="00E64459"/>
    <w:rsid w:val="00E65879"/>
    <w:rsid w:val="00E65D74"/>
    <w:rsid w:val="00E70057"/>
    <w:rsid w:val="00E7082E"/>
    <w:rsid w:val="00E72692"/>
    <w:rsid w:val="00E74A8B"/>
    <w:rsid w:val="00E75268"/>
    <w:rsid w:val="00E76F16"/>
    <w:rsid w:val="00E779C2"/>
    <w:rsid w:val="00E8267D"/>
    <w:rsid w:val="00E84693"/>
    <w:rsid w:val="00E90CE0"/>
    <w:rsid w:val="00E90ED1"/>
    <w:rsid w:val="00E917CF"/>
    <w:rsid w:val="00E9193A"/>
    <w:rsid w:val="00E92CD5"/>
    <w:rsid w:val="00E9347C"/>
    <w:rsid w:val="00E939BB"/>
    <w:rsid w:val="00E94E74"/>
    <w:rsid w:val="00E94FEA"/>
    <w:rsid w:val="00E951E7"/>
    <w:rsid w:val="00E97E18"/>
    <w:rsid w:val="00EA0EAC"/>
    <w:rsid w:val="00EA118C"/>
    <w:rsid w:val="00EA1286"/>
    <w:rsid w:val="00EA182F"/>
    <w:rsid w:val="00EA23D8"/>
    <w:rsid w:val="00EA53ED"/>
    <w:rsid w:val="00EA5417"/>
    <w:rsid w:val="00EA60F7"/>
    <w:rsid w:val="00EA65D8"/>
    <w:rsid w:val="00EA7407"/>
    <w:rsid w:val="00EB08BA"/>
    <w:rsid w:val="00EB2101"/>
    <w:rsid w:val="00EB36B9"/>
    <w:rsid w:val="00EB3B71"/>
    <w:rsid w:val="00EB5142"/>
    <w:rsid w:val="00EB584D"/>
    <w:rsid w:val="00EB673F"/>
    <w:rsid w:val="00EC133C"/>
    <w:rsid w:val="00EC1400"/>
    <w:rsid w:val="00EC2F2E"/>
    <w:rsid w:val="00EC41D6"/>
    <w:rsid w:val="00EC62D9"/>
    <w:rsid w:val="00EC70C7"/>
    <w:rsid w:val="00ED090F"/>
    <w:rsid w:val="00ED0947"/>
    <w:rsid w:val="00ED4F96"/>
    <w:rsid w:val="00ED5A06"/>
    <w:rsid w:val="00ED5B65"/>
    <w:rsid w:val="00ED716F"/>
    <w:rsid w:val="00EE1A2A"/>
    <w:rsid w:val="00EE2866"/>
    <w:rsid w:val="00EE294D"/>
    <w:rsid w:val="00EE30E0"/>
    <w:rsid w:val="00EE3EE8"/>
    <w:rsid w:val="00EE41ED"/>
    <w:rsid w:val="00EE50F4"/>
    <w:rsid w:val="00EE5618"/>
    <w:rsid w:val="00EE65DE"/>
    <w:rsid w:val="00EE752E"/>
    <w:rsid w:val="00EF0030"/>
    <w:rsid w:val="00EF046E"/>
    <w:rsid w:val="00EF0D9F"/>
    <w:rsid w:val="00EF1109"/>
    <w:rsid w:val="00EF3E9F"/>
    <w:rsid w:val="00EF40B2"/>
    <w:rsid w:val="00EF4103"/>
    <w:rsid w:val="00EF4333"/>
    <w:rsid w:val="00EF6C6C"/>
    <w:rsid w:val="00EF79B7"/>
    <w:rsid w:val="00F0078A"/>
    <w:rsid w:val="00F00BB6"/>
    <w:rsid w:val="00F00CA2"/>
    <w:rsid w:val="00F0120C"/>
    <w:rsid w:val="00F034DE"/>
    <w:rsid w:val="00F03C94"/>
    <w:rsid w:val="00F04796"/>
    <w:rsid w:val="00F053E1"/>
    <w:rsid w:val="00F072CA"/>
    <w:rsid w:val="00F11837"/>
    <w:rsid w:val="00F1191D"/>
    <w:rsid w:val="00F11FA4"/>
    <w:rsid w:val="00F12DBD"/>
    <w:rsid w:val="00F13602"/>
    <w:rsid w:val="00F13BF7"/>
    <w:rsid w:val="00F146C9"/>
    <w:rsid w:val="00F14BA2"/>
    <w:rsid w:val="00F159FF"/>
    <w:rsid w:val="00F15C3B"/>
    <w:rsid w:val="00F16A72"/>
    <w:rsid w:val="00F171E2"/>
    <w:rsid w:val="00F206BB"/>
    <w:rsid w:val="00F20AE7"/>
    <w:rsid w:val="00F20B1A"/>
    <w:rsid w:val="00F2191E"/>
    <w:rsid w:val="00F2313A"/>
    <w:rsid w:val="00F232ED"/>
    <w:rsid w:val="00F23351"/>
    <w:rsid w:val="00F234DA"/>
    <w:rsid w:val="00F23D06"/>
    <w:rsid w:val="00F24188"/>
    <w:rsid w:val="00F255BF"/>
    <w:rsid w:val="00F27EAB"/>
    <w:rsid w:val="00F30006"/>
    <w:rsid w:val="00F31857"/>
    <w:rsid w:val="00F33302"/>
    <w:rsid w:val="00F334CF"/>
    <w:rsid w:val="00F33CD7"/>
    <w:rsid w:val="00F37A9F"/>
    <w:rsid w:val="00F37CAD"/>
    <w:rsid w:val="00F41938"/>
    <w:rsid w:val="00F41C45"/>
    <w:rsid w:val="00F42126"/>
    <w:rsid w:val="00F42518"/>
    <w:rsid w:val="00F4408A"/>
    <w:rsid w:val="00F448D3"/>
    <w:rsid w:val="00F44996"/>
    <w:rsid w:val="00F45069"/>
    <w:rsid w:val="00F459BE"/>
    <w:rsid w:val="00F467A2"/>
    <w:rsid w:val="00F47FC7"/>
    <w:rsid w:val="00F50563"/>
    <w:rsid w:val="00F50E09"/>
    <w:rsid w:val="00F51F6E"/>
    <w:rsid w:val="00F522F7"/>
    <w:rsid w:val="00F537AA"/>
    <w:rsid w:val="00F5404B"/>
    <w:rsid w:val="00F5434A"/>
    <w:rsid w:val="00F54ADF"/>
    <w:rsid w:val="00F6134E"/>
    <w:rsid w:val="00F61B6E"/>
    <w:rsid w:val="00F62060"/>
    <w:rsid w:val="00F62443"/>
    <w:rsid w:val="00F638B8"/>
    <w:rsid w:val="00F64083"/>
    <w:rsid w:val="00F65939"/>
    <w:rsid w:val="00F660FF"/>
    <w:rsid w:val="00F67967"/>
    <w:rsid w:val="00F700EA"/>
    <w:rsid w:val="00F71D3B"/>
    <w:rsid w:val="00F74428"/>
    <w:rsid w:val="00F74D7F"/>
    <w:rsid w:val="00F7639E"/>
    <w:rsid w:val="00F764CF"/>
    <w:rsid w:val="00F7694E"/>
    <w:rsid w:val="00F76FD3"/>
    <w:rsid w:val="00F77680"/>
    <w:rsid w:val="00F77F32"/>
    <w:rsid w:val="00F836CD"/>
    <w:rsid w:val="00F8373E"/>
    <w:rsid w:val="00F85EEA"/>
    <w:rsid w:val="00F86043"/>
    <w:rsid w:val="00F86AEC"/>
    <w:rsid w:val="00F87C5C"/>
    <w:rsid w:val="00F9232A"/>
    <w:rsid w:val="00F92A53"/>
    <w:rsid w:val="00F93022"/>
    <w:rsid w:val="00F93C0F"/>
    <w:rsid w:val="00F94A3C"/>
    <w:rsid w:val="00F94EA3"/>
    <w:rsid w:val="00F954A7"/>
    <w:rsid w:val="00F96F3D"/>
    <w:rsid w:val="00F96F64"/>
    <w:rsid w:val="00F97B4F"/>
    <w:rsid w:val="00F97EBA"/>
    <w:rsid w:val="00F97EC7"/>
    <w:rsid w:val="00FA3B60"/>
    <w:rsid w:val="00FA3B65"/>
    <w:rsid w:val="00FA3F02"/>
    <w:rsid w:val="00FA3F03"/>
    <w:rsid w:val="00FA4961"/>
    <w:rsid w:val="00FA4E2D"/>
    <w:rsid w:val="00FA59A7"/>
    <w:rsid w:val="00FA6ADB"/>
    <w:rsid w:val="00FA6CCC"/>
    <w:rsid w:val="00FB1BFA"/>
    <w:rsid w:val="00FB40F9"/>
    <w:rsid w:val="00FB419F"/>
    <w:rsid w:val="00FB4643"/>
    <w:rsid w:val="00FB4752"/>
    <w:rsid w:val="00FB4CB3"/>
    <w:rsid w:val="00FB6F60"/>
    <w:rsid w:val="00FB6F61"/>
    <w:rsid w:val="00FB792A"/>
    <w:rsid w:val="00FC04C2"/>
    <w:rsid w:val="00FC2093"/>
    <w:rsid w:val="00FC2370"/>
    <w:rsid w:val="00FC2515"/>
    <w:rsid w:val="00FC2B11"/>
    <w:rsid w:val="00FC4B2F"/>
    <w:rsid w:val="00FC5A5B"/>
    <w:rsid w:val="00FC6CDC"/>
    <w:rsid w:val="00FC7A11"/>
    <w:rsid w:val="00FD0784"/>
    <w:rsid w:val="00FD09D9"/>
    <w:rsid w:val="00FD09F4"/>
    <w:rsid w:val="00FD1822"/>
    <w:rsid w:val="00FD1AD7"/>
    <w:rsid w:val="00FD1E16"/>
    <w:rsid w:val="00FD3015"/>
    <w:rsid w:val="00FD39E1"/>
    <w:rsid w:val="00FD4093"/>
    <w:rsid w:val="00FD459C"/>
    <w:rsid w:val="00FD623A"/>
    <w:rsid w:val="00FD6C18"/>
    <w:rsid w:val="00FD6CF2"/>
    <w:rsid w:val="00FE0372"/>
    <w:rsid w:val="00FE0F23"/>
    <w:rsid w:val="00FE27A2"/>
    <w:rsid w:val="00FE3149"/>
    <w:rsid w:val="00FE4645"/>
    <w:rsid w:val="00FE557D"/>
    <w:rsid w:val="00FE570C"/>
    <w:rsid w:val="00FE5BC0"/>
    <w:rsid w:val="00FE61FF"/>
    <w:rsid w:val="00FE75AA"/>
    <w:rsid w:val="00FE75D7"/>
    <w:rsid w:val="00FF0B3E"/>
    <w:rsid w:val="00FF0BAF"/>
    <w:rsid w:val="00FF0CF4"/>
    <w:rsid w:val="00FF191B"/>
    <w:rsid w:val="00FF22EE"/>
    <w:rsid w:val="00FF2594"/>
    <w:rsid w:val="00FF3D24"/>
    <w:rsid w:val="00FF4289"/>
    <w:rsid w:val="00FF4F54"/>
    <w:rsid w:val="00FF5933"/>
    <w:rsid w:val="00FF6702"/>
    <w:rsid w:val="00FF6A97"/>
    <w:rsid w:val="00FF76D5"/>
    <w:rsid w:val="00FF7A19"/>
    <w:rsid w:val="080D9A2E"/>
    <w:rsid w:val="080ED057"/>
    <w:rsid w:val="087C0599"/>
    <w:rsid w:val="1424C482"/>
    <w:rsid w:val="2803F0B5"/>
    <w:rsid w:val="2D4F4BA8"/>
    <w:rsid w:val="367AD4D6"/>
    <w:rsid w:val="3D8041C4"/>
    <w:rsid w:val="495550B6"/>
    <w:rsid w:val="4A270F6A"/>
    <w:rsid w:val="4A47D5F3"/>
    <w:rsid w:val="683BD929"/>
    <w:rsid w:val="7A14B4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3A7511"/>
  <w14:defaultImageDpi w14:val="32767"/>
  <w15:chartTrackingRefBased/>
  <w15:docId w15:val="{2F98484A-4FC8-48DF-9454-FACD45BAA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716F"/>
    <w:pPr>
      <w:suppressAutoHyphens/>
      <w:autoSpaceDE w:val="0"/>
      <w:autoSpaceDN w:val="0"/>
      <w:adjustRightInd w:val="0"/>
      <w:spacing w:after="240" w:line="260" w:lineRule="atLeast"/>
      <w:textAlignment w:val="center"/>
    </w:pPr>
    <w:rPr>
      <w:rFonts w:ascii="Roboto-Light" w:hAnsi="Roboto-Light" w:cs="Roboto-Light"/>
      <w:color w:val="000000"/>
      <w:sz w:val="18"/>
      <w:szCs w:val="22"/>
      <w:lang w:val="en-GB"/>
    </w:rPr>
  </w:style>
  <w:style w:type="paragraph" w:styleId="Heading1">
    <w:name w:val="heading 1"/>
    <w:basedOn w:val="Normal"/>
    <w:next w:val="Normal"/>
    <w:link w:val="Heading1Char"/>
    <w:uiPriority w:val="9"/>
    <w:qFormat/>
    <w:rsid w:val="00BC4FB4"/>
    <w:pPr>
      <w:keepNext/>
      <w:keepLines/>
      <w:spacing w:before="60"/>
      <w:outlineLvl w:val="0"/>
    </w:pPr>
    <w:rPr>
      <w:rFonts w:ascii="Merriweather-Regular" w:eastAsiaTheme="majorEastAsia" w:hAnsi="Merriweather-Regular" w:cstheme="majorBidi"/>
      <w:color w:val="5C626C"/>
      <w:sz w:val="40"/>
      <w:szCs w:val="32"/>
    </w:rPr>
  </w:style>
  <w:style w:type="paragraph" w:styleId="Heading2">
    <w:name w:val="heading 2"/>
    <w:basedOn w:val="Normal"/>
    <w:next w:val="Normal"/>
    <w:link w:val="Heading2Char"/>
    <w:uiPriority w:val="9"/>
    <w:unhideWhenUsed/>
    <w:qFormat/>
    <w:rsid w:val="00A60BB3"/>
    <w:pPr>
      <w:keepNext/>
      <w:keepLines/>
      <w:spacing w:before="60" w:after="60"/>
      <w:outlineLvl w:val="1"/>
    </w:pPr>
    <w:rPr>
      <w:rFonts w:ascii="Roboto-Bold" w:eastAsiaTheme="majorEastAsia" w:hAnsi="Roboto-Bold" w:cstheme="majorBidi"/>
      <w:color w:val="008143"/>
      <w:sz w:val="26"/>
      <w:szCs w:val="26"/>
    </w:rPr>
  </w:style>
  <w:style w:type="paragraph" w:styleId="Heading3">
    <w:name w:val="heading 3"/>
    <w:basedOn w:val="Normal"/>
    <w:next w:val="Normal"/>
    <w:link w:val="Heading3Char"/>
    <w:uiPriority w:val="9"/>
    <w:unhideWhenUsed/>
    <w:qFormat/>
    <w:rsid w:val="00B51930"/>
    <w:pPr>
      <w:keepNext/>
      <w:keepLines/>
      <w:spacing w:before="60" w:after="60"/>
      <w:outlineLvl w:val="2"/>
    </w:pPr>
    <w:rPr>
      <w:rFonts w:ascii="Roboto" w:eastAsiaTheme="majorEastAsia" w:hAnsi="Roboto" w:cstheme="majorBidi"/>
      <w:b/>
      <w:color w:val="545A60"/>
      <w:sz w:val="21"/>
      <w:szCs w:val="24"/>
    </w:rPr>
  </w:style>
  <w:style w:type="paragraph" w:styleId="Heading4">
    <w:name w:val="heading 4"/>
    <w:basedOn w:val="Normal"/>
    <w:next w:val="Normal"/>
    <w:link w:val="Heading4Char"/>
    <w:uiPriority w:val="9"/>
    <w:unhideWhenUsed/>
    <w:qFormat/>
    <w:rsid w:val="00FD39E1"/>
    <w:pPr>
      <w:spacing w:after="60"/>
      <w:outlineLvl w:val="3"/>
    </w:pPr>
    <w:rPr>
      <w:rFonts w:ascii="Roboto-Bold" w:hAnsi="Roboto-Bold"/>
      <w:color w:val="5B626C" w:themeColor="text1"/>
    </w:rPr>
  </w:style>
  <w:style w:type="paragraph" w:styleId="Heading5">
    <w:name w:val="heading 5"/>
    <w:basedOn w:val="Normal"/>
    <w:next w:val="Normal"/>
    <w:link w:val="Heading5Char"/>
    <w:uiPriority w:val="9"/>
    <w:unhideWhenUsed/>
    <w:qFormat/>
    <w:rsid w:val="00EE41ED"/>
    <w:pPr>
      <w:keepNext/>
      <w:keepLines/>
      <w:suppressAutoHyphens w:val="0"/>
      <w:autoSpaceDE/>
      <w:autoSpaceDN/>
      <w:adjustRightInd/>
      <w:spacing w:before="80" w:after="40" w:line="279" w:lineRule="auto"/>
      <w:textAlignment w:val="auto"/>
      <w:outlineLvl w:val="4"/>
    </w:pPr>
    <w:rPr>
      <w:rFonts w:asciiTheme="minorHAnsi" w:eastAsiaTheme="majorEastAsia" w:hAnsiTheme="minorHAnsi" w:cstheme="majorBidi"/>
      <w:color w:val="1E2059" w:themeColor="accent1" w:themeShade="BF"/>
      <w:sz w:val="24"/>
      <w:szCs w:val="24"/>
      <w:lang w:eastAsia="ja-JP"/>
    </w:rPr>
  </w:style>
  <w:style w:type="paragraph" w:styleId="Heading6">
    <w:name w:val="heading 6"/>
    <w:basedOn w:val="Normal"/>
    <w:next w:val="Normal"/>
    <w:link w:val="Heading6Char"/>
    <w:uiPriority w:val="9"/>
    <w:unhideWhenUsed/>
    <w:qFormat/>
    <w:rsid w:val="00EE41ED"/>
    <w:pPr>
      <w:keepNext/>
      <w:keepLines/>
      <w:suppressAutoHyphens w:val="0"/>
      <w:autoSpaceDE/>
      <w:autoSpaceDN/>
      <w:adjustRightInd/>
      <w:spacing w:before="40" w:after="0" w:line="279" w:lineRule="auto"/>
      <w:textAlignment w:val="auto"/>
      <w:outlineLvl w:val="5"/>
    </w:pPr>
    <w:rPr>
      <w:rFonts w:asciiTheme="minorHAnsi" w:eastAsiaTheme="majorEastAsia" w:hAnsiTheme="minorHAnsi" w:cstheme="majorBidi"/>
      <w:i/>
      <w:iCs/>
      <w:color w:val="9198A2" w:themeColor="text1" w:themeTint="A6"/>
      <w:sz w:val="24"/>
      <w:szCs w:val="24"/>
      <w:lang w:eastAsia="ja-JP"/>
    </w:rPr>
  </w:style>
  <w:style w:type="paragraph" w:styleId="Heading7">
    <w:name w:val="heading 7"/>
    <w:basedOn w:val="Normal"/>
    <w:next w:val="Normal"/>
    <w:link w:val="Heading7Char"/>
    <w:uiPriority w:val="9"/>
    <w:unhideWhenUsed/>
    <w:qFormat/>
    <w:rsid w:val="00EE41ED"/>
    <w:pPr>
      <w:keepNext/>
      <w:keepLines/>
      <w:suppressAutoHyphens w:val="0"/>
      <w:autoSpaceDE/>
      <w:autoSpaceDN/>
      <w:adjustRightInd/>
      <w:spacing w:before="40" w:after="0" w:line="279" w:lineRule="auto"/>
      <w:textAlignment w:val="auto"/>
      <w:outlineLvl w:val="6"/>
    </w:pPr>
    <w:rPr>
      <w:rFonts w:asciiTheme="minorHAnsi" w:eastAsiaTheme="majorEastAsia" w:hAnsiTheme="minorHAnsi" w:cstheme="majorBidi"/>
      <w:color w:val="9198A2" w:themeColor="text1" w:themeTint="A6"/>
      <w:sz w:val="24"/>
      <w:szCs w:val="24"/>
      <w:lang w:eastAsia="ja-JP"/>
    </w:rPr>
  </w:style>
  <w:style w:type="paragraph" w:styleId="Heading8">
    <w:name w:val="heading 8"/>
    <w:basedOn w:val="Normal"/>
    <w:next w:val="Normal"/>
    <w:link w:val="Heading8Char"/>
    <w:uiPriority w:val="9"/>
    <w:unhideWhenUsed/>
    <w:qFormat/>
    <w:rsid w:val="00EE41ED"/>
    <w:pPr>
      <w:keepNext/>
      <w:keepLines/>
      <w:suppressAutoHyphens w:val="0"/>
      <w:autoSpaceDE/>
      <w:autoSpaceDN/>
      <w:adjustRightInd/>
      <w:spacing w:after="0" w:line="279" w:lineRule="auto"/>
      <w:textAlignment w:val="auto"/>
      <w:outlineLvl w:val="7"/>
    </w:pPr>
    <w:rPr>
      <w:rFonts w:asciiTheme="minorHAnsi" w:eastAsiaTheme="majorEastAsia" w:hAnsiTheme="minorHAnsi" w:cstheme="majorBidi"/>
      <w:i/>
      <w:iCs/>
      <w:color w:val="707985" w:themeColor="text1" w:themeTint="D8"/>
      <w:sz w:val="24"/>
      <w:szCs w:val="24"/>
      <w:lang w:eastAsia="ja-JP"/>
    </w:rPr>
  </w:style>
  <w:style w:type="paragraph" w:styleId="Heading9">
    <w:name w:val="heading 9"/>
    <w:basedOn w:val="Normal"/>
    <w:next w:val="Normal"/>
    <w:link w:val="Heading9Char"/>
    <w:uiPriority w:val="9"/>
    <w:unhideWhenUsed/>
    <w:qFormat/>
    <w:rsid w:val="00EE41ED"/>
    <w:pPr>
      <w:keepNext/>
      <w:keepLines/>
      <w:suppressAutoHyphens w:val="0"/>
      <w:autoSpaceDE/>
      <w:autoSpaceDN/>
      <w:adjustRightInd/>
      <w:spacing w:after="0" w:line="279" w:lineRule="auto"/>
      <w:textAlignment w:val="auto"/>
      <w:outlineLvl w:val="8"/>
    </w:pPr>
    <w:rPr>
      <w:rFonts w:asciiTheme="minorHAnsi" w:eastAsiaTheme="majorEastAsia" w:hAnsiTheme="minorHAnsi" w:cstheme="majorBidi"/>
      <w:color w:val="707985" w:themeColor="text1" w:themeTint="D8"/>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589C"/>
    <w:pPr>
      <w:tabs>
        <w:tab w:val="center" w:pos="4680"/>
        <w:tab w:val="right" w:pos="9360"/>
      </w:tabs>
    </w:pPr>
  </w:style>
  <w:style w:type="character" w:customStyle="1" w:styleId="HeaderChar">
    <w:name w:val="Header Char"/>
    <w:basedOn w:val="DefaultParagraphFont"/>
    <w:link w:val="Header"/>
    <w:uiPriority w:val="99"/>
    <w:rsid w:val="0051589C"/>
  </w:style>
  <w:style w:type="paragraph" w:styleId="Footer">
    <w:name w:val="footer"/>
    <w:basedOn w:val="Normal"/>
    <w:link w:val="FooterChar"/>
    <w:uiPriority w:val="99"/>
    <w:unhideWhenUsed/>
    <w:rsid w:val="00737032"/>
    <w:pPr>
      <w:tabs>
        <w:tab w:val="center" w:pos="4680"/>
        <w:tab w:val="right" w:pos="9360"/>
      </w:tabs>
    </w:pPr>
    <w:rPr>
      <w:color w:val="5C626C"/>
    </w:rPr>
  </w:style>
  <w:style w:type="character" w:customStyle="1" w:styleId="FooterChar">
    <w:name w:val="Footer Char"/>
    <w:basedOn w:val="DefaultParagraphFont"/>
    <w:link w:val="Footer"/>
    <w:uiPriority w:val="99"/>
    <w:rsid w:val="00737032"/>
    <w:rPr>
      <w:rFonts w:ascii="Roboto-Light" w:hAnsi="Roboto-Light" w:cs="Roboto-Light"/>
      <w:color w:val="5C626C"/>
      <w:sz w:val="22"/>
      <w:szCs w:val="22"/>
      <w:lang w:val="en-GB"/>
    </w:rPr>
  </w:style>
  <w:style w:type="paragraph" w:customStyle="1" w:styleId="NMHCIntroParagraph">
    <w:name w:val="NMHC Intro Paragraph"/>
    <w:basedOn w:val="Normal"/>
    <w:qFormat/>
    <w:rsid w:val="00A60BB3"/>
    <w:pPr>
      <w:spacing w:before="60" w:after="300"/>
    </w:pPr>
    <w:rPr>
      <w:rFonts w:ascii="Merriweather-Regular" w:hAnsi="Merriweather-Regular"/>
      <w:color w:val="008143"/>
      <w:sz w:val="26"/>
    </w:rPr>
  </w:style>
  <w:style w:type="character" w:styleId="PageNumber">
    <w:name w:val="page number"/>
    <w:basedOn w:val="DefaultParagraphFont"/>
    <w:uiPriority w:val="99"/>
    <w:unhideWhenUsed/>
    <w:rsid w:val="00A60BB3"/>
    <w:rPr>
      <w:rFonts w:ascii="Roboto-Bold" w:hAnsi="Roboto-Bold"/>
      <w:color w:val="008143"/>
      <w:sz w:val="16"/>
    </w:rPr>
  </w:style>
  <w:style w:type="character" w:styleId="Hyperlink">
    <w:name w:val="Hyperlink"/>
    <w:basedOn w:val="DefaultParagraphFont"/>
    <w:uiPriority w:val="99"/>
    <w:unhideWhenUsed/>
    <w:rsid w:val="006C5FAD"/>
    <w:rPr>
      <w:color w:val="008143"/>
      <w:u w:val="single"/>
    </w:rPr>
  </w:style>
  <w:style w:type="character" w:styleId="UnresolvedMention">
    <w:name w:val="Unresolved Mention"/>
    <w:basedOn w:val="DefaultParagraphFont"/>
    <w:uiPriority w:val="99"/>
    <w:semiHidden/>
    <w:unhideWhenUsed/>
    <w:rsid w:val="00BB42C8"/>
    <w:rPr>
      <w:color w:val="605E5C"/>
      <w:shd w:val="clear" w:color="auto" w:fill="E1DFDD"/>
    </w:rPr>
  </w:style>
  <w:style w:type="character" w:styleId="FollowedHyperlink">
    <w:name w:val="FollowedHyperlink"/>
    <w:basedOn w:val="DefaultParagraphFont"/>
    <w:uiPriority w:val="99"/>
    <w:semiHidden/>
    <w:unhideWhenUsed/>
    <w:rsid w:val="00BB42C8"/>
    <w:rPr>
      <w:color w:val="954F72" w:themeColor="followedHyperlink"/>
      <w:u w:val="single"/>
    </w:rPr>
  </w:style>
  <w:style w:type="paragraph" w:customStyle="1" w:styleId="NMHCABN">
    <w:name w:val="NMHC_ABN"/>
    <w:basedOn w:val="Normal"/>
    <w:uiPriority w:val="99"/>
    <w:rsid w:val="006C2580"/>
    <w:pPr>
      <w:tabs>
        <w:tab w:val="left" w:pos="454"/>
      </w:tabs>
      <w:suppressAutoHyphens w:val="0"/>
      <w:spacing w:after="0"/>
      <w:jc w:val="right"/>
    </w:pPr>
    <w:rPr>
      <w:rFonts w:ascii="Roboto-Regular" w:hAnsi="Roboto-Regular" w:cs="Roboto-Regular"/>
      <w:color w:val="5C626C"/>
      <w:spacing w:val="-1"/>
      <w:sz w:val="14"/>
      <w:szCs w:val="14"/>
      <w14:textFill>
        <w14:solidFill>
          <w14:srgbClr w14:val="5C626C">
            <w14:alpha w14:val="25000"/>
          </w14:srgbClr>
        </w14:solidFill>
      </w14:textFill>
    </w:rPr>
  </w:style>
  <w:style w:type="paragraph" w:customStyle="1" w:styleId="NMHCNamestyle">
    <w:name w:val="NMHC Namestyle"/>
    <w:basedOn w:val="Normal"/>
    <w:uiPriority w:val="99"/>
    <w:rsid w:val="00803754"/>
    <w:pPr>
      <w:spacing w:after="0"/>
    </w:pPr>
    <w:rPr>
      <w:rFonts w:ascii="Roboto-Medium" w:hAnsi="Roboto-Medium" w:cs="Roboto-Medium"/>
      <w:color w:val="5C626C"/>
      <w:sz w:val="16"/>
      <w:szCs w:val="16"/>
    </w:rPr>
  </w:style>
  <w:style w:type="character" w:customStyle="1" w:styleId="Heading1Char">
    <w:name w:val="Heading 1 Char"/>
    <w:basedOn w:val="DefaultParagraphFont"/>
    <w:link w:val="Heading1"/>
    <w:uiPriority w:val="9"/>
    <w:rsid w:val="00BC4FB4"/>
    <w:rPr>
      <w:rFonts w:ascii="Merriweather-Regular" w:eastAsiaTheme="majorEastAsia" w:hAnsi="Merriweather-Regular" w:cstheme="majorBidi"/>
      <w:color w:val="5C626C"/>
      <w:sz w:val="40"/>
      <w:szCs w:val="32"/>
      <w:lang w:val="en-GB"/>
    </w:rPr>
  </w:style>
  <w:style w:type="character" w:customStyle="1" w:styleId="Heading2Char">
    <w:name w:val="Heading 2 Char"/>
    <w:basedOn w:val="DefaultParagraphFont"/>
    <w:link w:val="Heading2"/>
    <w:uiPriority w:val="9"/>
    <w:rsid w:val="00A60BB3"/>
    <w:rPr>
      <w:rFonts w:ascii="Roboto-Bold" w:eastAsiaTheme="majorEastAsia" w:hAnsi="Roboto-Bold" w:cstheme="majorBidi"/>
      <w:color w:val="008143"/>
      <w:sz w:val="26"/>
      <w:szCs w:val="26"/>
      <w:lang w:val="en-GB"/>
    </w:rPr>
  </w:style>
  <w:style w:type="character" w:customStyle="1" w:styleId="Heading3Char">
    <w:name w:val="Heading 3 Char"/>
    <w:basedOn w:val="DefaultParagraphFont"/>
    <w:link w:val="Heading3"/>
    <w:uiPriority w:val="9"/>
    <w:rsid w:val="00B51930"/>
    <w:rPr>
      <w:rFonts w:ascii="Roboto" w:eastAsiaTheme="majorEastAsia" w:hAnsi="Roboto" w:cstheme="majorBidi"/>
      <w:b/>
      <w:color w:val="545A60"/>
      <w:sz w:val="21"/>
      <w:lang w:val="en-GB"/>
    </w:rPr>
  </w:style>
  <w:style w:type="paragraph" w:styleId="ListParagraph">
    <w:name w:val="List Paragraph"/>
    <w:basedOn w:val="Normal"/>
    <w:uiPriority w:val="34"/>
    <w:qFormat/>
    <w:rsid w:val="00DC2A3F"/>
    <w:pPr>
      <w:numPr>
        <w:numId w:val="2"/>
      </w:numPr>
      <w:contextualSpacing/>
    </w:pPr>
  </w:style>
  <w:style w:type="paragraph" w:customStyle="1" w:styleId="NoParagraphStyle">
    <w:name w:val="[No Paragraph Style]"/>
    <w:rsid w:val="00000B8A"/>
    <w:pPr>
      <w:autoSpaceDE w:val="0"/>
      <w:autoSpaceDN w:val="0"/>
      <w:adjustRightInd w:val="0"/>
      <w:spacing w:line="288" w:lineRule="auto"/>
      <w:textAlignment w:val="center"/>
    </w:pPr>
    <w:rPr>
      <w:rFonts w:ascii="MinionPro-Regular" w:hAnsi="MinionPro-Regular" w:cs="MinionPro-Regular"/>
      <w:color w:val="000000"/>
      <w:lang w:val="en-US"/>
    </w:rPr>
  </w:style>
  <w:style w:type="paragraph" w:customStyle="1" w:styleId="NMHCCoverByline">
    <w:name w:val="NMHC_Cover_Byline"/>
    <w:qFormat/>
    <w:rsid w:val="00A60BB3"/>
    <w:pPr>
      <w:spacing w:line="480" w:lineRule="exact"/>
    </w:pPr>
    <w:rPr>
      <w:rFonts w:ascii="MerriweatherLight" w:hAnsi="MerriweatherLight" w:cs="Roboto-Light"/>
      <w:i/>
      <w:iCs/>
      <w:color w:val="545A60"/>
      <w:sz w:val="44"/>
      <w:szCs w:val="44"/>
    </w:rPr>
  </w:style>
  <w:style w:type="paragraph" w:customStyle="1" w:styleId="Folio-DocumentNameFOLIO">
    <w:name w:val="Folio - Document Name (FOLIO)"/>
    <w:basedOn w:val="NoParagraphStyle"/>
    <w:uiPriority w:val="99"/>
    <w:rsid w:val="00737032"/>
    <w:pPr>
      <w:suppressAutoHyphens/>
      <w:spacing w:line="180" w:lineRule="atLeast"/>
    </w:pPr>
    <w:rPr>
      <w:rFonts w:ascii="Merriweather-Regular" w:hAnsi="Merriweather-Regular" w:cs="Merriweather"/>
      <w:color w:val="5C626C"/>
      <w:spacing w:val="-4"/>
      <w:sz w:val="18"/>
      <w:szCs w:val="18"/>
      <w:lang w:val="en-GB"/>
    </w:rPr>
  </w:style>
  <w:style w:type="numbering" w:customStyle="1" w:styleId="CurrentList2">
    <w:name w:val="Current List2"/>
    <w:uiPriority w:val="99"/>
    <w:rsid w:val="008E5F2F"/>
    <w:pPr>
      <w:numPr>
        <w:numId w:val="5"/>
      </w:numPr>
    </w:pPr>
  </w:style>
  <w:style w:type="paragraph" w:styleId="BodyText">
    <w:name w:val="Body Text"/>
    <w:basedOn w:val="Normal"/>
    <w:link w:val="BodyTextChar"/>
    <w:uiPriority w:val="99"/>
    <w:semiHidden/>
    <w:unhideWhenUsed/>
    <w:rsid w:val="0086622E"/>
    <w:pPr>
      <w:spacing w:after="120"/>
    </w:pPr>
  </w:style>
  <w:style w:type="character" w:customStyle="1" w:styleId="BodyTextChar">
    <w:name w:val="Body Text Char"/>
    <w:basedOn w:val="DefaultParagraphFont"/>
    <w:link w:val="BodyText"/>
    <w:uiPriority w:val="99"/>
    <w:semiHidden/>
    <w:rsid w:val="0086622E"/>
    <w:rPr>
      <w:rFonts w:ascii="Roboto-Light" w:hAnsi="Roboto-Light" w:cs="Roboto-Light"/>
      <w:color w:val="000000"/>
      <w:sz w:val="22"/>
      <w:szCs w:val="22"/>
      <w:lang w:val="en-GB"/>
    </w:rPr>
  </w:style>
  <w:style w:type="character" w:customStyle="1" w:styleId="Heading4Char">
    <w:name w:val="Heading 4 Char"/>
    <w:basedOn w:val="DefaultParagraphFont"/>
    <w:link w:val="Heading4"/>
    <w:uiPriority w:val="9"/>
    <w:rsid w:val="00FD39E1"/>
    <w:rPr>
      <w:rFonts w:ascii="Roboto-Bold" w:hAnsi="Roboto-Bold" w:cs="Roboto-Light"/>
      <w:color w:val="5B626C" w:themeColor="text1"/>
      <w:sz w:val="18"/>
      <w:szCs w:val="22"/>
      <w:lang w:val="en-GB"/>
    </w:rPr>
  </w:style>
  <w:style w:type="numbering" w:customStyle="1" w:styleId="CurrentList1">
    <w:name w:val="Current List1"/>
    <w:uiPriority w:val="99"/>
    <w:rsid w:val="00425001"/>
    <w:pPr>
      <w:numPr>
        <w:numId w:val="3"/>
      </w:numPr>
    </w:pPr>
  </w:style>
  <w:style w:type="paragraph" w:customStyle="1" w:styleId="NMHCCoverTitle">
    <w:name w:val="NMHC_Cover_Title"/>
    <w:basedOn w:val="Normal"/>
    <w:qFormat/>
    <w:rsid w:val="00A60BB3"/>
    <w:pPr>
      <w:spacing w:after="0" w:line="240" w:lineRule="auto"/>
    </w:pPr>
    <w:rPr>
      <w:rFonts w:ascii="Merriweather" w:hAnsi="Merriweather"/>
      <w:color w:val="008143"/>
      <w:sz w:val="100"/>
      <w:lang w:val="en-AU"/>
    </w:rPr>
  </w:style>
  <w:style w:type="table" w:styleId="TableGrid">
    <w:name w:val="Table Grid"/>
    <w:aliases w:val="Table Acronyms"/>
    <w:basedOn w:val="TableNormal"/>
    <w:uiPriority w:val="39"/>
    <w:rsid w:val="00FB4752"/>
    <w:rPr>
      <w:rFonts w:ascii="Roboto Light" w:hAnsi="Roboto Light"/>
    </w:rPr>
    <w:tblPr>
      <w:tblBorders>
        <w:bottom w:val="single" w:sz="4" w:space="0" w:color="008143"/>
        <w:insideH w:val="single" w:sz="4" w:space="0" w:color="008143"/>
      </w:tblBorders>
      <w:tblCellMar>
        <w:top w:w="85" w:type="dxa"/>
        <w:left w:w="85" w:type="dxa"/>
        <w:bottom w:w="85" w:type="dxa"/>
        <w:right w:w="85" w:type="dxa"/>
      </w:tblCellMar>
    </w:tblPr>
  </w:style>
  <w:style w:type="paragraph" w:customStyle="1" w:styleId="NMHCTableName">
    <w:name w:val="NMHC_Table_Name"/>
    <w:basedOn w:val="Heading4"/>
    <w:qFormat/>
    <w:rsid w:val="00263A40"/>
    <w:pPr>
      <w:spacing w:after="240"/>
    </w:pPr>
    <w:rPr>
      <w:rFonts w:ascii="Roboto" w:hAnsi="Roboto"/>
    </w:rPr>
  </w:style>
  <w:style w:type="paragraph" w:customStyle="1" w:styleId="NMHCTableHeaderRow">
    <w:name w:val="NMHC Table Header Row"/>
    <w:basedOn w:val="Normal"/>
    <w:qFormat/>
    <w:rsid w:val="00EA0EAC"/>
    <w:pPr>
      <w:spacing w:after="0" w:line="220" w:lineRule="atLeast"/>
    </w:pPr>
    <w:rPr>
      <w:rFonts w:ascii="Roboto-Bold" w:hAnsi="Roboto-Bold"/>
      <w:color w:val="FFFFFF" w:themeColor="background1"/>
    </w:rPr>
  </w:style>
  <w:style w:type="paragraph" w:customStyle="1" w:styleId="NMHCTableSubheaderRow">
    <w:name w:val="NMHC_Table_Subheader_Row"/>
    <w:basedOn w:val="NMHCTableHeaderRow"/>
    <w:qFormat/>
    <w:rsid w:val="00B40501"/>
    <w:rPr>
      <w:color w:val="008143"/>
    </w:rPr>
  </w:style>
  <w:style w:type="numbering" w:customStyle="1" w:styleId="CurrentList3">
    <w:name w:val="Current List3"/>
    <w:uiPriority w:val="99"/>
    <w:rsid w:val="008E5F2F"/>
    <w:pPr>
      <w:numPr>
        <w:numId w:val="6"/>
      </w:numPr>
    </w:pPr>
  </w:style>
  <w:style w:type="paragraph" w:customStyle="1" w:styleId="NMHCTableNormal">
    <w:name w:val="NMHC_Table_Normal"/>
    <w:basedOn w:val="Normal"/>
    <w:qFormat/>
    <w:rsid w:val="000704BA"/>
    <w:pPr>
      <w:spacing w:after="0" w:line="240" w:lineRule="auto"/>
    </w:pPr>
  </w:style>
  <w:style w:type="paragraph" w:customStyle="1" w:styleId="NMHCTableFootnote">
    <w:name w:val="NMHC_Table_Footnote"/>
    <w:basedOn w:val="Normal"/>
    <w:qFormat/>
    <w:rsid w:val="00C9413B"/>
    <w:pPr>
      <w:spacing w:after="0"/>
    </w:pPr>
    <w:rPr>
      <w:color w:val="171717" w:themeColor="background2" w:themeShade="1A"/>
      <w:sz w:val="16"/>
    </w:rPr>
  </w:style>
  <w:style w:type="character" w:styleId="PlaceholderText">
    <w:name w:val="Placeholder Text"/>
    <w:basedOn w:val="DefaultParagraphFont"/>
    <w:uiPriority w:val="99"/>
    <w:semiHidden/>
    <w:rsid w:val="00A94618"/>
    <w:rPr>
      <w:color w:val="666666"/>
    </w:rPr>
  </w:style>
  <w:style w:type="paragraph" w:customStyle="1" w:styleId="NMHCCoverDate">
    <w:name w:val="NMHC_Cover_Date"/>
    <w:qFormat/>
    <w:rsid w:val="008E4492"/>
    <w:pPr>
      <w:spacing w:line="1100" w:lineRule="exact"/>
    </w:pPr>
    <w:rPr>
      <w:rFonts w:ascii="Merriweather-Regular" w:hAnsi="Merriweather-Regular" w:cs="Roboto-Light"/>
      <w:color w:val="9A9C9F"/>
      <w:sz w:val="100"/>
      <w:szCs w:val="22"/>
    </w:rPr>
  </w:style>
  <w:style w:type="table" w:customStyle="1" w:styleId="NMHCTableNavy">
    <w:name w:val="NMHC Table (Navy)"/>
    <w:basedOn w:val="TableNormal"/>
    <w:uiPriority w:val="99"/>
    <w:rsid w:val="00C9413B"/>
    <w:rPr>
      <w:rFonts w:ascii="Roboto Light" w:hAnsi="Roboto Light"/>
    </w:rPr>
    <w:tblPr>
      <w:tblBorders>
        <w:bottom w:val="single" w:sz="4" w:space="0" w:color="9A9C9F"/>
        <w:insideH w:val="single" w:sz="4" w:space="0" w:color="9A9C9F"/>
        <w:insideV w:val="single" w:sz="4" w:space="0" w:color="9A9C9F"/>
      </w:tblBorders>
    </w:tblPr>
    <w:tcPr>
      <w:vAlign w:val="center"/>
    </w:tcPr>
    <w:tblStylePr w:type="firstRow">
      <w:rPr>
        <w:rFonts w:ascii="Roboto-Light" w:hAnsi="Roboto-Light"/>
        <w:b/>
        <w:i w:val="0"/>
        <w:color w:val="FFFFFF" w:themeColor="background1"/>
        <w:sz w:val="20"/>
      </w:rPr>
      <w:tblPr/>
      <w:tcPr>
        <w:tcBorders>
          <w:insideV w:val="single" w:sz="4" w:space="0" w:color="FFFFFF" w:themeColor="background1"/>
        </w:tcBorders>
        <w:shd w:val="clear" w:color="auto" w:fill="008143"/>
      </w:tcPr>
    </w:tblStylePr>
    <w:tblStylePr w:type="firstCol">
      <w:pPr>
        <w:jc w:val="left"/>
      </w:pPr>
    </w:tblStylePr>
  </w:style>
  <w:style w:type="paragraph" w:customStyle="1" w:styleId="NMHCTableHighlightRow">
    <w:name w:val="NMHC_Table_Highlight_Row"/>
    <w:qFormat/>
    <w:rsid w:val="00A60BB3"/>
    <w:rPr>
      <w:rFonts w:ascii="Roboto" w:hAnsi="Roboto" w:cs="Roboto-Light"/>
      <w:b/>
      <w:bCs/>
      <w:color w:val="008143"/>
      <w:sz w:val="16"/>
      <w:szCs w:val="22"/>
      <w:lang w:val="en-GB"/>
    </w:rPr>
  </w:style>
  <w:style w:type="paragraph" w:customStyle="1" w:styleId="NMHCPullquote">
    <w:name w:val="NMHC_Pullquote"/>
    <w:basedOn w:val="Normal"/>
    <w:qFormat/>
    <w:rsid w:val="00765396"/>
    <w:pPr>
      <w:ind w:left="851" w:right="851"/>
    </w:pPr>
    <w:rPr>
      <w:rFonts w:ascii="Roboto" w:hAnsi="Roboto"/>
      <w:i/>
      <w:iCs/>
      <w:color w:val="008143"/>
    </w:rPr>
  </w:style>
  <w:style w:type="table" w:customStyle="1" w:styleId="NMHCTablePullquote">
    <w:name w:val="NMHC_Table_Pullquote"/>
    <w:basedOn w:val="TableNormal"/>
    <w:uiPriority w:val="99"/>
    <w:rsid w:val="005D53E7"/>
    <w:rPr>
      <w:rFonts w:ascii="Roboto" w:hAnsi="Roboto"/>
      <w:color w:val="292D78"/>
      <w:sz w:val="20"/>
    </w:rPr>
    <w:tblPr>
      <w:tblBorders>
        <w:right w:val="single" w:sz="48" w:space="0" w:color="008143"/>
      </w:tblBorders>
      <w:tblCellMar>
        <w:top w:w="170" w:type="dxa"/>
        <w:left w:w="170" w:type="dxa"/>
        <w:bottom w:w="170" w:type="dxa"/>
        <w:right w:w="170" w:type="dxa"/>
      </w:tblCellMar>
    </w:tblPr>
    <w:tcPr>
      <w:shd w:val="clear" w:color="auto" w:fill="F9F9E5"/>
    </w:tcPr>
  </w:style>
  <w:style w:type="paragraph" w:customStyle="1" w:styleId="NMHCPullquoteHighlightBox">
    <w:name w:val="NMHC_Pullquote_Highlight_Box"/>
    <w:basedOn w:val="Normal"/>
    <w:qFormat/>
    <w:rsid w:val="005D53E7"/>
    <w:pPr>
      <w:keepNext/>
      <w:spacing w:after="0" w:line="260" w:lineRule="exact"/>
      <w:textAlignment w:val="baseline"/>
    </w:pPr>
    <w:rPr>
      <w:rFonts w:ascii="Roboto" w:hAnsi="Roboto"/>
      <w:b/>
      <w:bCs/>
      <w:color w:val="008143"/>
    </w:rPr>
  </w:style>
  <w:style w:type="table" w:customStyle="1" w:styleId="NMHCTableSideColumn">
    <w:name w:val="NMHC_Table_Side_Column"/>
    <w:basedOn w:val="NMHCTableNavy"/>
    <w:uiPriority w:val="99"/>
    <w:rsid w:val="00C9413B"/>
    <w:tblPr/>
    <w:tblStylePr w:type="firstRow">
      <w:rPr>
        <w:rFonts w:ascii="Bahnschrift SemiBold SemiConden" w:hAnsi="Bahnschrift SemiBold SemiConden"/>
        <w:b/>
        <w:i w:val="0"/>
        <w:color w:val="FFFFFF" w:themeColor="background1"/>
        <w:sz w:val="20"/>
      </w:rPr>
      <w:tblPr/>
      <w:tcPr>
        <w:tcBorders>
          <w:bottom w:val="single" w:sz="6" w:space="0" w:color="FFFFFF" w:themeColor="background1"/>
          <w:insideH w:val="nil"/>
          <w:insideV w:val="single" w:sz="6" w:space="0" w:color="FFFFFF" w:themeColor="background1"/>
        </w:tcBorders>
        <w:shd w:val="clear" w:color="auto" w:fill="008143"/>
      </w:tcPr>
    </w:tblStylePr>
    <w:tblStylePr w:type="firstCol">
      <w:pPr>
        <w:jc w:val="left"/>
      </w:pPr>
      <w:tblPr/>
      <w:tcPr>
        <w:shd w:val="clear" w:color="auto" w:fill="F9F9E5"/>
      </w:tcPr>
    </w:tblStylePr>
  </w:style>
  <w:style w:type="paragraph" w:customStyle="1" w:styleId="Heading1White">
    <w:name w:val="Heading 1 White"/>
    <w:basedOn w:val="Heading1"/>
    <w:qFormat/>
    <w:rsid w:val="00503DF8"/>
    <w:rPr>
      <w:color w:val="FFFFFF" w:themeColor="background1"/>
    </w:rPr>
  </w:style>
  <w:style w:type="paragraph" w:customStyle="1" w:styleId="NMHCIntroParagraphWhite">
    <w:name w:val="NMHC Intro Paragraph White"/>
    <w:basedOn w:val="NMHCIntroParagraph"/>
    <w:qFormat/>
    <w:rsid w:val="00A60BB3"/>
    <w:rPr>
      <w:color w:val="FFFFFF" w:themeColor="background1"/>
    </w:rPr>
  </w:style>
  <w:style w:type="paragraph" w:customStyle="1" w:styleId="NormalWhite">
    <w:name w:val="Normal White"/>
    <w:basedOn w:val="Normal"/>
    <w:qFormat/>
    <w:rsid w:val="00912425"/>
    <w:rPr>
      <w:rFonts w:ascii="Roboto" w:hAnsi="Roboto"/>
      <w:color w:val="FFFFFF" w:themeColor="background1"/>
    </w:rPr>
  </w:style>
  <w:style w:type="paragraph" w:customStyle="1" w:styleId="NMHCBackCoverWebsite">
    <w:name w:val="NMHC_BackCover_Website"/>
    <w:basedOn w:val="Normal"/>
    <w:qFormat/>
    <w:rsid w:val="00A60BB3"/>
    <w:rPr>
      <w:rFonts w:ascii="Roboto" w:hAnsi="Roboto"/>
      <w:b/>
      <w:bCs/>
      <w:color w:val="008143"/>
      <w:sz w:val="20"/>
      <w:szCs w:val="20"/>
      <w:lang w:val="en-AU"/>
    </w:rPr>
  </w:style>
  <w:style w:type="paragraph" w:customStyle="1" w:styleId="NMHCAppendixHeading">
    <w:name w:val="NMHC_Appendix Heading"/>
    <w:qFormat/>
    <w:rsid w:val="00323FAA"/>
    <w:rPr>
      <w:rFonts w:ascii="Merriweather" w:hAnsi="Merriweather" w:cs="Roboto-Light"/>
      <w:bCs/>
      <w:color w:val="008143"/>
      <w:sz w:val="80"/>
      <w:szCs w:val="22"/>
    </w:rPr>
  </w:style>
  <w:style w:type="paragraph" w:customStyle="1" w:styleId="NMHCAppendixByline">
    <w:name w:val="NMHC_Appendix_Byline"/>
    <w:qFormat/>
    <w:rsid w:val="00BD2A6B"/>
    <w:rPr>
      <w:rFonts w:ascii="Merriweather" w:hAnsi="Merriweather" w:cs="Roboto-Light"/>
      <w:bCs/>
      <w:color w:val="545A60"/>
      <w:sz w:val="40"/>
      <w:szCs w:val="40"/>
    </w:rPr>
  </w:style>
  <w:style w:type="paragraph" w:styleId="TOCHeading">
    <w:name w:val="TOC Heading"/>
    <w:basedOn w:val="Heading1"/>
    <w:next w:val="Normal"/>
    <w:uiPriority w:val="39"/>
    <w:unhideWhenUsed/>
    <w:qFormat/>
    <w:rsid w:val="00254862"/>
    <w:pPr>
      <w:suppressAutoHyphens w:val="0"/>
      <w:autoSpaceDE/>
      <w:autoSpaceDN/>
      <w:adjustRightInd/>
      <w:spacing w:before="480" w:after="0" w:line="276" w:lineRule="auto"/>
      <w:textAlignment w:val="auto"/>
      <w:outlineLvl w:val="9"/>
    </w:pPr>
    <w:rPr>
      <w:rFonts w:ascii="Merriweather" w:hAnsi="Merriweather"/>
      <w:bCs/>
      <w:color w:val="545A60"/>
      <w:szCs w:val="28"/>
      <w:lang w:val="en-US"/>
    </w:rPr>
  </w:style>
  <w:style w:type="paragraph" w:styleId="TOC1">
    <w:name w:val="toc 1"/>
    <w:basedOn w:val="Normal"/>
    <w:next w:val="NoParagraphStyle"/>
    <w:autoRedefine/>
    <w:uiPriority w:val="39"/>
    <w:unhideWhenUsed/>
    <w:rsid w:val="00FB40F9"/>
    <w:pPr>
      <w:tabs>
        <w:tab w:val="right" w:leader="underscore" w:pos="9622"/>
      </w:tabs>
      <w:spacing w:before="240" w:after="0"/>
    </w:pPr>
    <w:rPr>
      <w:rFonts w:ascii="Merriweather" w:hAnsi="Merriweather" w:cs="Calibri (Body)"/>
      <w:bCs/>
      <w:iCs/>
      <w:noProof/>
      <w:color w:val="545A60"/>
      <w:sz w:val="24"/>
      <w:szCs w:val="24"/>
    </w:rPr>
  </w:style>
  <w:style w:type="paragraph" w:styleId="TOC2">
    <w:name w:val="toc 2"/>
    <w:basedOn w:val="Normal"/>
    <w:next w:val="Normal"/>
    <w:autoRedefine/>
    <w:uiPriority w:val="39"/>
    <w:unhideWhenUsed/>
    <w:rsid w:val="00254862"/>
    <w:pPr>
      <w:tabs>
        <w:tab w:val="right" w:leader="underscore" w:pos="9622"/>
      </w:tabs>
      <w:spacing w:before="240" w:after="120"/>
      <w:ind w:left="181"/>
    </w:pPr>
    <w:rPr>
      <w:rFonts w:ascii="Roboto" w:hAnsi="Roboto" w:cstheme="minorHAnsi"/>
      <w:bCs/>
      <w:color w:val="008143"/>
      <w:sz w:val="22"/>
    </w:rPr>
  </w:style>
  <w:style w:type="paragraph" w:styleId="TOC3">
    <w:name w:val="toc 3"/>
    <w:basedOn w:val="Normal"/>
    <w:next w:val="Normal"/>
    <w:autoRedefine/>
    <w:uiPriority w:val="39"/>
    <w:unhideWhenUsed/>
    <w:rsid w:val="00254862"/>
    <w:pPr>
      <w:tabs>
        <w:tab w:val="right" w:leader="underscore" w:pos="9622"/>
      </w:tabs>
      <w:spacing w:after="0"/>
      <w:ind w:left="357"/>
    </w:pPr>
    <w:rPr>
      <w:rFonts w:ascii="Roboto" w:hAnsi="Roboto" w:cstheme="minorHAnsi"/>
      <w:color w:val="545A60"/>
      <w:sz w:val="20"/>
      <w:szCs w:val="20"/>
    </w:rPr>
  </w:style>
  <w:style w:type="paragraph" w:styleId="TOC4">
    <w:name w:val="toc 4"/>
    <w:basedOn w:val="Normal"/>
    <w:next w:val="Normal"/>
    <w:autoRedefine/>
    <w:uiPriority w:val="39"/>
    <w:unhideWhenUsed/>
    <w:rsid w:val="004B25A9"/>
    <w:pPr>
      <w:spacing w:after="0"/>
      <w:ind w:left="540"/>
    </w:pPr>
    <w:rPr>
      <w:rFonts w:asciiTheme="minorHAnsi" w:hAnsiTheme="minorHAnsi" w:cstheme="minorHAnsi"/>
      <w:sz w:val="20"/>
      <w:szCs w:val="20"/>
    </w:rPr>
  </w:style>
  <w:style w:type="paragraph" w:styleId="TOC5">
    <w:name w:val="toc 5"/>
    <w:basedOn w:val="Normal"/>
    <w:next w:val="Normal"/>
    <w:autoRedefine/>
    <w:uiPriority w:val="39"/>
    <w:unhideWhenUsed/>
    <w:rsid w:val="004B25A9"/>
    <w:pPr>
      <w:spacing w:after="0"/>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4B25A9"/>
    <w:pPr>
      <w:spacing w:after="0"/>
      <w:ind w:left="900"/>
    </w:pPr>
    <w:rPr>
      <w:rFonts w:asciiTheme="minorHAnsi" w:hAnsiTheme="minorHAnsi" w:cstheme="minorHAnsi"/>
      <w:sz w:val="20"/>
      <w:szCs w:val="20"/>
    </w:rPr>
  </w:style>
  <w:style w:type="paragraph" w:styleId="TOC7">
    <w:name w:val="toc 7"/>
    <w:basedOn w:val="Normal"/>
    <w:next w:val="Normal"/>
    <w:autoRedefine/>
    <w:uiPriority w:val="39"/>
    <w:unhideWhenUsed/>
    <w:rsid w:val="004B25A9"/>
    <w:pPr>
      <w:spacing w:after="0"/>
      <w:ind w:left="1080"/>
    </w:pPr>
    <w:rPr>
      <w:rFonts w:asciiTheme="minorHAnsi" w:hAnsiTheme="minorHAnsi" w:cstheme="minorHAnsi"/>
      <w:sz w:val="20"/>
      <w:szCs w:val="20"/>
    </w:rPr>
  </w:style>
  <w:style w:type="paragraph" w:styleId="TOC8">
    <w:name w:val="toc 8"/>
    <w:basedOn w:val="Normal"/>
    <w:next w:val="Normal"/>
    <w:autoRedefine/>
    <w:uiPriority w:val="39"/>
    <w:unhideWhenUsed/>
    <w:rsid w:val="004B25A9"/>
    <w:pPr>
      <w:spacing w:after="0"/>
      <w:ind w:left="1260"/>
    </w:pPr>
    <w:rPr>
      <w:rFonts w:asciiTheme="minorHAnsi" w:hAnsiTheme="minorHAnsi" w:cstheme="minorHAnsi"/>
      <w:sz w:val="20"/>
      <w:szCs w:val="20"/>
    </w:rPr>
  </w:style>
  <w:style w:type="paragraph" w:styleId="TOC9">
    <w:name w:val="toc 9"/>
    <w:basedOn w:val="Normal"/>
    <w:next w:val="Normal"/>
    <w:autoRedefine/>
    <w:uiPriority w:val="39"/>
    <w:unhideWhenUsed/>
    <w:rsid w:val="004B25A9"/>
    <w:pPr>
      <w:spacing w:after="0"/>
      <w:ind w:left="1440"/>
    </w:pPr>
    <w:rPr>
      <w:rFonts w:asciiTheme="minorHAnsi" w:hAnsiTheme="minorHAnsi" w:cstheme="minorHAnsi"/>
      <w:sz w:val="20"/>
      <w:szCs w:val="20"/>
    </w:rPr>
  </w:style>
  <w:style w:type="paragraph" w:styleId="ListNumber">
    <w:name w:val="List Number"/>
    <w:basedOn w:val="Normal"/>
    <w:uiPriority w:val="99"/>
    <w:unhideWhenUsed/>
    <w:rsid w:val="00A60BB3"/>
    <w:pPr>
      <w:numPr>
        <w:numId w:val="4"/>
      </w:numPr>
      <w:contextualSpacing/>
    </w:pPr>
  </w:style>
  <w:style w:type="paragraph" w:styleId="ListBullet">
    <w:name w:val="List Bullet"/>
    <w:basedOn w:val="ListParagraph"/>
    <w:uiPriority w:val="99"/>
    <w:unhideWhenUsed/>
    <w:rsid w:val="00765396"/>
    <w:pPr>
      <w:numPr>
        <w:numId w:val="8"/>
      </w:numPr>
      <w:spacing w:after="60"/>
      <w:ind w:left="255" w:hanging="255"/>
      <w:contextualSpacing w:val="0"/>
    </w:pPr>
  </w:style>
  <w:style w:type="paragraph" w:styleId="ListBullet2">
    <w:name w:val="List Bullet 2"/>
    <w:basedOn w:val="Normal"/>
    <w:uiPriority w:val="99"/>
    <w:unhideWhenUsed/>
    <w:rsid w:val="00765396"/>
    <w:pPr>
      <w:numPr>
        <w:numId w:val="1"/>
      </w:numPr>
      <w:tabs>
        <w:tab w:val="clear" w:pos="454"/>
        <w:tab w:val="left" w:pos="567"/>
      </w:tabs>
      <w:spacing w:after="60"/>
      <w:ind w:left="510" w:hanging="255"/>
    </w:pPr>
  </w:style>
  <w:style w:type="numbering" w:customStyle="1" w:styleId="CurrentList4">
    <w:name w:val="Current List4"/>
    <w:uiPriority w:val="99"/>
    <w:rsid w:val="00A60BB3"/>
    <w:pPr>
      <w:numPr>
        <w:numId w:val="7"/>
      </w:numPr>
    </w:pPr>
  </w:style>
  <w:style w:type="numbering" w:customStyle="1" w:styleId="CurrentList5">
    <w:name w:val="Current List5"/>
    <w:uiPriority w:val="99"/>
    <w:rsid w:val="00A60BB3"/>
    <w:pPr>
      <w:numPr>
        <w:numId w:val="9"/>
      </w:numPr>
    </w:pPr>
  </w:style>
  <w:style w:type="numbering" w:customStyle="1" w:styleId="CurrentList6">
    <w:name w:val="Current List6"/>
    <w:uiPriority w:val="99"/>
    <w:rsid w:val="00DC2A3F"/>
    <w:pPr>
      <w:numPr>
        <w:numId w:val="10"/>
      </w:numPr>
    </w:pPr>
  </w:style>
  <w:style w:type="paragraph" w:customStyle="1" w:styleId="NMHCAppendixHeadingSmaller">
    <w:name w:val="NMHC_Appendix_Heading_Smaller"/>
    <w:basedOn w:val="Heading1"/>
    <w:qFormat/>
    <w:rsid w:val="00323FAA"/>
    <w:pPr>
      <w:suppressAutoHyphens w:val="0"/>
      <w:autoSpaceDE/>
      <w:autoSpaceDN/>
      <w:adjustRightInd/>
      <w:spacing w:after="60" w:line="240" w:lineRule="auto"/>
      <w:textAlignment w:val="auto"/>
    </w:pPr>
    <w:rPr>
      <w:color w:val="008143"/>
      <w:sz w:val="28"/>
    </w:rPr>
  </w:style>
  <w:style w:type="paragraph" w:customStyle="1" w:styleId="NMHCAcronymAbbreviation">
    <w:name w:val="NMHC Acronym Abbreviation"/>
    <w:basedOn w:val="Normal"/>
    <w:qFormat/>
    <w:rsid w:val="00FB4752"/>
    <w:pPr>
      <w:spacing w:after="0" w:line="240" w:lineRule="auto"/>
      <w:jc w:val="right"/>
    </w:pPr>
    <w:rPr>
      <w:rFonts w:ascii="Roboto" w:hAnsi="Roboto"/>
      <w:b/>
      <w:color w:val="008143"/>
    </w:rPr>
  </w:style>
  <w:style w:type="paragraph" w:customStyle="1" w:styleId="NMHCNormalAcronymbAbbreviations">
    <w:name w:val="NMHC Normal Acronymb Abbreviations"/>
    <w:basedOn w:val="Normal"/>
    <w:qFormat/>
    <w:rsid w:val="00FB4752"/>
    <w:pPr>
      <w:spacing w:after="0" w:line="240" w:lineRule="auto"/>
    </w:pPr>
    <w:rPr>
      <w:rFonts w:ascii="Roboto Light" w:hAnsi="Roboto Light"/>
    </w:rPr>
  </w:style>
  <w:style w:type="paragraph" w:customStyle="1" w:styleId="NMHCGlossarySubheading">
    <w:name w:val="NMHC Glossary Subheading"/>
    <w:qFormat/>
    <w:rsid w:val="00FB4752"/>
    <w:rPr>
      <w:rFonts w:ascii="Roboto" w:eastAsiaTheme="majorEastAsia" w:hAnsi="Roboto" w:cstheme="majorBidi"/>
      <w:b/>
      <w:color w:val="008143"/>
      <w:sz w:val="18"/>
      <w:lang w:val="en-GB"/>
    </w:rPr>
  </w:style>
  <w:style w:type="paragraph" w:styleId="Caption">
    <w:name w:val="caption"/>
    <w:basedOn w:val="Normal"/>
    <w:next w:val="Normal"/>
    <w:uiPriority w:val="35"/>
    <w:unhideWhenUsed/>
    <w:qFormat/>
    <w:rsid w:val="005D53E7"/>
    <w:pPr>
      <w:spacing w:after="320" w:line="240" w:lineRule="auto"/>
    </w:pPr>
    <w:rPr>
      <w:rFonts w:ascii="Roboto Light" w:hAnsi="Roboto Light"/>
      <w:i/>
      <w:iCs/>
      <w:color w:val="171717" w:themeColor="background2" w:themeShade="1A"/>
      <w:szCs w:val="18"/>
    </w:rPr>
  </w:style>
  <w:style w:type="paragraph" w:customStyle="1" w:styleId="NormalBeforeBullet">
    <w:name w:val="NormalBeforeBullet"/>
    <w:basedOn w:val="Normal"/>
    <w:qFormat/>
    <w:rsid w:val="00263A40"/>
    <w:pPr>
      <w:keepNext/>
      <w:suppressAutoHyphens w:val="0"/>
      <w:autoSpaceDE/>
      <w:autoSpaceDN/>
      <w:adjustRightInd/>
      <w:spacing w:after="60"/>
      <w:textAlignment w:val="auto"/>
    </w:pPr>
    <w:rPr>
      <w:rFonts w:ascii="Roboto Light" w:eastAsia="Times New Roman" w:hAnsi="Roboto Light" w:cs="Times New Roman"/>
      <w:szCs w:val="20"/>
      <w:lang w:val="en-AU"/>
    </w:rPr>
  </w:style>
  <w:style w:type="character" w:customStyle="1" w:styleId="NMHCHyperlinkCharacter">
    <w:name w:val="NMHC_Hyperlink_Character"/>
    <w:basedOn w:val="DefaultParagraphFont"/>
    <w:uiPriority w:val="1"/>
    <w:qFormat/>
    <w:rsid w:val="00340874"/>
    <w:rPr>
      <w:rFonts w:ascii="Roboto Medium" w:hAnsi="Roboto Medium"/>
      <w:b w:val="0"/>
      <w:i w:val="0"/>
      <w:color w:val="008143"/>
      <w:u w:val="single"/>
    </w:rPr>
  </w:style>
  <w:style w:type="paragraph" w:customStyle="1" w:styleId="NMHCCoverTitleSmall">
    <w:name w:val="NMHC_Cover_Title_Small"/>
    <w:basedOn w:val="NMHCCoverTitle"/>
    <w:qFormat/>
    <w:rsid w:val="00823B91"/>
    <w:rPr>
      <w:sz w:val="48"/>
    </w:rPr>
  </w:style>
  <w:style w:type="paragraph" w:customStyle="1" w:styleId="NMHCCoverDateSmall">
    <w:name w:val="NMHC_Cover_Date_Small"/>
    <w:basedOn w:val="NMHCCoverDate"/>
    <w:qFormat/>
    <w:rsid w:val="00823B91"/>
    <w:pPr>
      <w:spacing w:line="240" w:lineRule="auto"/>
    </w:pPr>
    <w:rPr>
      <w:sz w:val="48"/>
    </w:rPr>
  </w:style>
  <w:style w:type="paragraph" w:customStyle="1" w:styleId="NMHCCoverBylineSmall">
    <w:name w:val="NMHC_Cover_Byline_Small"/>
    <w:basedOn w:val="NMHCCoverByline"/>
    <w:qFormat/>
    <w:rsid w:val="00823B91"/>
    <w:rPr>
      <w:sz w:val="28"/>
    </w:rPr>
  </w:style>
  <w:style w:type="character" w:customStyle="1" w:styleId="Heading5Char">
    <w:name w:val="Heading 5 Char"/>
    <w:basedOn w:val="DefaultParagraphFont"/>
    <w:link w:val="Heading5"/>
    <w:uiPriority w:val="9"/>
    <w:rsid w:val="00EE41ED"/>
    <w:rPr>
      <w:rFonts w:eastAsiaTheme="majorEastAsia" w:cstheme="majorBidi"/>
      <w:color w:val="1E2059" w:themeColor="accent1" w:themeShade="BF"/>
      <w:lang w:val="en-GB" w:eastAsia="ja-JP"/>
    </w:rPr>
  </w:style>
  <w:style w:type="character" w:customStyle="1" w:styleId="Heading6Char">
    <w:name w:val="Heading 6 Char"/>
    <w:basedOn w:val="DefaultParagraphFont"/>
    <w:link w:val="Heading6"/>
    <w:uiPriority w:val="9"/>
    <w:rsid w:val="00EE41ED"/>
    <w:rPr>
      <w:rFonts w:eastAsiaTheme="majorEastAsia" w:cstheme="majorBidi"/>
      <w:i/>
      <w:iCs/>
      <w:color w:val="9198A2" w:themeColor="text1" w:themeTint="A6"/>
      <w:lang w:val="en-GB" w:eastAsia="ja-JP"/>
    </w:rPr>
  </w:style>
  <w:style w:type="character" w:customStyle="1" w:styleId="Heading7Char">
    <w:name w:val="Heading 7 Char"/>
    <w:basedOn w:val="DefaultParagraphFont"/>
    <w:link w:val="Heading7"/>
    <w:uiPriority w:val="9"/>
    <w:rsid w:val="00EE41ED"/>
    <w:rPr>
      <w:rFonts w:eastAsiaTheme="majorEastAsia" w:cstheme="majorBidi"/>
      <w:color w:val="9198A2" w:themeColor="text1" w:themeTint="A6"/>
      <w:lang w:val="en-GB" w:eastAsia="ja-JP"/>
    </w:rPr>
  </w:style>
  <w:style w:type="character" w:customStyle="1" w:styleId="Heading8Char">
    <w:name w:val="Heading 8 Char"/>
    <w:basedOn w:val="DefaultParagraphFont"/>
    <w:link w:val="Heading8"/>
    <w:uiPriority w:val="9"/>
    <w:rsid w:val="00EE41ED"/>
    <w:rPr>
      <w:rFonts w:eastAsiaTheme="majorEastAsia" w:cstheme="majorBidi"/>
      <w:i/>
      <w:iCs/>
      <w:color w:val="707985" w:themeColor="text1" w:themeTint="D8"/>
      <w:lang w:val="en-GB" w:eastAsia="ja-JP"/>
    </w:rPr>
  </w:style>
  <w:style w:type="character" w:customStyle="1" w:styleId="Heading9Char">
    <w:name w:val="Heading 9 Char"/>
    <w:basedOn w:val="DefaultParagraphFont"/>
    <w:link w:val="Heading9"/>
    <w:uiPriority w:val="9"/>
    <w:rsid w:val="00EE41ED"/>
    <w:rPr>
      <w:rFonts w:eastAsiaTheme="majorEastAsia" w:cstheme="majorBidi"/>
      <w:color w:val="707985" w:themeColor="text1" w:themeTint="D8"/>
      <w:lang w:val="en-GB" w:eastAsia="ja-JP"/>
    </w:rPr>
  </w:style>
  <w:style w:type="character" w:customStyle="1" w:styleId="TitleChar">
    <w:name w:val="Title Char"/>
    <w:basedOn w:val="DefaultParagraphFont"/>
    <w:link w:val="Title"/>
    <w:uiPriority w:val="10"/>
    <w:rsid w:val="00EE41ED"/>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rsid w:val="00EE41ED"/>
    <w:pPr>
      <w:suppressAutoHyphens w:val="0"/>
      <w:autoSpaceDE/>
      <w:autoSpaceDN/>
      <w:adjustRightInd/>
      <w:spacing w:after="80" w:line="240" w:lineRule="auto"/>
      <w:contextualSpacing/>
      <w:textAlignment w:val="auto"/>
    </w:pPr>
    <w:rPr>
      <w:rFonts w:asciiTheme="majorHAnsi" w:eastAsiaTheme="majorEastAsia" w:hAnsiTheme="majorHAnsi" w:cstheme="majorBidi"/>
      <w:color w:val="auto"/>
      <w:spacing w:val="-10"/>
      <w:kern w:val="28"/>
      <w:sz w:val="56"/>
      <w:szCs w:val="56"/>
      <w:lang w:val="en-AU"/>
    </w:rPr>
  </w:style>
  <w:style w:type="character" w:customStyle="1" w:styleId="TitleChar1">
    <w:name w:val="Title Char1"/>
    <w:basedOn w:val="DefaultParagraphFont"/>
    <w:uiPriority w:val="10"/>
    <w:rsid w:val="00EE41ED"/>
    <w:rPr>
      <w:rFonts w:asciiTheme="majorHAnsi" w:eastAsiaTheme="majorEastAsia" w:hAnsiTheme="majorHAnsi" w:cstheme="majorBidi"/>
      <w:spacing w:val="-10"/>
      <w:kern w:val="28"/>
      <w:sz w:val="56"/>
      <w:szCs w:val="56"/>
      <w:lang w:val="en-GB"/>
    </w:rPr>
  </w:style>
  <w:style w:type="character" w:customStyle="1" w:styleId="SubtitleChar">
    <w:name w:val="Subtitle Char"/>
    <w:basedOn w:val="DefaultParagraphFont"/>
    <w:link w:val="Subtitle"/>
    <w:uiPriority w:val="11"/>
    <w:rsid w:val="00EE41ED"/>
    <w:rPr>
      <w:rFonts w:eastAsiaTheme="majorEastAsia" w:cstheme="majorBidi"/>
      <w:color w:val="9198A2" w:themeColor="text1" w:themeTint="A6"/>
      <w:spacing w:val="15"/>
      <w:sz w:val="28"/>
      <w:szCs w:val="28"/>
    </w:rPr>
  </w:style>
  <w:style w:type="paragraph" w:styleId="Subtitle">
    <w:name w:val="Subtitle"/>
    <w:basedOn w:val="Normal"/>
    <w:next w:val="Normal"/>
    <w:link w:val="SubtitleChar"/>
    <w:uiPriority w:val="11"/>
    <w:qFormat/>
    <w:rsid w:val="00EE41ED"/>
    <w:pPr>
      <w:numPr>
        <w:ilvl w:val="1"/>
      </w:numPr>
      <w:suppressAutoHyphens w:val="0"/>
      <w:autoSpaceDE/>
      <w:autoSpaceDN/>
      <w:adjustRightInd/>
      <w:spacing w:after="160" w:line="279" w:lineRule="auto"/>
      <w:textAlignment w:val="auto"/>
    </w:pPr>
    <w:rPr>
      <w:rFonts w:asciiTheme="minorHAnsi" w:eastAsiaTheme="majorEastAsia" w:hAnsiTheme="minorHAnsi" w:cstheme="majorBidi"/>
      <w:color w:val="9198A2" w:themeColor="text1" w:themeTint="A6"/>
      <w:spacing w:val="15"/>
      <w:sz w:val="28"/>
      <w:szCs w:val="28"/>
      <w:lang w:val="en-AU"/>
    </w:rPr>
  </w:style>
  <w:style w:type="character" w:customStyle="1" w:styleId="SubtitleChar1">
    <w:name w:val="Subtitle Char1"/>
    <w:basedOn w:val="DefaultParagraphFont"/>
    <w:uiPriority w:val="11"/>
    <w:rsid w:val="00EE41ED"/>
    <w:rPr>
      <w:rFonts w:eastAsiaTheme="minorEastAsia"/>
      <w:color w:val="9198A3" w:themeColor="text1" w:themeTint="A5"/>
      <w:spacing w:val="15"/>
      <w:sz w:val="22"/>
      <w:szCs w:val="22"/>
      <w:lang w:val="en-GB"/>
    </w:rPr>
  </w:style>
  <w:style w:type="character" w:styleId="IntenseEmphasis">
    <w:name w:val="Intense Emphasis"/>
    <w:basedOn w:val="DefaultParagraphFont"/>
    <w:uiPriority w:val="21"/>
    <w:qFormat/>
    <w:rsid w:val="00EE41ED"/>
    <w:rPr>
      <w:i/>
      <w:iCs/>
      <w:color w:val="1E2059" w:themeColor="accent1" w:themeShade="BF"/>
    </w:rPr>
  </w:style>
  <w:style w:type="character" w:customStyle="1" w:styleId="QuoteChar">
    <w:name w:val="Quote Char"/>
    <w:basedOn w:val="DefaultParagraphFont"/>
    <w:link w:val="Quote"/>
    <w:uiPriority w:val="29"/>
    <w:rsid w:val="00EE41ED"/>
    <w:rPr>
      <w:i/>
      <w:iCs/>
      <w:color w:val="808894" w:themeColor="text1" w:themeTint="BF"/>
    </w:rPr>
  </w:style>
  <w:style w:type="paragraph" w:styleId="Quote">
    <w:name w:val="Quote"/>
    <w:basedOn w:val="Normal"/>
    <w:next w:val="Normal"/>
    <w:link w:val="QuoteChar"/>
    <w:uiPriority w:val="29"/>
    <w:qFormat/>
    <w:rsid w:val="00EE41ED"/>
    <w:pPr>
      <w:suppressAutoHyphens w:val="0"/>
      <w:autoSpaceDE/>
      <w:autoSpaceDN/>
      <w:adjustRightInd/>
      <w:spacing w:before="160" w:after="160" w:line="279" w:lineRule="auto"/>
      <w:jc w:val="center"/>
      <w:textAlignment w:val="auto"/>
    </w:pPr>
    <w:rPr>
      <w:rFonts w:asciiTheme="minorHAnsi" w:hAnsiTheme="minorHAnsi" w:cstheme="minorBidi"/>
      <w:i/>
      <w:iCs/>
      <w:color w:val="808894" w:themeColor="text1" w:themeTint="BF"/>
      <w:sz w:val="24"/>
      <w:szCs w:val="24"/>
      <w:lang w:val="en-AU"/>
    </w:rPr>
  </w:style>
  <w:style w:type="character" w:customStyle="1" w:styleId="QuoteChar1">
    <w:name w:val="Quote Char1"/>
    <w:basedOn w:val="DefaultParagraphFont"/>
    <w:uiPriority w:val="29"/>
    <w:rsid w:val="00EE41ED"/>
    <w:rPr>
      <w:rFonts w:ascii="Roboto-Light" w:hAnsi="Roboto-Light" w:cs="Roboto-Light"/>
      <w:i/>
      <w:iCs/>
      <w:color w:val="808894" w:themeColor="text1" w:themeTint="BF"/>
      <w:sz w:val="18"/>
      <w:szCs w:val="22"/>
      <w:lang w:val="en-GB"/>
    </w:rPr>
  </w:style>
  <w:style w:type="character" w:customStyle="1" w:styleId="IntenseQuoteChar">
    <w:name w:val="Intense Quote Char"/>
    <w:basedOn w:val="DefaultParagraphFont"/>
    <w:link w:val="IntenseQuote"/>
    <w:uiPriority w:val="30"/>
    <w:rsid w:val="00EE41ED"/>
    <w:rPr>
      <w:i/>
      <w:iCs/>
      <w:color w:val="1E2059" w:themeColor="accent1" w:themeShade="BF"/>
    </w:rPr>
  </w:style>
  <w:style w:type="paragraph" w:styleId="IntenseQuote">
    <w:name w:val="Intense Quote"/>
    <w:basedOn w:val="Normal"/>
    <w:next w:val="Normal"/>
    <w:link w:val="IntenseQuoteChar"/>
    <w:uiPriority w:val="30"/>
    <w:qFormat/>
    <w:rsid w:val="00EE41ED"/>
    <w:pPr>
      <w:pBdr>
        <w:top w:val="single" w:sz="4" w:space="10" w:color="1E2059" w:themeColor="accent1" w:themeShade="BF"/>
        <w:bottom w:val="single" w:sz="4" w:space="10" w:color="1E2059" w:themeColor="accent1" w:themeShade="BF"/>
      </w:pBdr>
      <w:suppressAutoHyphens w:val="0"/>
      <w:autoSpaceDE/>
      <w:autoSpaceDN/>
      <w:adjustRightInd/>
      <w:spacing w:before="360" w:after="360" w:line="279" w:lineRule="auto"/>
      <w:ind w:left="864" w:right="864"/>
      <w:jc w:val="center"/>
      <w:textAlignment w:val="auto"/>
    </w:pPr>
    <w:rPr>
      <w:rFonts w:asciiTheme="minorHAnsi" w:hAnsiTheme="minorHAnsi" w:cstheme="minorBidi"/>
      <w:i/>
      <w:iCs/>
      <w:color w:val="1E2059" w:themeColor="accent1" w:themeShade="BF"/>
      <w:sz w:val="24"/>
      <w:szCs w:val="24"/>
      <w:lang w:val="en-AU"/>
    </w:rPr>
  </w:style>
  <w:style w:type="character" w:customStyle="1" w:styleId="IntenseQuoteChar1">
    <w:name w:val="Intense Quote Char1"/>
    <w:basedOn w:val="DefaultParagraphFont"/>
    <w:uiPriority w:val="30"/>
    <w:rsid w:val="00EE41ED"/>
    <w:rPr>
      <w:rFonts w:ascii="Roboto-Light" w:hAnsi="Roboto-Light" w:cs="Roboto-Light"/>
      <w:i/>
      <w:iCs/>
      <w:color w:val="282C78" w:themeColor="accent1"/>
      <w:sz w:val="18"/>
      <w:szCs w:val="22"/>
      <w:lang w:val="en-GB"/>
    </w:rPr>
  </w:style>
  <w:style w:type="character" w:styleId="IntenseReference">
    <w:name w:val="Intense Reference"/>
    <w:basedOn w:val="DefaultParagraphFont"/>
    <w:uiPriority w:val="32"/>
    <w:qFormat/>
    <w:rsid w:val="00EE41ED"/>
    <w:rPr>
      <w:b/>
      <w:bCs/>
      <w:smallCaps/>
      <w:color w:val="1E2059" w:themeColor="accent1" w:themeShade="BF"/>
      <w:spacing w:val="5"/>
    </w:rPr>
  </w:style>
  <w:style w:type="numbering" w:customStyle="1" w:styleId="NoList1">
    <w:name w:val="No List1"/>
    <w:next w:val="NoList"/>
    <w:uiPriority w:val="99"/>
    <w:semiHidden/>
    <w:unhideWhenUsed/>
    <w:rsid w:val="00EE41ED"/>
  </w:style>
  <w:style w:type="paragraph" w:customStyle="1" w:styleId="Header1">
    <w:name w:val="Header1"/>
    <w:basedOn w:val="Normal"/>
    <w:next w:val="Header"/>
    <w:uiPriority w:val="99"/>
    <w:unhideWhenUsed/>
    <w:rsid w:val="00EE41ED"/>
    <w:pPr>
      <w:tabs>
        <w:tab w:val="center" w:pos="4680"/>
        <w:tab w:val="right" w:pos="9360"/>
      </w:tabs>
    </w:pPr>
    <w:rPr>
      <w:rFonts w:eastAsiaTheme="minorEastAsia"/>
      <w:lang w:eastAsia="ja-JP"/>
    </w:rPr>
  </w:style>
  <w:style w:type="paragraph" w:customStyle="1" w:styleId="Footer1">
    <w:name w:val="Footer1"/>
    <w:basedOn w:val="Normal"/>
    <w:next w:val="Footer"/>
    <w:uiPriority w:val="99"/>
    <w:unhideWhenUsed/>
    <w:rsid w:val="00EE41ED"/>
    <w:pPr>
      <w:tabs>
        <w:tab w:val="center" w:pos="4680"/>
        <w:tab w:val="right" w:pos="9360"/>
      </w:tabs>
    </w:pPr>
    <w:rPr>
      <w:rFonts w:eastAsiaTheme="minorEastAsia"/>
      <w:color w:val="5C626C"/>
      <w:lang w:eastAsia="ja-JP"/>
    </w:rPr>
  </w:style>
  <w:style w:type="character" w:customStyle="1" w:styleId="FollowedHyperlink1">
    <w:name w:val="FollowedHyperlink1"/>
    <w:basedOn w:val="DefaultParagraphFont"/>
    <w:uiPriority w:val="99"/>
    <w:semiHidden/>
    <w:unhideWhenUsed/>
    <w:rsid w:val="00EE41ED"/>
    <w:rPr>
      <w:color w:val="954F72"/>
      <w:u w:val="single"/>
    </w:rPr>
  </w:style>
  <w:style w:type="paragraph" w:customStyle="1" w:styleId="Tabletex1">
    <w:name w:val="Table tex1"/>
    <w:basedOn w:val="Normal"/>
    <w:next w:val="ListParagraph"/>
    <w:link w:val="ListParagraphChar"/>
    <w:uiPriority w:val="34"/>
    <w:qFormat/>
    <w:rsid w:val="00EE41ED"/>
    <w:pPr>
      <w:ind w:left="170" w:hanging="170"/>
      <w:contextualSpacing/>
    </w:pPr>
    <w:rPr>
      <w:rFonts w:eastAsia="Calibri"/>
    </w:rPr>
  </w:style>
  <w:style w:type="paragraph" w:customStyle="1" w:styleId="BodyText1">
    <w:name w:val="Body Text1"/>
    <w:basedOn w:val="Normal"/>
    <w:next w:val="BodyText"/>
    <w:uiPriority w:val="99"/>
    <w:semiHidden/>
    <w:unhideWhenUsed/>
    <w:rsid w:val="00EE41ED"/>
    <w:pPr>
      <w:spacing w:after="120"/>
    </w:pPr>
    <w:rPr>
      <w:rFonts w:eastAsiaTheme="minorEastAsia"/>
      <w:lang w:eastAsia="ja-JP"/>
    </w:rPr>
  </w:style>
  <w:style w:type="table" w:customStyle="1" w:styleId="TableAcronyms1">
    <w:name w:val="Table Acronyms1"/>
    <w:basedOn w:val="TableNormal"/>
    <w:next w:val="TableGrid"/>
    <w:uiPriority w:val="39"/>
    <w:rsid w:val="00EE41ED"/>
    <w:rPr>
      <w:rFonts w:ascii="Roboto Light" w:eastAsia="Calibri" w:hAnsi="Roboto Light"/>
    </w:rPr>
    <w:tblPr>
      <w:tblBorders>
        <w:bottom w:val="single" w:sz="4" w:space="0" w:color="008143"/>
        <w:insideH w:val="single" w:sz="4" w:space="0" w:color="008143"/>
      </w:tblBorders>
      <w:tblCellMar>
        <w:top w:w="85" w:type="dxa"/>
        <w:left w:w="85" w:type="dxa"/>
        <w:bottom w:w="85" w:type="dxa"/>
        <w:right w:w="85" w:type="dxa"/>
      </w:tblCellMar>
    </w:tblPr>
  </w:style>
  <w:style w:type="paragraph" w:customStyle="1" w:styleId="TOCHeading1">
    <w:name w:val="TOC Heading1"/>
    <w:basedOn w:val="Heading1"/>
    <w:next w:val="Normal"/>
    <w:uiPriority w:val="39"/>
    <w:unhideWhenUsed/>
    <w:qFormat/>
    <w:rsid w:val="00EE41ED"/>
    <w:pPr>
      <w:suppressAutoHyphens w:val="0"/>
      <w:autoSpaceDE/>
      <w:autoSpaceDN/>
      <w:adjustRightInd/>
      <w:spacing w:before="480" w:after="0" w:line="276" w:lineRule="auto"/>
      <w:textAlignment w:val="auto"/>
      <w:outlineLvl w:val="9"/>
    </w:pPr>
    <w:rPr>
      <w:rFonts w:ascii="Merriweather" w:hAnsi="Merriweather"/>
      <w:bCs/>
      <w:color w:val="545A60"/>
      <w:szCs w:val="28"/>
      <w:lang w:val="en-US"/>
    </w:rPr>
  </w:style>
  <w:style w:type="paragraph" w:customStyle="1" w:styleId="TOC11">
    <w:name w:val="TOC 11"/>
    <w:basedOn w:val="Normal"/>
    <w:next w:val="NoParagraphStyle"/>
    <w:autoRedefine/>
    <w:uiPriority w:val="39"/>
    <w:unhideWhenUsed/>
    <w:rsid w:val="00EE41ED"/>
    <w:pPr>
      <w:tabs>
        <w:tab w:val="right" w:leader="underscore" w:pos="9622"/>
      </w:tabs>
      <w:spacing w:before="240" w:after="0"/>
    </w:pPr>
    <w:rPr>
      <w:rFonts w:ascii="Merriweather" w:eastAsia="Calibri" w:hAnsi="Merriweather" w:cs="Calibri (Body)"/>
      <w:bCs/>
      <w:iCs/>
      <w:noProof/>
      <w:color w:val="545A60"/>
      <w:sz w:val="24"/>
      <w:szCs w:val="24"/>
    </w:rPr>
  </w:style>
  <w:style w:type="paragraph" w:customStyle="1" w:styleId="TOC21">
    <w:name w:val="TOC 21"/>
    <w:basedOn w:val="Normal"/>
    <w:next w:val="Normal"/>
    <w:autoRedefine/>
    <w:uiPriority w:val="39"/>
    <w:unhideWhenUsed/>
    <w:rsid w:val="00EE41ED"/>
    <w:pPr>
      <w:tabs>
        <w:tab w:val="right" w:leader="underscore" w:pos="9622"/>
      </w:tabs>
      <w:spacing w:before="240" w:after="120"/>
      <w:ind w:left="181"/>
    </w:pPr>
    <w:rPr>
      <w:rFonts w:ascii="Roboto" w:eastAsia="Calibri" w:hAnsi="Roboto" w:cs="Calibri"/>
      <w:bCs/>
      <w:color w:val="008143"/>
      <w:sz w:val="22"/>
    </w:rPr>
  </w:style>
  <w:style w:type="paragraph" w:customStyle="1" w:styleId="TOC31">
    <w:name w:val="TOC 31"/>
    <w:basedOn w:val="Normal"/>
    <w:next w:val="Normal"/>
    <w:autoRedefine/>
    <w:uiPriority w:val="39"/>
    <w:unhideWhenUsed/>
    <w:rsid w:val="00EE41ED"/>
    <w:pPr>
      <w:tabs>
        <w:tab w:val="right" w:leader="underscore" w:pos="9622"/>
      </w:tabs>
      <w:spacing w:after="0"/>
      <w:ind w:left="357"/>
    </w:pPr>
    <w:rPr>
      <w:rFonts w:ascii="Roboto" w:eastAsia="Calibri" w:hAnsi="Roboto" w:cs="Calibri"/>
      <w:color w:val="545A60"/>
      <w:sz w:val="20"/>
      <w:szCs w:val="20"/>
    </w:rPr>
  </w:style>
  <w:style w:type="paragraph" w:customStyle="1" w:styleId="TOC41">
    <w:name w:val="TOC 41"/>
    <w:basedOn w:val="Normal"/>
    <w:next w:val="Normal"/>
    <w:autoRedefine/>
    <w:uiPriority w:val="39"/>
    <w:unhideWhenUsed/>
    <w:rsid w:val="00EE41ED"/>
    <w:pPr>
      <w:spacing w:after="0"/>
      <w:ind w:left="540"/>
    </w:pPr>
    <w:rPr>
      <w:rFonts w:asciiTheme="minorHAnsi" w:eastAsia="Calibri" w:hAnsiTheme="minorHAnsi" w:cs="Calibri"/>
      <w:sz w:val="20"/>
      <w:szCs w:val="20"/>
    </w:rPr>
  </w:style>
  <w:style w:type="paragraph" w:customStyle="1" w:styleId="TOC51">
    <w:name w:val="TOC 51"/>
    <w:basedOn w:val="Normal"/>
    <w:next w:val="Normal"/>
    <w:autoRedefine/>
    <w:uiPriority w:val="39"/>
    <w:unhideWhenUsed/>
    <w:rsid w:val="00EE41ED"/>
    <w:pPr>
      <w:spacing w:after="0"/>
      <w:ind w:left="720"/>
    </w:pPr>
    <w:rPr>
      <w:rFonts w:asciiTheme="minorHAnsi" w:eastAsia="Calibri" w:hAnsiTheme="minorHAnsi" w:cs="Calibri"/>
      <w:sz w:val="20"/>
      <w:szCs w:val="20"/>
    </w:rPr>
  </w:style>
  <w:style w:type="paragraph" w:customStyle="1" w:styleId="TOC61">
    <w:name w:val="TOC 61"/>
    <w:basedOn w:val="Normal"/>
    <w:next w:val="Normal"/>
    <w:autoRedefine/>
    <w:uiPriority w:val="39"/>
    <w:unhideWhenUsed/>
    <w:rsid w:val="00EE41ED"/>
    <w:pPr>
      <w:spacing w:after="0"/>
      <w:ind w:left="900"/>
    </w:pPr>
    <w:rPr>
      <w:rFonts w:asciiTheme="minorHAnsi" w:eastAsia="Calibri" w:hAnsiTheme="minorHAnsi" w:cs="Calibri"/>
      <w:sz w:val="20"/>
      <w:szCs w:val="20"/>
    </w:rPr>
  </w:style>
  <w:style w:type="paragraph" w:customStyle="1" w:styleId="TOC71">
    <w:name w:val="TOC 71"/>
    <w:basedOn w:val="Normal"/>
    <w:next w:val="Normal"/>
    <w:autoRedefine/>
    <w:uiPriority w:val="39"/>
    <w:unhideWhenUsed/>
    <w:rsid w:val="00EE41ED"/>
    <w:pPr>
      <w:spacing w:after="0"/>
      <w:ind w:left="1080"/>
    </w:pPr>
    <w:rPr>
      <w:rFonts w:asciiTheme="minorHAnsi" w:eastAsia="Calibri" w:hAnsiTheme="minorHAnsi" w:cs="Calibri"/>
      <w:sz w:val="20"/>
      <w:szCs w:val="20"/>
    </w:rPr>
  </w:style>
  <w:style w:type="paragraph" w:customStyle="1" w:styleId="TOC81">
    <w:name w:val="TOC 81"/>
    <w:basedOn w:val="Normal"/>
    <w:next w:val="Normal"/>
    <w:autoRedefine/>
    <w:uiPriority w:val="39"/>
    <w:unhideWhenUsed/>
    <w:rsid w:val="00EE41ED"/>
    <w:pPr>
      <w:spacing w:after="0"/>
      <w:ind w:left="1260"/>
    </w:pPr>
    <w:rPr>
      <w:rFonts w:asciiTheme="minorHAnsi" w:eastAsia="Calibri" w:hAnsiTheme="minorHAnsi" w:cs="Calibri"/>
      <w:sz w:val="20"/>
      <w:szCs w:val="20"/>
    </w:rPr>
  </w:style>
  <w:style w:type="paragraph" w:customStyle="1" w:styleId="TOC91">
    <w:name w:val="TOC 91"/>
    <w:basedOn w:val="Normal"/>
    <w:next w:val="Normal"/>
    <w:autoRedefine/>
    <w:uiPriority w:val="39"/>
    <w:unhideWhenUsed/>
    <w:rsid w:val="00EE41ED"/>
    <w:pPr>
      <w:spacing w:after="0"/>
      <w:ind w:left="1440"/>
    </w:pPr>
    <w:rPr>
      <w:rFonts w:asciiTheme="minorHAnsi" w:eastAsia="Calibri" w:hAnsiTheme="minorHAnsi" w:cs="Calibri"/>
      <w:sz w:val="20"/>
      <w:szCs w:val="20"/>
    </w:rPr>
  </w:style>
  <w:style w:type="paragraph" w:customStyle="1" w:styleId="ListNumber1">
    <w:name w:val="List Number1"/>
    <w:basedOn w:val="Normal"/>
    <w:next w:val="ListNumber"/>
    <w:uiPriority w:val="99"/>
    <w:unhideWhenUsed/>
    <w:rsid w:val="00EE41ED"/>
    <w:pPr>
      <w:tabs>
        <w:tab w:val="num" w:pos="360"/>
      </w:tabs>
      <w:ind w:left="360" w:hanging="360"/>
      <w:contextualSpacing/>
    </w:pPr>
    <w:rPr>
      <w:rFonts w:eastAsia="Calibri"/>
    </w:rPr>
  </w:style>
  <w:style w:type="paragraph" w:customStyle="1" w:styleId="ListBullet1">
    <w:name w:val="List Bullet1"/>
    <w:basedOn w:val="ListParagraph"/>
    <w:next w:val="ListBullet"/>
    <w:uiPriority w:val="99"/>
    <w:unhideWhenUsed/>
    <w:rsid w:val="00EE41ED"/>
    <w:pPr>
      <w:numPr>
        <w:numId w:val="0"/>
      </w:numPr>
      <w:spacing w:after="60"/>
      <w:ind w:left="170" w:hanging="170"/>
      <w:contextualSpacing w:val="0"/>
    </w:pPr>
    <w:rPr>
      <w:rFonts w:eastAsia="Calibri"/>
    </w:rPr>
  </w:style>
  <w:style w:type="paragraph" w:customStyle="1" w:styleId="ListBullet21">
    <w:name w:val="List Bullet 21"/>
    <w:basedOn w:val="Normal"/>
    <w:next w:val="ListBullet2"/>
    <w:uiPriority w:val="99"/>
    <w:unhideWhenUsed/>
    <w:rsid w:val="00EE41ED"/>
    <w:pPr>
      <w:tabs>
        <w:tab w:val="left" w:pos="567"/>
      </w:tabs>
      <w:spacing w:after="60"/>
      <w:ind w:left="510" w:hanging="255"/>
    </w:pPr>
    <w:rPr>
      <w:rFonts w:eastAsia="Calibri"/>
    </w:rPr>
  </w:style>
  <w:style w:type="paragraph" w:customStyle="1" w:styleId="Caption1">
    <w:name w:val="Caption1"/>
    <w:basedOn w:val="Normal"/>
    <w:next w:val="Normal"/>
    <w:uiPriority w:val="35"/>
    <w:unhideWhenUsed/>
    <w:qFormat/>
    <w:rsid w:val="00EE41ED"/>
    <w:pPr>
      <w:spacing w:after="320" w:line="240" w:lineRule="auto"/>
    </w:pPr>
    <w:rPr>
      <w:rFonts w:ascii="Roboto Light" w:eastAsia="Calibri" w:hAnsi="Roboto Light"/>
      <w:i/>
      <w:iCs/>
      <w:color w:val="171717"/>
      <w:szCs w:val="18"/>
    </w:rPr>
  </w:style>
  <w:style w:type="character" w:styleId="FootnoteReference">
    <w:name w:val="footnote reference"/>
    <w:basedOn w:val="DefaultParagraphFont"/>
    <w:uiPriority w:val="99"/>
    <w:semiHidden/>
    <w:unhideWhenUsed/>
    <w:rsid w:val="00EE41ED"/>
    <w:rPr>
      <w:vertAlign w:val="superscript"/>
    </w:rPr>
  </w:style>
  <w:style w:type="paragraph" w:customStyle="1" w:styleId="paragraph">
    <w:name w:val="paragraph"/>
    <w:basedOn w:val="Normal"/>
    <w:rsid w:val="00EE41ED"/>
    <w:pPr>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color w:val="auto"/>
      <w:sz w:val="24"/>
      <w:szCs w:val="24"/>
      <w:lang w:val="en-AU" w:eastAsia="en-AU"/>
    </w:rPr>
  </w:style>
  <w:style w:type="character" w:customStyle="1" w:styleId="normaltextrun">
    <w:name w:val="normaltextrun"/>
    <w:basedOn w:val="DefaultParagraphFont"/>
    <w:rsid w:val="00EE41ED"/>
  </w:style>
  <w:style w:type="character" w:customStyle="1" w:styleId="eop">
    <w:name w:val="eop"/>
    <w:basedOn w:val="DefaultParagraphFont"/>
    <w:rsid w:val="00EE41ED"/>
  </w:style>
  <w:style w:type="character" w:styleId="CommentReference">
    <w:name w:val="annotation reference"/>
    <w:basedOn w:val="DefaultParagraphFont"/>
    <w:uiPriority w:val="99"/>
    <w:semiHidden/>
    <w:unhideWhenUsed/>
    <w:rsid w:val="00EE41ED"/>
    <w:rPr>
      <w:sz w:val="16"/>
      <w:szCs w:val="16"/>
    </w:rPr>
  </w:style>
  <w:style w:type="paragraph" w:customStyle="1" w:styleId="CommentText1">
    <w:name w:val="Comment Text1"/>
    <w:basedOn w:val="Normal"/>
    <w:next w:val="CommentText"/>
    <w:link w:val="CommentTextChar"/>
    <w:uiPriority w:val="99"/>
    <w:unhideWhenUsed/>
    <w:rsid w:val="00EE41ED"/>
    <w:pPr>
      <w:spacing w:line="240" w:lineRule="auto"/>
    </w:pPr>
    <w:rPr>
      <w:rFonts w:eastAsiaTheme="minorEastAsia"/>
      <w:sz w:val="20"/>
      <w:szCs w:val="20"/>
      <w:lang w:eastAsia="ja-JP"/>
    </w:rPr>
  </w:style>
  <w:style w:type="character" w:customStyle="1" w:styleId="CommentTextChar">
    <w:name w:val="Comment Text Char"/>
    <w:basedOn w:val="DefaultParagraphFont"/>
    <w:link w:val="CommentText1"/>
    <w:uiPriority w:val="99"/>
    <w:rsid w:val="00EE41ED"/>
    <w:rPr>
      <w:rFonts w:ascii="Roboto-Light" w:eastAsiaTheme="minorEastAsia" w:hAnsi="Roboto-Light" w:cs="Roboto-Light"/>
      <w:color w:val="000000"/>
      <w:sz w:val="20"/>
      <w:szCs w:val="20"/>
      <w:lang w:val="en-GB" w:eastAsia="ja-JP"/>
    </w:rPr>
  </w:style>
  <w:style w:type="paragraph" w:customStyle="1" w:styleId="CommentSubject1">
    <w:name w:val="Comment Subject1"/>
    <w:basedOn w:val="CommentText"/>
    <w:next w:val="CommentText"/>
    <w:uiPriority w:val="99"/>
    <w:semiHidden/>
    <w:unhideWhenUsed/>
    <w:rsid w:val="00EE41ED"/>
    <w:pPr>
      <w:suppressAutoHyphens/>
      <w:autoSpaceDE w:val="0"/>
      <w:autoSpaceDN w:val="0"/>
      <w:adjustRightInd w:val="0"/>
      <w:spacing w:after="240"/>
      <w:textAlignment w:val="center"/>
    </w:pPr>
    <w:rPr>
      <w:rFonts w:ascii="Roboto-Light" w:eastAsia="Calibri" w:hAnsi="Roboto-Light" w:cs="Roboto-Light"/>
      <w:b/>
      <w:bCs/>
      <w:color w:val="000000"/>
      <w:lang w:eastAsia="en-US"/>
    </w:rPr>
  </w:style>
  <w:style w:type="character" w:customStyle="1" w:styleId="CommentSubjectChar">
    <w:name w:val="Comment Subject Char"/>
    <w:basedOn w:val="CommentTextChar"/>
    <w:link w:val="CommentSubject"/>
    <w:uiPriority w:val="99"/>
    <w:semiHidden/>
    <w:rsid w:val="00EE41ED"/>
    <w:rPr>
      <w:rFonts w:ascii="Roboto-Light" w:eastAsiaTheme="minorEastAsia" w:hAnsi="Roboto-Light" w:cs="Roboto-Light"/>
      <w:b/>
      <w:bCs/>
      <w:color w:val="000000"/>
      <w:sz w:val="20"/>
      <w:szCs w:val="20"/>
      <w:lang w:val="en-GB" w:eastAsia="ja-JP"/>
    </w:rPr>
  </w:style>
  <w:style w:type="character" w:customStyle="1" w:styleId="ListParagraphChar">
    <w:name w:val="List Paragraph Char"/>
    <w:aliases w:val="List Paragraph1 Char,List Paragraph11 Char,Recommendation Char,First level bullet point Char,Body text Char,standard lewis Char,Lists Char,Bullet point Char,Body Text1 Char,NAST Quote Char,Bullets Char,CV text Char,Dot pt Char,L Char"/>
    <w:link w:val="Tabletex1"/>
    <w:uiPriority w:val="34"/>
    <w:qFormat/>
    <w:locked/>
    <w:rsid w:val="00EE41ED"/>
    <w:rPr>
      <w:rFonts w:ascii="Roboto-Light" w:eastAsia="Calibri" w:hAnsi="Roboto-Light" w:cs="Roboto-Light"/>
      <w:color w:val="000000"/>
      <w:sz w:val="18"/>
      <w:szCs w:val="22"/>
      <w:lang w:val="en-GB"/>
    </w:rPr>
  </w:style>
  <w:style w:type="paragraph" w:customStyle="1" w:styleId="note">
    <w:name w:val="note"/>
    <w:basedOn w:val="Normal"/>
    <w:rsid w:val="00EE41ED"/>
    <w:pPr>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color w:val="auto"/>
      <w:sz w:val="24"/>
      <w:szCs w:val="24"/>
      <w:lang w:val="en-AU" w:eastAsia="en-AU"/>
    </w:rPr>
  </w:style>
  <w:style w:type="paragraph" w:customStyle="1" w:styleId="pf0">
    <w:name w:val="pf0"/>
    <w:basedOn w:val="Normal"/>
    <w:rsid w:val="00EE41ED"/>
    <w:pPr>
      <w:suppressAutoHyphens w:val="0"/>
      <w:autoSpaceDE/>
      <w:autoSpaceDN/>
      <w:adjustRightInd/>
      <w:spacing w:before="100" w:beforeAutospacing="1" w:after="100" w:afterAutospacing="1" w:line="240" w:lineRule="auto"/>
      <w:ind w:left="720"/>
      <w:textAlignment w:val="auto"/>
    </w:pPr>
    <w:rPr>
      <w:rFonts w:ascii="Times New Roman" w:eastAsia="Times New Roman" w:hAnsi="Times New Roman" w:cs="Times New Roman"/>
      <w:color w:val="auto"/>
      <w:sz w:val="24"/>
      <w:szCs w:val="24"/>
      <w:lang w:val="en-AU" w:eastAsia="en-AU"/>
    </w:rPr>
  </w:style>
  <w:style w:type="character" w:customStyle="1" w:styleId="cf01">
    <w:name w:val="cf01"/>
    <w:basedOn w:val="DefaultParagraphFont"/>
    <w:rsid w:val="00EE41ED"/>
    <w:rPr>
      <w:rFonts w:ascii="Segoe UI" w:hAnsi="Segoe UI" w:cs="Segoe UI" w:hint="default"/>
      <w:sz w:val="18"/>
      <w:szCs w:val="18"/>
      <w:shd w:val="clear" w:color="auto" w:fill="FFFF00"/>
    </w:rPr>
  </w:style>
  <w:style w:type="paragraph" w:customStyle="1" w:styleId="FootnoteText1">
    <w:name w:val="Footnote Text1"/>
    <w:basedOn w:val="Normal"/>
    <w:next w:val="FootnoteText"/>
    <w:link w:val="FootnoteTextChar"/>
    <w:uiPriority w:val="99"/>
    <w:semiHidden/>
    <w:unhideWhenUsed/>
    <w:rsid w:val="00EE41ED"/>
    <w:pPr>
      <w:spacing w:after="0" w:line="240" w:lineRule="auto"/>
    </w:pPr>
    <w:rPr>
      <w:rFonts w:eastAsiaTheme="minorEastAsia"/>
      <w:sz w:val="20"/>
      <w:szCs w:val="20"/>
      <w:lang w:eastAsia="ja-JP"/>
    </w:rPr>
  </w:style>
  <w:style w:type="character" w:customStyle="1" w:styleId="FootnoteTextChar">
    <w:name w:val="Footnote Text Char"/>
    <w:basedOn w:val="DefaultParagraphFont"/>
    <w:link w:val="FootnoteText1"/>
    <w:uiPriority w:val="99"/>
    <w:semiHidden/>
    <w:rsid w:val="00EE41ED"/>
    <w:rPr>
      <w:rFonts w:ascii="Roboto-Light" w:eastAsiaTheme="minorEastAsia" w:hAnsi="Roboto-Light" w:cs="Roboto-Light"/>
      <w:color w:val="000000"/>
      <w:sz w:val="20"/>
      <w:szCs w:val="20"/>
      <w:lang w:val="en-GB" w:eastAsia="ja-JP"/>
    </w:rPr>
  </w:style>
  <w:style w:type="character" w:styleId="Mention">
    <w:name w:val="Mention"/>
    <w:basedOn w:val="DefaultParagraphFont"/>
    <w:uiPriority w:val="99"/>
    <w:unhideWhenUsed/>
    <w:rsid w:val="00EE41ED"/>
    <w:rPr>
      <w:color w:val="2B579A"/>
      <w:shd w:val="clear" w:color="auto" w:fill="E1DFDD"/>
    </w:rPr>
  </w:style>
  <w:style w:type="paragraph" w:customStyle="1" w:styleId="Revision1">
    <w:name w:val="Revision1"/>
    <w:next w:val="Revision"/>
    <w:hidden/>
    <w:uiPriority w:val="99"/>
    <w:semiHidden/>
    <w:rsid w:val="00EE41ED"/>
    <w:rPr>
      <w:rFonts w:ascii="Roboto-Light" w:eastAsia="Calibri" w:hAnsi="Roboto-Light" w:cs="Roboto-Light"/>
      <w:color w:val="000000"/>
      <w:sz w:val="18"/>
      <w:szCs w:val="22"/>
      <w:lang w:val="en-GB"/>
    </w:rPr>
  </w:style>
  <w:style w:type="character" w:styleId="Strong">
    <w:name w:val="Strong"/>
    <w:basedOn w:val="DefaultParagraphFont"/>
    <w:uiPriority w:val="22"/>
    <w:qFormat/>
    <w:rsid w:val="00EE41ED"/>
    <w:rPr>
      <w:b/>
      <w:bCs/>
    </w:rPr>
  </w:style>
  <w:style w:type="character" w:styleId="Emphasis">
    <w:name w:val="Emphasis"/>
    <w:basedOn w:val="DefaultParagraphFont"/>
    <w:uiPriority w:val="20"/>
    <w:qFormat/>
    <w:rsid w:val="00EE41ED"/>
    <w:rPr>
      <w:i/>
      <w:iCs/>
    </w:rPr>
  </w:style>
  <w:style w:type="paragraph" w:customStyle="1" w:styleId="EndnoteText1">
    <w:name w:val="Endnote Text1"/>
    <w:basedOn w:val="Normal"/>
    <w:next w:val="EndnoteText"/>
    <w:link w:val="EndnoteTextChar"/>
    <w:uiPriority w:val="99"/>
    <w:semiHidden/>
    <w:unhideWhenUsed/>
    <w:rsid w:val="00EE41ED"/>
    <w:pPr>
      <w:spacing w:after="0" w:line="240" w:lineRule="auto"/>
    </w:pPr>
    <w:rPr>
      <w:rFonts w:eastAsiaTheme="minorEastAsia"/>
      <w:sz w:val="20"/>
      <w:szCs w:val="20"/>
      <w:lang w:eastAsia="ja-JP"/>
    </w:rPr>
  </w:style>
  <w:style w:type="character" w:customStyle="1" w:styleId="EndnoteTextChar">
    <w:name w:val="Endnote Text Char"/>
    <w:basedOn w:val="DefaultParagraphFont"/>
    <w:link w:val="EndnoteText1"/>
    <w:uiPriority w:val="99"/>
    <w:semiHidden/>
    <w:rsid w:val="00EE41ED"/>
    <w:rPr>
      <w:rFonts w:ascii="Roboto-Light" w:eastAsiaTheme="minorEastAsia" w:hAnsi="Roboto-Light" w:cs="Roboto-Light"/>
      <w:color w:val="000000"/>
      <w:sz w:val="20"/>
      <w:szCs w:val="20"/>
      <w:lang w:val="en-GB" w:eastAsia="ja-JP"/>
    </w:rPr>
  </w:style>
  <w:style w:type="character" w:styleId="EndnoteReference">
    <w:name w:val="endnote reference"/>
    <w:basedOn w:val="DefaultParagraphFont"/>
    <w:uiPriority w:val="99"/>
    <w:semiHidden/>
    <w:unhideWhenUsed/>
    <w:rsid w:val="00EE41ED"/>
    <w:rPr>
      <w:vertAlign w:val="superscript"/>
    </w:rPr>
  </w:style>
  <w:style w:type="character" w:customStyle="1" w:styleId="HeaderChar1">
    <w:name w:val="Header Char1"/>
    <w:basedOn w:val="DefaultParagraphFont"/>
    <w:uiPriority w:val="99"/>
    <w:rsid w:val="00EE41ED"/>
  </w:style>
  <w:style w:type="character" w:customStyle="1" w:styleId="FooterChar1">
    <w:name w:val="Footer Char1"/>
    <w:basedOn w:val="DefaultParagraphFont"/>
    <w:uiPriority w:val="99"/>
    <w:rsid w:val="00EE41ED"/>
  </w:style>
  <w:style w:type="character" w:customStyle="1" w:styleId="BodyTextChar1">
    <w:name w:val="Body Text Char1"/>
    <w:basedOn w:val="DefaultParagraphFont"/>
    <w:uiPriority w:val="99"/>
    <w:semiHidden/>
    <w:rsid w:val="00EE41ED"/>
  </w:style>
  <w:style w:type="paragraph" w:styleId="CommentText">
    <w:name w:val="annotation text"/>
    <w:basedOn w:val="Normal"/>
    <w:link w:val="CommentTextChar1"/>
    <w:uiPriority w:val="99"/>
    <w:unhideWhenUsed/>
    <w:rsid w:val="00EE41ED"/>
    <w:pPr>
      <w:suppressAutoHyphens w:val="0"/>
      <w:autoSpaceDE/>
      <w:autoSpaceDN/>
      <w:adjustRightInd/>
      <w:spacing w:after="160" w:line="240" w:lineRule="auto"/>
      <w:textAlignment w:val="auto"/>
    </w:pPr>
    <w:rPr>
      <w:rFonts w:asciiTheme="minorHAnsi" w:eastAsiaTheme="minorEastAsia" w:hAnsiTheme="minorHAnsi" w:cstheme="minorBidi"/>
      <w:color w:val="auto"/>
      <w:sz w:val="20"/>
      <w:szCs w:val="20"/>
      <w:lang w:eastAsia="ja-JP"/>
    </w:rPr>
  </w:style>
  <w:style w:type="character" w:customStyle="1" w:styleId="CommentTextChar1">
    <w:name w:val="Comment Text Char1"/>
    <w:basedOn w:val="DefaultParagraphFont"/>
    <w:link w:val="CommentText"/>
    <w:uiPriority w:val="99"/>
    <w:rsid w:val="00EE41ED"/>
    <w:rPr>
      <w:rFonts w:eastAsiaTheme="minorEastAsia"/>
      <w:sz w:val="20"/>
      <w:szCs w:val="20"/>
      <w:lang w:val="en-GB" w:eastAsia="ja-JP"/>
    </w:rPr>
  </w:style>
  <w:style w:type="paragraph" w:styleId="CommentSubject">
    <w:name w:val="annotation subject"/>
    <w:basedOn w:val="CommentText"/>
    <w:next w:val="CommentText"/>
    <w:link w:val="CommentSubjectChar"/>
    <w:uiPriority w:val="99"/>
    <w:semiHidden/>
    <w:unhideWhenUsed/>
    <w:rsid w:val="00EE41ED"/>
    <w:rPr>
      <w:rFonts w:ascii="Roboto-Light" w:hAnsi="Roboto-Light" w:cs="Roboto-Light"/>
      <w:b/>
      <w:bCs/>
      <w:color w:val="000000"/>
    </w:rPr>
  </w:style>
  <w:style w:type="character" w:customStyle="1" w:styleId="CommentSubjectChar1">
    <w:name w:val="Comment Subject Char1"/>
    <w:basedOn w:val="CommentTextChar1"/>
    <w:uiPriority w:val="99"/>
    <w:semiHidden/>
    <w:rsid w:val="00EE41ED"/>
    <w:rPr>
      <w:rFonts w:eastAsiaTheme="minorEastAsia"/>
      <w:b/>
      <w:bCs/>
      <w:sz w:val="20"/>
      <w:szCs w:val="20"/>
      <w:lang w:val="en-GB" w:eastAsia="ja-JP"/>
    </w:rPr>
  </w:style>
  <w:style w:type="paragraph" w:styleId="FootnoteText">
    <w:name w:val="footnote text"/>
    <w:basedOn w:val="Normal"/>
    <w:link w:val="FootnoteTextChar1"/>
    <w:uiPriority w:val="99"/>
    <w:semiHidden/>
    <w:unhideWhenUsed/>
    <w:rsid w:val="00EE41ED"/>
    <w:pPr>
      <w:suppressAutoHyphens w:val="0"/>
      <w:autoSpaceDE/>
      <w:autoSpaceDN/>
      <w:adjustRightInd/>
      <w:spacing w:after="0" w:line="240" w:lineRule="auto"/>
      <w:textAlignment w:val="auto"/>
    </w:pPr>
    <w:rPr>
      <w:rFonts w:asciiTheme="minorHAnsi" w:eastAsiaTheme="minorEastAsia" w:hAnsiTheme="minorHAnsi" w:cstheme="minorBidi"/>
      <w:color w:val="auto"/>
      <w:sz w:val="20"/>
      <w:szCs w:val="20"/>
      <w:lang w:eastAsia="ja-JP"/>
    </w:rPr>
  </w:style>
  <w:style w:type="character" w:customStyle="1" w:styleId="FootnoteTextChar1">
    <w:name w:val="Footnote Text Char1"/>
    <w:basedOn w:val="DefaultParagraphFont"/>
    <w:link w:val="FootnoteText"/>
    <w:uiPriority w:val="99"/>
    <w:semiHidden/>
    <w:rsid w:val="00EE41ED"/>
    <w:rPr>
      <w:rFonts w:eastAsiaTheme="minorEastAsia"/>
      <w:sz w:val="20"/>
      <w:szCs w:val="20"/>
      <w:lang w:val="en-GB" w:eastAsia="ja-JP"/>
    </w:rPr>
  </w:style>
  <w:style w:type="paragraph" w:styleId="Revision">
    <w:name w:val="Revision"/>
    <w:hidden/>
    <w:uiPriority w:val="99"/>
    <w:semiHidden/>
    <w:rsid w:val="00EE41ED"/>
    <w:rPr>
      <w:rFonts w:eastAsiaTheme="minorEastAsia"/>
      <w:lang w:val="en-GB" w:eastAsia="ja-JP"/>
    </w:rPr>
  </w:style>
  <w:style w:type="paragraph" w:styleId="EndnoteText">
    <w:name w:val="endnote text"/>
    <w:basedOn w:val="Normal"/>
    <w:link w:val="EndnoteTextChar1"/>
    <w:uiPriority w:val="99"/>
    <w:semiHidden/>
    <w:unhideWhenUsed/>
    <w:rsid w:val="00EE41ED"/>
    <w:pPr>
      <w:suppressAutoHyphens w:val="0"/>
      <w:autoSpaceDE/>
      <w:autoSpaceDN/>
      <w:adjustRightInd/>
      <w:spacing w:after="0" w:line="240" w:lineRule="auto"/>
      <w:textAlignment w:val="auto"/>
    </w:pPr>
    <w:rPr>
      <w:rFonts w:asciiTheme="minorHAnsi" w:eastAsiaTheme="minorEastAsia" w:hAnsiTheme="minorHAnsi" w:cstheme="minorBidi"/>
      <w:color w:val="auto"/>
      <w:sz w:val="20"/>
      <w:szCs w:val="20"/>
      <w:lang w:eastAsia="ja-JP"/>
    </w:rPr>
  </w:style>
  <w:style w:type="character" w:customStyle="1" w:styleId="EndnoteTextChar1">
    <w:name w:val="Endnote Text Char1"/>
    <w:basedOn w:val="DefaultParagraphFont"/>
    <w:link w:val="EndnoteText"/>
    <w:uiPriority w:val="99"/>
    <w:semiHidden/>
    <w:rsid w:val="00EE41ED"/>
    <w:rPr>
      <w:rFonts w:eastAsiaTheme="minorEastAsia"/>
      <w:sz w:val="20"/>
      <w:szCs w:val="20"/>
      <w:lang w:val="en-GB" w:eastAsia="ja-JP"/>
    </w:rPr>
  </w:style>
  <w:style w:type="paragraph" w:customStyle="1" w:styleId="NMHCbulletlist">
    <w:name w:val="NMHC bullet list"/>
    <w:basedOn w:val="ListParagraph"/>
    <w:qFormat/>
    <w:rsid w:val="00EE41ED"/>
    <w:pPr>
      <w:keepNext/>
      <w:keepLines/>
      <w:numPr>
        <w:numId w:val="11"/>
      </w:numPr>
      <w:spacing w:after="60"/>
      <w:contextualSpacing w:val="0"/>
      <w:outlineLvl w:val="2"/>
    </w:pPr>
    <w:rPr>
      <w:rFonts w:eastAsia="Calibri"/>
      <w:color w:val="auto"/>
      <w:szCs w:val="18"/>
    </w:rPr>
  </w:style>
  <w:style w:type="character" w:customStyle="1" w:styleId="cf11">
    <w:name w:val="cf11"/>
    <w:basedOn w:val="DefaultParagraphFont"/>
    <w:rsid w:val="00EE41ED"/>
    <w:rPr>
      <w:rFonts w:ascii="Segoe UI" w:hAnsi="Segoe UI" w:cs="Segoe UI" w:hint="default"/>
      <w:sz w:val="18"/>
      <w:szCs w:val="18"/>
      <w:shd w:val="clear" w:color="auto" w:fill="FFFF00"/>
    </w:rPr>
  </w:style>
  <w:style w:type="character" w:customStyle="1" w:styleId="AIHWbodytextChar">
    <w:name w:val="AIHW body text Char"/>
    <w:link w:val="AIHWbodytext"/>
    <w:locked/>
    <w:rsid w:val="00EE41ED"/>
    <w:rPr>
      <w:rFonts w:ascii="Arial" w:hAnsi="Arial" w:cs="Arial"/>
      <w:szCs w:val="20"/>
    </w:rPr>
  </w:style>
  <w:style w:type="paragraph" w:customStyle="1" w:styleId="AIHWbodytext">
    <w:name w:val="AIHW body text"/>
    <w:basedOn w:val="Normal"/>
    <w:link w:val="AIHWbodytextChar"/>
    <w:qFormat/>
    <w:rsid w:val="00EE41ED"/>
    <w:pPr>
      <w:suppressAutoHyphens w:val="0"/>
      <w:autoSpaceDE/>
      <w:autoSpaceDN/>
      <w:adjustRightInd/>
      <w:spacing w:before="120" w:after="120"/>
      <w:textAlignment w:val="auto"/>
    </w:pPr>
    <w:rPr>
      <w:rFonts w:ascii="Arial" w:hAnsi="Arial" w:cs="Arial"/>
      <w:color w:val="auto"/>
      <w:sz w:val="24"/>
      <w:szCs w:val="20"/>
      <w:lang w:val="en-AU"/>
    </w:rPr>
  </w:style>
  <w:style w:type="character" w:customStyle="1" w:styleId="cf21">
    <w:name w:val="cf21"/>
    <w:basedOn w:val="DefaultParagraphFont"/>
    <w:rsid w:val="00EE41ED"/>
    <w:rPr>
      <w:rFonts w:ascii="Segoe UI" w:hAnsi="Segoe UI" w:cs="Segoe UI" w:hint="default"/>
      <w:i/>
      <w:iCs/>
      <w:sz w:val="18"/>
      <w:szCs w:val="18"/>
    </w:rPr>
  </w:style>
  <w:style w:type="character" w:customStyle="1" w:styleId="cf31">
    <w:name w:val="cf31"/>
    <w:basedOn w:val="DefaultParagraphFont"/>
    <w:rsid w:val="00EE41ED"/>
    <w:rPr>
      <w:rFonts w:ascii="Segoe UI" w:hAnsi="Segoe UI" w:cs="Segoe UI" w:hint="default"/>
      <w:sz w:val="18"/>
      <w:szCs w:val="18"/>
    </w:rPr>
  </w:style>
  <w:style w:type="character" w:customStyle="1" w:styleId="cf41">
    <w:name w:val="cf41"/>
    <w:basedOn w:val="DefaultParagraphFont"/>
    <w:rsid w:val="00EE41ED"/>
    <w:rPr>
      <w:rFonts w:ascii="Segoe UI" w:hAnsi="Segoe UI" w:cs="Segoe UI" w:hint="default"/>
      <w:i/>
      <w:iCs/>
      <w:color w:val="45494B"/>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02375">
      <w:bodyDiv w:val="1"/>
      <w:marLeft w:val="0"/>
      <w:marRight w:val="0"/>
      <w:marTop w:val="0"/>
      <w:marBottom w:val="0"/>
      <w:divBdr>
        <w:top w:val="none" w:sz="0" w:space="0" w:color="auto"/>
        <w:left w:val="none" w:sz="0" w:space="0" w:color="auto"/>
        <w:bottom w:val="none" w:sz="0" w:space="0" w:color="auto"/>
        <w:right w:val="none" w:sz="0" w:space="0" w:color="auto"/>
      </w:divBdr>
    </w:div>
    <w:div w:id="780538390">
      <w:bodyDiv w:val="1"/>
      <w:marLeft w:val="0"/>
      <w:marRight w:val="0"/>
      <w:marTop w:val="0"/>
      <w:marBottom w:val="0"/>
      <w:divBdr>
        <w:top w:val="none" w:sz="0" w:space="0" w:color="auto"/>
        <w:left w:val="none" w:sz="0" w:space="0" w:color="auto"/>
        <w:bottom w:val="none" w:sz="0" w:space="0" w:color="auto"/>
        <w:right w:val="none" w:sz="0" w:space="0" w:color="auto"/>
      </w:divBdr>
    </w:div>
    <w:div w:id="1824270381">
      <w:bodyDiv w:val="1"/>
      <w:marLeft w:val="0"/>
      <w:marRight w:val="0"/>
      <w:marTop w:val="0"/>
      <w:marBottom w:val="0"/>
      <w:divBdr>
        <w:top w:val="none" w:sz="0" w:space="0" w:color="auto"/>
        <w:left w:val="none" w:sz="0" w:space="0" w:color="auto"/>
        <w:bottom w:val="none" w:sz="0" w:space="0" w:color="auto"/>
        <w:right w:val="none" w:sz="0" w:space="0" w:color="auto"/>
      </w:divBdr>
      <w:divsChild>
        <w:div w:id="374427263">
          <w:marLeft w:val="0"/>
          <w:marRight w:val="0"/>
          <w:marTop w:val="0"/>
          <w:marBottom w:val="0"/>
          <w:divBdr>
            <w:top w:val="none" w:sz="0" w:space="0" w:color="auto"/>
            <w:left w:val="none" w:sz="0" w:space="0" w:color="auto"/>
            <w:bottom w:val="none" w:sz="0" w:space="0" w:color="auto"/>
            <w:right w:val="none" w:sz="0" w:space="0" w:color="auto"/>
          </w:divBdr>
          <w:divsChild>
            <w:div w:id="1102839822">
              <w:marLeft w:val="0"/>
              <w:marRight w:val="0"/>
              <w:marTop w:val="0"/>
              <w:marBottom w:val="0"/>
              <w:divBdr>
                <w:top w:val="none" w:sz="0" w:space="0" w:color="auto"/>
                <w:left w:val="none" w:sz="0" w:space="0" w:color="auto"/>
                <w:bottom w:val="none" w:sz="0" w:space="0" w:color="auto"/>
                <w:right w:val="none" w:sz="0" w:space="0" w:color="auto"/>
              </w:divBdr>
              <w:divsChild>
                <w:div w:id="1912042285">
                  <w:marLeft w:val="0"/>
                  <w:marRight w:val="0"/>
                  <w:marTop w:val="0"/>
                  <w:marBottom w:val="0"/>
                  <w:divBdr>
                    <w:top w:val="none" w:sz="0" w:space="0" w:color="auto"/>
                    <w:left w:val="none" w:sz="0" w:space="0" w:color="auto"/>
                    <w:bottom w:val="none" w:sz="0" w:space="0" w:color="auto"/>
                    <w:right w:val="none" w:sz="0" w:space="0" w:color="auto"/>
                  </w:divBdr>
                  <w:divsChild>
                    <w:div w:id="187920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019276">
      <w:bodyDiv w:val="1"/>
      <w:marLeft w:val="0"/>
      <w:marRight w:val="0"/>
      <w:marTop w:val="0"/>
      <w:marBottom w:val="0"/>
      <w:divBdr>
        <w:top w:val="none" w:sz="0" w:space="0" w:color="auto"/>
        <w:left w:val="none" w:sz="0" w:space="0" w:color="auto"/>
        <w:bottom w:val="none" w:sz="0" w:space="0" w:color="auto"/>
        <w:right w:val="none" w:sz="0" w:space="0" w:color="auto"/>
      </w:divBdr>
      <w:divsChild>
        <w:div w:id="260531090">
          <w:marLeft w:val="0"/>
          <w:marRight w:val="0"/>
          <w:marTop w:val="0"/>
          <w:marBottom w:val="0"/>
          <w:divBdr>
            <w:top w:val="none" w:sz="0" w:space="0" w:color="auto"/>
            <w:left w:val="none" w:sz="0" w:space="0" w:color="auto"/>
            <w:bottom w:val="none" w:sz="0" w:space="0" w:color="auto"/>
            <w:right w:val="none" w:sz="0" w:space="0" w:color="auto"/>
          </w:divBdr>
          <w:divsChild>
            <w:div w:id="1424911151">
              <w:marLeft w:val="0"/>
              <w:marRight w:val="0"/>
              <w:marTop w:val="0"/>
              <w:marBottom w:val="0"/>
              <w:divBdr>
                <w:top w:val="none" w:sz="0" w:space="0" w:color="auto"/>
                <w:left w:val="none" w:sz="0" w:space="0" w:color="auto"/>
                <w:bottom w:val="none" w:sz="0" w:space="0" w:color="auto"/>
                <w:right w:val="none" w:sz="0" w:space="0" w:color="auto"/>
              </w:divBdr>
              <w:divsChild>
                <w:div w:id="1876692518">
                  <w:marLeft w:val="0"/>
                  <w:marRight w:val="0"/>
                  <w:marTop w:val="0"/>
                  <w:marBottom w:val="0"/>
                  <w:divBdr>
                    <w:top w:val="none" w:sz="0" w:space="0" w:color="auto"/>
                    <w:left w:val="none" w:sz="0" w:space="0" w:color="auto"/>
                    <w:bottom w:val="none" w:sz="0" w:space="0" w:color="auto"/>
                    <w:right w:val="none" w:sz="0" w:space="0" w:color="auto"/>
                  </w:divBdr>
                  <w:divsChild>
                    <w:div w:id="43132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instagram.com/nmhcaustralia" TargetMode="External"/><Relationship Id="rId26" Type="http://schemas.openxmlformats.org/officeDocument/2006/relationships/image" Target="media/image8.svg"/><Relationship Id="rId39" Type="http://schemas.openxmlformats.org/officeDocument/2006/relationships/image" Target="media/image16.png"/><Relationship Id="rId21" Type="http://schemas.openxmlformats.org/officeDocument/2006/relationships/hyperlink" Target="https://twitter.com/i/flow/login?redirect_after_login=%2FNMHC" TargetMode="External"/><Relationship Id="rId34" Type="http://schemas.openxmlformats.org/officeDocument/2006/relationships/header" Target="header4.xml"/><Relationship Id="rId42" Type="http://schemas.openxmlformats.org/officeDocument/2006/relationships/image" Target="media/image19.svg"/><Relationship Id="rId47" Type="http://schemas.openxmlformats.org/officeDocument/2006/relationships/image" Target="media/image22.png"/><Relationship Id="rId50" Type="http://schemas.openxmlformats.org/officeDocument/2006/relationships/image" Target="media/image24.png"/><Relationship Id="rId55" Type="http://schemas.openxmlformats.org/officeDocument/2006/relationships/image" Target="media/image27.svg"/><Relationship Id="rId63" Type="http://schemas.openxmlformats.org/officeDocument/2006/relationships/image" Target="media/image31.svg"/><Relationship Id="rId68" Type="http://schemas.openxmlformats.org/officeDocument/2006/relationships/hyperlink" Target="https://www.abs.gov.au/methodologies/national-health-survey-methodology/2022" TargetMode="External"/><Relationship Id="rId76" Type="http://schemas.openxmlformats.org/officeDocument/2006/relationships/image" Target="media/image39.svg"/><Relationship Id="rId84" Type="http://schemas.openxmlformats.org/officeDocument/2006/relationships/header" Target="header9.xml"/><Relationship Id="rId89"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aihw.gov.au/reports/illicit-use-of-drugs/national-drug-strategy-household-survey/contents/technical-notes" TargetMode="External"/><Relationship Id="rId2" Type="http://schemas.openxmlformats.org/officeDocument/2006/relationships/customXml" Target="../customXml/item2.xml"/><Relationship Id="rId16" Type="http://schemas.openxmlformats.org/officeDocument/2006/relationships/hyperlink" Target="http://www.mentalhealthcommission.gov.au/find-support" TargetMode="External"/><Relationship Id="rId29" Type="http://schemas.openxmlformats.org/officeDocument/2006/relationships/image" Target="media/image10.svg"/><Relationship Id="rId11" Type="http://schemas.openxmlformats.org/officeDocument/2006/relationships/footer" Target="footer1.xml"/><Relationship Id="rId24" Type="http://schemas.openxmlformats.org/officeDocument/2006/relationships/hyperlink" Target="https://www.youtube.com/channel/UC6pWbzRT5EAFbtAH5buUaVw" TargetMode="External"/><Relationship Id="rId32" Type="http://schemas.openxmlformats.org/officeDocument/2006/relationships/image" Target="media/image12.svg"/><Relationship Id="rId37" Type="http://schemas.openxmlformats.org/officeDocument/2006/relationships/image" Target="media/image15.svg"/><Relationship Id="rId40" Type="http://schemas.openxmlformats.org/officeDocument/2006/relationships/image" Target="media/image17.svg"/><Relationship Id="rId45" Type="http://schemas.openxmlformats.org/officeDocument/2006/relationships/image" Target="media/image21.svg"/><Relationship Id="rId53" Type="http://schemas.openxmlformats.org/officeDocument/2006/relationships/hyperlink" Target="https://www.abs.gov.au/methodologies/national-study-mental-health-and-wellbeing-methodology/2020-2022" TargetMode="External"/><Relationship Id="rId58" Type="http://schemas.openxmlformats.org/officeDocument/2006/relationships/image" Target="media/image29.svg"/><Relationship Id="rId66" Type="http://schemas.openxmlformats.org/officeDocument/2006/relationships/image" Target="media/image33.svg"/><Relationship Id="rId74" Type="http://schemas.openxmlformats.org/officeDocument/2006/relationships/hyperlink" Target="https://melbourneinstitute.unimelb.edu.au/hilda/for-data-users/user-manuals" TargetMode="External"/><Relationship Id="rId79" Type="http://schemas.openxmlformats.org/officeDocument/2006/relationships/header" Target="header6.xml"/><Relationship Id="rId87" Type="http://schemas.openxmlformats.org/officeDocument/2006/relationships/header" Target="header10.xml"/><Relationship Id="rId5" Type="http://schemas.openxmlformats.org/officeDocument/2006/relationships/numbering" Target="numbering.xml"/><Relationship Id="rId61" Type="http://schemas.openxmlformats.org/officeDocument/2006/relationships/hyperlink" Target="https://www.abs.gov.au/methodologies/national-health-survey-methodology/2022" TargetMode="External"/><Relationship Id="rId82" Type="http://schemas.openxmlformats.org/officeDocument/2006/relationships/image" Target="media/image41.svg"/><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hyperlink" Target="https://www.facebook.com/NMHCAustralia/" TargetMode="External"/><Relationship Id="rId30" Type="http://schemas.openxmlformats.org/officeDocument/2006/relationships/hyperlink" Target="https://au.linkedin.com/company/national-mental-health-commission" TargetMode="External"/><Relationship Id="rId35" Type="http://schemas.openxmlformats.org/officeDocument/2006/relationships/hyperlink" Target="http://www.mentalhealthcommission.gov.au/monitoring-and-reporting/national-reports" TargetMode="External"/><Relationship Id="rId43" Type="http://schemas.openxmlformats.org/officeDocument/2006/relationships/hyperlink" Target="https://www.abs.gov.au/methodologies/general-social-survey-summary-results-australia-methodology/2020" TargetMode="External"/><Relationship Id="rId48" Type="http://schemas.openxmlformats.org/officeDocument/2006/relationships/image" Target="media/image23.svg"/><Relationship Id="rId56" Type="http://schemas.openxmlformats.org/officeDocument/2006/relationships/hyperlink" Target="https://www.abs.gov.au/methodologies/general-social-survey-summary-results-australia-methodology/2020" TargetMode="External"/><Relationship Id="rId64" Type="http://schemas.openxmlformats.org/officeDocument/2006/relationships/hyperlink" Target="https://www.abs.gov.au/methodologies/national-health-survey-methodology/2022" TargetMode="External"/><Relationship Id="rId69" Type="http://schemas.openxmlformats.org/officeDocument/2006/relationships/image" Target="media/image34.png"/><Relationship Id="rId77" Type="http://schemas.openxmlformats.org/officeDocument/2006/relationships/hyperlink" Target="https://www.abs.gov.au/methodologies/general-social-survey-summary-results-australia-methodology/2020" TargetMode="External"/><Relationship Id="rId8" Type="http://schemas.openxmlformats.org/officeDocument/2006/relationships/webSettings" Target="webSettings.xml"/><Relationship Id="rId51" Type="http://schemas.openxmlformats.org/officeDocument/2006/relationships/image" Target="media/image25.svg"/><Relationship Id="rId72" Type="http://schemas.openxmlformats.org/officeDocument/2006/relationships/image" Target="media/image36.png"/><Relationship Id="rId80" Type="http://schemas.openxmlformats.org/officeDocument/2006/relationships/header" Target="header7.xml"/><Relationship Id="rId85"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hyperlink" Target="http://www.mentalhealthcommission.gov.au/" TargetMode="External"/><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hyperlink" Target="https://www.abs.gov.au/methodologies/national-study-mental-health-and-wellbeing-methodology/2020-2022" TargetMode="External"/><Relationship Id="rId46" Type="http://schemas.openxmlformats.org/officeDocument/2006/relationships/hyperlink" Target="https://melbourneinstitute.unimelb.edu.au/hilda/for-data-users/user-manuals" TargetMode="External"/><Relationship Id="rId59" Type="http://schemas.openxmlformats.org/officeDocument/2006/relationships/hyperlink" Target="https://www.aihw.gov.au/reports/australias-welfare/employment-unemployment" TargetMode="External"/><Relationship Id="rId67" Type="http://schemas.openxmlformats.org/officeDocument/2006/relationships/hyperlink" Target="https://www.abs.gov.au/methodologies/national-study-mental-health-and-wellbeing-methodology/2020-2022" TargetMode="External"/><Relationship Id="rId20" Type="http://schemas.openxmlformats.org/officeDocument/2006/relationships/image" Target="media/image4.svg"/><Relationship Id="rId41" Type="http://schemas.openxmlformats.org/officeDocument/2006/relationships/image" Target="media/image18.png"/><Relationship Id="rId54" Type="http://schemas.openxmlformats.org/officeDocument/2006/relationships/image" Target="media/image26.png"/><Relationship Id="rId62" Type="http://schemas.openxmlformats.org/officeDocument/2006/relationships/image" Target="media/image30.png"/><Relationship Id="rId70" Type="http://schemas.openxmlformats.org/officeDocument/2006/relationships/image" Target="media/image35.svg"/><Relationship Id="rId75" Type="http://schemas.openxmlformats.org/officeDocument/2006/relationships/image" Target="media/image38.png"/><Relationship Id="rId83" Type="http://schemas.openxmlformats.org/officeDocument/2006/relationships/header" Target="header8.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6.svg"/><Relationship Id="rId28" Type="http://schemas.openxmlformats.org/officeDocument/2006/relationships/image" Target="media/image9.png"/><Relationship Id="rId36" Type="http://schemas.openxmlformats.org/officeDocument/2006/relationships/image" Target="media/image14.png"/><Relationship Id="rId49" Type="http://schemas.openxmlformats.org/officeDocument/2006/relationships/hyperlink" Target="https://www.aedc.gov.au/resources/detail/2021-aedc-data-collection-technical-report" TargetMode="External"/><Relationship Id="rId57" Type="http://schemas.openxmlformats.org/officeDocument/2006/relationships/image" Target="media/image28.png"/><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20.png"/><Relationship Id="rId52" Type="http://schemas.openxmlformats.org/officeDocument/2006/relationships/hyperlink" Target="https://www.abs.gov.au/statistics/people/housing/estimating-homelessness-census/latest-release" TargetMode="External"/><Relationship Id="rId60" Type="http://schemas.openxmlformats.org/officeDocument/2006/relationships/hyperlink" Target="https://www.abs.gov.au/statistics/labour/employment-and-unemployment/labour-force-australia" TargetMode="External"/><Relationship Id="rId65" Type="http://schemas.openxmlformats.org/officeDocument/2006/relationships/image" Target="media/image32.png"/><Relationship Id="rId73" Type="http://schemas.openxmlformats.org/officeDocument/2006/relationships/image" Target="media/image37.svg"/><Relationship Id="rId78" Type="http://schemas.openxmlformats.org/officeDocument/2006/relationships/header" Target="header5.xml"/><Relationship Id="rId81" Type="http://schemas.openxmlformats.org/officeDocument/2006/relationships/image" Target="media/image40.png"/><Relationship Id="rId86" Type="http://schemas.openxmlformats.org/officeDocument/2006/relationships/footer" Target="footer4.xml"/></Relationships>
</file>

<file path=word/_rels/footnotes.xml.rels><?xml version="1.0" encoding="UTF-8" standalone="yes"?>
<Relationships xmlns="http://schemas.openxmlformats.org/package/2006/relationships"><Relationship Id="rId3" Type="http://schemas.openxmlformats.org/officeDocument/2006/relationships/hyperlink" Target="https://www.aihw.gov.au/reports/children-youth/engagement-in-education-or-employment" TargetMode="External"/><Relationship Id="rId2" Type="http://schemas.openxmlformats.org/officeDocument/2006/relationships/hyperlink" Target="http://www.aedc.gov.au" TargetMode="External"/><Relationship Id="rId1" Type="http://schemas.openxmlformats.org/officeDocument/2006/relationships/hyperlink" Target="https://www.abs.gov.au/methodologies/national-study-mental-health-and-wellbeing-methodology/2020-2022" TargetMode="External"/><Relationship Id="rId5" Type="http://schemas.openxmlformats.org/officeDocument/2006/relationships/hyperlink" Target="http://www.jstor.org/stable/2678626" TargetMode="External"/><Relationship Id="rId4" Type="http://schemas.openxmlformats.org/officeDocument/2006/relationships/hyperlink" Target="https://www.gilc.global/our-position-statement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2" Type="http://schemas.openxmlformats.org/officeDocument/2006/relationships/image" Target="media/image45.svg"/><Relationship Id="rId1" Type="http://schemas.openxmlformats.org/officeDocument/2006/relationships/image" Target="media/image44.png"/></Relationships>
</file>

<file path=word/_rels/header7.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2" Type="http://schemas.openxmlformats.org/officeDocument/2006/relationships/image" Target="media/image43.svg"/><Relationship Id="rId1" Type="http://schemas.openxmlformats.org/officeDocument/2006/relationships/image" Target="media/image42.png"/></Relationships>
</file>

<file path=word/theme/theme1.xml><?xml version="1.0" encoding="utf-8"?>
<a:theme xmlns:a="http://schemas.openxmlformats.org/drawingml/2006/main" name="Office Theme">
  <a:themeElements>
    <a:clrScheme name="NHMC Theme 2024">
      <a:dk1>
        <a:srgbClr val="5B626C"/>
      </a:dk1>
      <a:lt1>
        <a:srgbClr val="FFFFFF"/>
      </a:lt1>
      <a:dk2>
        <a:srgbClr val="44546A"/>
      </a:dk2>
      <a:lt2>
        <a:srgbClr val="E7E6E6"/>
      </a:lt2>
      <a:accent1>
        <a:srgbClr val="282C78"/>
      </a:accent1>
      <a:accent2>
        <a:srgbClr val="00AFDE"/>
      </a:accent2>
      <a:accent3>
        <a:srgbClr val="545A60"/>
      </a:accent3>
      <a:accent4>
        <a:srgbClr val="EA8B2D"/>
      </a:accent4>
      <a:accent5>
        <a:srgbClr val="008142"/>
      </a:accent5>
      <a:accent6>
        <a:srgbClr val="C6D533"/>
      </a:accent6>
      <a:hlink>
        <a:srgbClr val="282C78"/>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E783B77A7341C45B359022C6130335E" ma:contentTypeVersion="6" ma:contentTypeDescription="Create a new document." ma:contentTypeScope="" ma:versionID="7f40e5f5340a20d664c36053ae66b9ba">
  <xsd:schema xmlns:xsd="http://www.w3.org/2001/XMLSchema" xmlns:xs="http://www.w3.org/2001/XMLSchema" xmlns:p="http://schemas.microsoft.com/office/2006/metadata/properties" xmlns:ns2="69632b09-d9f9-481c-a93c-0f966acf7a70" xmlns:ns3="3abba442-810f-4d5f-95a4-03727f44f76d" targetNamespace="http://schemas.microsoft.com/office/2006/metadata/properties" ma:root="true" ma:fieldsID="4b74e81778e67763dd5bbe5fa8d3ad36" ns2:_="" ns3:_="">
    <xsd:import namespace="69632b09-d9f9-481c-a93c-0f966acf7a70"/>
    <xsd:import namespace="3abba442-810f-4d5f-95a4-03727f44f76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632b09-d9f9-481c-a93c-0f966acf7a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abba442-810f-4d5f-95a4-03727f44f76d"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B3AFD7F-5F96-46E1-BD71-4A5134524DDD}">
  <ds:schemaRefs>
    <ds:schemaRef ds:uri="http://schemas.microsoft.com/sharepoint/v3/contenttype/forms"/>
  </ds:schemaRefs>
</ds:datastoreItem>
</file>

<file path=customXml/itemProps2.xml><?xml version="1.0" encoding="utf-8"?>
<ds:datastoreItem xmlns:ds="http://schemas.openxmlformats.org/officeDocument/2006/customXml" ds:itemID="{C29D8901-E052-4C23-A459-C40DDC3D93E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9581A83-44B2-8B4A-8614-2AEFE178101D}">
  <ds:schemaRefs>
    <ds:schemaRef ds:uri="http://schemas.openxmlformats.org/officeDocument/2006/bibliography"/>
  </ds:schemaRefs>
</ds:datastoreItem>
</file>

<file path=customXml/itemProps4.xml><?xml version="1.0" encoding="utf-8"?>
<ds:datastoreItem xmlns:ds="http://schemas.openxmlformats.org/officeDocument/2006/customXml" ds:itemID="{C8126A8C-DE83-44F9-930C-2902817370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632b09-d9f9-481c-a93c-0f966acf7a70"/>
    <ds:schemaRef ds:uri="3abba442-810f-4d5f-95a4-03727f44f7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430</TotalTime>
  <Pages>40</Pages>
  <Words>11627</Words>
  <Characters>66278</Characters>
  <DocSecurity>0</DocSecurity>
  <Lines>552</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77750</CharactersWithSpaces>
  <SharedDoc>false</SharedDoc>
  <HLinks>
    <vt:vector size="336" baseType="variant">
      <vt:variant>
        <vt:i4>1507357</vt:i4>
      </vt:variant>
      <vt:variant>
        <vt:i4>159</vt:i4>
      </vt:variant>
      <vt:variant>
        <vt:i4>0</vt:i4>
      </vt:variant>
      <vt:variant>
        <vt:i4>5</vt:i4>
      </vt:variant>
      <vt:variant>
        <vt:lpwstr>https://www.abs.gov.au/methodologies/general-social-survey-summary-results-australia-methodology/2020</vt:lpwstr>
      </vt:variant>
      <vt:variant>
        <vt:lpwstr/>
      </vt:variant>
      <vt:variant>
        <vt:i4>7143538</vt:i4>
      </vt:variant>
      <vt:variant>
        <vt:i4>156</vt:i4>
      </vt:variant>
      <vt:variant>
        <vt:i4>0</vt:i4>
      </vt:variant>
      <vt:variant>
        <vt:i4>5</vt:i4>
      </vt:variant>
      <vt:variant>
        <vt:lpwstr>https://melbourneinstitute.unimelb.edu.au/hilda/for-data-users/user-manuals</vt:lpwstr>
      </vt:variant>
      <vt:variant>
        <vt:lpwstr/>
      </vt:variant>
      <vt:variant>
        <vt:i4>917575</vt:i4>
      </vt:variant>
      <vt:variant>
        <vt:i4>153</vt:i4>
      </vt:variant>
      <vt:variant>
        <vt:i4>0</vt:i4>
      </vt:variant>
      <vt:variant>
        <vt:i4>5</vt:i4>
      </vt:variant>
      <vt:variant>
        <vt:lpwstr>https://www.aihw.gov.au/reports/illicit-use-of-drugs/national-drug-strategy-household-survey/contents/technical-notes</vt:lpwstr>
      </vt:variant>
      <vt:variant>
        <vt:lpwstr/>
      </vt:variant>
      <vt:variant>
        <vt:i4>131082</vt:i4>
      </vt:variant>
      <vt:variant>
        <vt:i4>150</vt:i4>
      </vt:variant>
      <vt:variant>
        <vt:i4>0</vt:i4>
      </vt:variant>
      <vt:variant>
        <vt:i4>5</vt:i4>
      </vt:variant>
      <vt:variant>
        <vt:lpwstr>https://www.abs.gov.au/methodologies/national-health-survey-methodology/2022</vt:lpwstr>
      </vt:variant>
      <vt:variant>
        <vt:lpwstr/>
      </vt:variant>
      <vt:variant>
        <vt:i4>5505054</vt:i4>
      </vt:variant>
      <vt:variant>
        <vt:i4>147</vt:i4>
      </vt:variant>
      <vt:variant>
        <vt:i4>0</vt:i4>
      </vt:variant>
      <vt:variant>
        <vt:i4>5</vt:i4>
      </vt:variant>
      <vt:variant>
        <vt:lpwstr>https://www.abs.gov.au/methodologies/national-study-mental-health-and-wellbeing-methodology/2020-2022</vt:lpwstr>
      </vt:variant>
      <vt:variant>
        <vt:lpwstr/>
      </vt:variant>
      <vt:variant>
        <vt:i4>131082</vt:i4>
      </vt:variant>
      <vt:variant>
        <vt:i4>144</vt:i4>
      </vt:variant>
      <vt:variant>
        <vt:i4>0</vt:i4>
      </vt:variant>
      <vt:variant>
        <vt:i4>5</vt:i4>
      </vt:variant>
      <vt:variant>
        <vt:lpwstr>https://www.abs.gov.au/methodologies/national-health-survey-methodology/2022</vt:lpwstr>
      </vt:variant>
      <vt:variant>
        <vt:lpwstr/>
      </vt:variant>
      <vt:variant>
        <vt:i4>131082</vt:i4>
      </vt:variant>
      <vt:variant>
        <vt:i4>141</vt:i4>
      </vt:variant>
      <vt:variant>
        <vt:i4>0</vt:i4>
      </vt:variant>
      <vt:variant>
        <vt:i4>5</vt:i4>
      </vt:variant>
      <vt:variant>
        <vt:lpwstr>https://www.abs.gov.au/methodologies/national-health-survey-methodology/2022</vt:lpwstr>
      </vt:variant>
      <vt:variant>
        <vt:lpwstr/>
      </vt:variant>
      <vt:variant>
        <vt:i4>6357118</vt:i4>
      </vt:variant>
      <vt:variant>
        <vt:i4>138</vt:i4>
      </vt:variant>
      <vt:variant>
        <vt:i4>0</vt:i4>
      </vt:variant>
      <vt:variant>
        <vt:i4>5</vt:i4>
      </vt:variant>
      <vt:variant>
        <vt:lpwstr>https://www.abs.gov.au/statistics/labour/employment-and-unemployment/labour-force-australia</vt:lpwstr>
      </vt:variant>
      <vt:variant>
        <vt:lpwstr/>
      </vt:variant>
      <vt:variant>
        <vt:i4>7209003</vt:i4>
      </vt:variant>
      <vt:variant>
        <vt:i4>135</vt:i4>
      </vt:variant>
      <vt:variant>
        <vt:i4>0</vt:i4>
      </vt:variant>
      <vt:variant>
        <vt:i4>5</vt:i4>
      </vt:variant>
      <vt:variant>
        <vt:lpwstr>https://www.aihw.gov.au/reports/australias-welfare/employment-unemployment</vt:lpwstr>
      </vt:variant>
      <vt:variant>
        <vt:lpwstr/>
      </vt:variant>
      <vt:variant>
        <vt:i4>1507357</vt:i4>
      </vt:variant>
      <vt:variant>
        <vt:i4>132</vt:i4>
      </vt:variant>
      <vt:variant>
        <vt:i4>0</vt:i4>
      </vt:variant>
      <vt:variant>
        <vt:i4>5</vt:i4>
      </vt:variant>
      <vt:variant>
        <vt:lpwstr>https://www.abs.gov.au/methodologies/general-social-survey-summary-results-australia-methodology/2020</vt:lpwstr>
      </vt:variant>
      <vt:variant>
        <vt:lpwstr/>
      </vt:variant>
      <vt:variant>
        <vt:i4>5505054</vt:i4>
      </vt:variant>
      <vt:variant>
        <vt:i4>129</vt:i4>
      </vt:variant>
      <vt:variant>
        <vt:i4>0</vt:i4>
      </vt:variant>
      <vt:variant>
        <vt:i4>5</vt:i4>
      </vt:variant>
      <vt:variant>
        <vt:lpwstr>https://www.abs.gov.au/methodologies/national-study-mental-health-and-wellbeing-methodology/2020-2022</vt:lpwstr>
      </vt:variant>
      <vt:variant>
        <vt:lpwstr/>
      </vt:variant>
      <vt:variant>
        <vt:i4>7077994</vt:i4>
      </vt:variant>
      <vt:variant>
        <vt:i4>126</vt:i4>
      </vt:variant>
      <vt:variant>
        <vt:i4>0</vt:i4>
      </vt:variant>
      <vt:variant>
        <vt:i4>5</vt:i4>
      </vt:variant>
      <vt:variant>
        <vt:lpwstr>https://www.abs.gov.au/statistics/people/housing/estimating-homelessness-census/latest-release</vt:lpwstr>
      </vt:variant>
      <vt:variant>
        <vt:lpwstr/>
      </vt:variant>
      <vt:variant>
        <vt:i4>3932218</vt:i4>
      </vt:variant>
      <vt:variant>
        <vt:i4>123</vt:i4>
      </vt:variant>
      <vt:variant>
        <vt:i4>0</vt:i4>
      </vt:variant>
      <vt:variant>
        <vt:i4>5</vt:i4>
      </vt:variant>
      <vt:variant>
        <vt:lpwstr>https://www.aedc.gov.au/resources/detail/2021-aedc-data-collection-technical-report</vt:lpwstr>
      </vt:variant>
      <vt:variant>
        <vt:lpwstr/>
      </vt:variant>
      <vt:variant>
        <vt:i4>7143538</vt:i4>
      </vt:variant>
      <vt:variant>
        <vt:i4>120</vt:i4>
      </vt:variant>
      <vt:variant>
        <vt:i4>0</vt:i4>
      </vt:variant>
      <vt:variant>
        <vt:i4>5</vt:i4>
      </vt:variant>
      <vt:variant>
        <vt:lpwstr>https://melbourneinstitute.unimelb.edu.au/hilda/for-data-users/user-manuals</vt:lpwstr>
      </vt:variant>
      <vt:variant>
        <vt:lpwstr/>
      </vt:variant>
      <vt:variant>
        <vt:i4>1507357</vt:i4>
      </vt:variant>
      <vt:variant>
        <vt:i4>117</vt:i4>
      </vt:variant>
      <vt:variant>
        <vt:i4>0</vt:i4>
      </vt:variant>
      <vt:variant>
        <vt:i4>5</vt:i4>
      </vt:variant>
      <vt:variant>
        <vt:lpwstr>https://www.abs.gov.au/methodologies/general-social-survey-summary-results-australia-methodology/2020</vt:lpwstr>
      </vt:variant>
      <vt:variant>
        <vt:lpwstr/>
      </vt:variant>
      <vt:variant>
        <vt:i4>131082</vt:i4>
      </vt:variant>
      <vt:variant>
        <vt:i4>114</vt:i4>
      </vt:variant>
      <vt:variant>
        <vt:i4>0</vt:i4>
      </vt:variant>
      <vt:variant>
        <vt:i4>5</vt:i4>
      </vt:variant>
      <vt:variant>
        <vt:lpwstr>https://www.abs.gov.au/methodologies/national-health-survey-methodology/2022</vt:lpwstr>
      </vt:variant>
      <vt:variant>
        <vt:lpwstr/>
      </vt:variant>
      <vt:variant>
        <vt:i4>5505054</vt:i4>
      </vt:variant>
      <vt:variant>
        <vt:i4>111</vt:i4>
      </vt:variant>
      <vt:variant>
        <vt:i4>0</vt:i4>
      </vt:variant>
      <vt:variant>
        <vt:i4>5</vt:i4>
      </vt:variant>
      <vt:variant>
        <vt:lpwstr>https://www.abs.gov.au/methodologies/national-study-mental-health-and-wellbeing-methodology/2020-2022</vt:lpwstr>
      </vt:variant>
      <vt:variant>
        <vt:lpwstr/>
      </vt:variant>
      <vt:variant>
        <vt:i4>6684734</vt:i4>
      </vt:variant>
      <vt:variant>
        <vt:i4>108</vt:i4>
      </vt:variant>
      <vt:variant>
        <vt:i4>0</vt:i4>
      </vt:variant>
      <vt:variant>
        <vt:i4>5</vt:i4>
      </vt:variant>
      <vt:variant>
        <vt:lpwstr>http://www.mentalhealthcommission.gov.au/monitoring-and-reporting/national-reports</vt:lpwstr>
      </vt:variant>
      <vt:variant>
        <vt:lpwstr/>
      </vt:variant>
      <vt:variant>
        <vt:i4>5570634</vt:i4>
      </vt:variant>
      <vt:variant>
        <vt:i4>105</vt:i4>
      </vt:variant>
      <vt:variant>
        <vt:i4>0</vt:i4>
      </vt:variant>
      <vt:variant>
        <vt:i4>5</vt:i4>
      </vt:variant>
      <vt:variant>
        <vt:lpwstr>http://www.mentalhealthcommission.gov.au/</vt:lpwstr>
      </vt:variant>
      <vt:variant>
        <vt:lpwstr/>
      </vt:variant>
      <vt:variant>
        <vt:i4>5570634</vt:i4>
      </vt:variant>
      <vt:variant>
        <vt:i4>102</vt:i4>
      </vt:variant>
      <vt:variant>
        <vt:i4>0</vt:i4>
      </vt:variant>
      <vt:variant>
        <vt:i4>5</vt:i4>
      </vt:variant>
      <vt:variant>
        <vt:lpwstr>http://www.mentalhealthcommission.gov.au/</vt:lpwstr>
      </vt:variant>
      <vt:variant>
        <vt:lpwstr/>
      </vt:variant>
      <vt:variant>
        <vt:i4>458756</vt:i4>
      </vt:variant>
      <vt:variant>
        <vt:i4>99</vt:i4>
      </vt:variant>
      <vt:variant>
        <vt:i4>0</vt:i4>
      </vt:variant>
      <vt:variant>
        <vt:i4>5</vt:i4>
      </vt:variant>
      <vt:variant>
        <vt:lpwstr>http://www.mentalhealthcommission.gov.au/find-support</vt:lpwstr>
      </vt:variant>
      <vt:variant>
        <vt:lpwstr/>
      </vt:variant>
      <vt:variant>
        <vt:i4>1245246</vt:i4>
      </vt:variant>
      <vt:variant>
        <vt:i4>92</vt:i4>
      </vt:variant>
      <vt:variant>
        <vt:i4>0</vt:i4>
      </vt:variant>
      <vt:variant>
        <vt:i4>5</vt:i4>
      </vt:variant>
      <vt:variant>
        <vt:lpwstr/>
      </vt:variant>
      <vt:variant>
        <vt:lpwstr>_Toc169868025</vt:lpwstr>
      </vt:variant>
      <vt:variant>
        <vt:i4>1245246</vt:i4>
      </vt:variant>
      <vt:variant>
        <vt:i4>86</vt:i4>
      </vt:variant>
      <vt:variant>
        <vt:i4>0</vt:i4>
      </vt:variant>
      <vt:variant>
        <vt:i4>5</vt:i4>
      </vt:variant>
      <vt:variant>
        <vt:lpwstr/>
      </vt:variant>
      <vt:variant>
        <vt:lpwstr>_Toc169868024</vt:lpwstr>
      </vt:variant>
      <vt:variant>
        <vt:i4>1245246</vt:i4>
      </vt:variant>
      <vt:variant>
        <vt:i4>80</vt:i4>
      </vt:variant>
      <vt:variant>
        <vt:i4>0</vt:i4>
      </vt:variant>
      <vt:variant>
        <vt:i4>5</vt:i4>
      </vt:variant>
      <vt:variant>
        <vt:lpwstr/>
      </vt:variant>
      <vt:variant>
        <vt:lpwstr>_Toc169868023</vt:lpwstr>
      </vt:variant>
      <vt:variant>
        <vt:i4>1245246</vt:i4>
      </vt:variant>
      <vt:variant>
        <vt:i4>74</vt:i4>
      </vt:variant>
      <vt:variant>
        <vt:i4>0</vt:i4>
      </vt:variant>
      <vt:variant>
        <vt:i4>5</vt:i4>
      </vt:variant>
      <vt:variant>
        <vt:lpwstr/>
      </vt:variant>
      <vt:variant>
        <vt:lpwstr>_Toc169868022</vt:lpwstr>
      </vt:variant>
      <vt:variant>
        <vt:i4>1245246</vt:i4>
      </vt:variant>
      <vt:variant>
        <vt:i4>68</vt:i4>
      </vt:variant>
      <vt:variant>
        <vt:i4>0</vt:i4>
      </vt:variant>
      <vt:variant>
        <vt:i4>5</vt:i4>
      </vt:variant>
      <vt:variant>
        <vt:lpwstr/>
      </vt:variant>
      <vt:variant>
        <vt:lpwstr>_Toc169868021</vt:lpwstr>
      </vt:variant>
      <vt:variant>
        <vt:i4>1245246</vt:i4>
      </vt:variant>
      <vt:variant>
        <vt:i4>62</vt:i4>
      </vt:variant>
      <vt:variant>
        <vt:i4>0</vt:i4>
      </vt:variant>
      <vt:variant>
        <vt:i4>5</vt:i4>
      </vt:variant>
      <vt:variant>
        <vt:lpwstr/>
      </vt:variant>
      <vt:variant>
        <vt:lpwstr>_Toc169868020</vt:lpwstr>
      </vt:variant>
      <vt:variant>
        <vt:i4>1048638</vt:i4>
      </vt:variant>
      <vt:variant>
        <vt:i4>56</vt:i4>
      </vt:variant>
      <vt:variant>
        <vt:i4>0</vt:i4>
      </vt:variant>
      <vt:variant>
        <vt:i4>5</vt:i4>
      </vt:variant>
      <vt:variant>
        <vt:lpwstr/>
      </vt:variant>
      <vt:variant>
        <vt:lpwstr>_Toc169868019</vt:lpwstr>
      </vt:variant>
      <vt:variant>
        <vt:i4>1048638</vt:i4>
      </vt:variant>
      <vt:variant>
        <vt:i4>50</vt:i4>
      </vt:variant>
      <vt:variant>
        <vt:i4>0</vt:i4>
      </vt:variant>
      <vt:variant>
        <vt:i4>5</vt:i4>
      </vt:variant>
      <vt:variant>
        <vt:lpwstr/>
      </vt:variant>
      <vt:variant>
        <vt:lpwstr>_Toc169868018</vt:lpwstr>
      </vt:variant>
      <vt:variant>
        <vt:i4>1048638</vt:i4>
      </vt:variant>
      <vt:variant>
        <vt:i4>44</vt:i4>
      </vt:variant>
      <vt:variant>
        <vt:i4>0</vt:i4>
      </vt:variant>
      <vt:variant>
        <vt:i4>5</vt:i4>
      </vt:variant>
      <vt:variant>
        <vt:lpwstr/>
      </vt:variant>
      <vt:variant>
        <vt:lpwstr>_Toc169868017</vt:lpwstr>
      </vt:variant>
      <vt:variant>
        <vt:i4>1048638</vt:i4>
      </vt:variant>
      <vt:variant>
        <vt:i4>38</vt:i4>
      </vt:variant>
      <vt:variant>
        <vt:i4>0</vt:i4>
      </vt:variant>
      <vt:variant>
        <vt:i4>5</vt:i4>
      </vt:variant>
      <vt:variant>
        <vt:lpwstr/>
      </vt:variant>
      <vt:variant>
        <vt:lpwstr>_Toc169868016</vt:lpwstr>
      </vt:variant>
      <vt:variant>
        <vt:i4>1048638</vt:i4>
      </vt:variant>
      <vt:variant>
        <vt:i4>32</vt:i4>
      </vt:variant>
      <vt:variant>
        <vt:i4>0</vt:i4>
      </vt:variant>
      <vt:variant>
        <vt:i4>5</vt:i4>
      </vt:variant>
      <vt:variant>
        <vt:lpwstr/>
      </vt:variant>
      <vt:variant>
        <vt:lpwstr>_Toc169868015</vt:lpwstr>
      </vt:variant>
      <vt:variant>
        <vt:i4>1048638</vt:i4>
      </vt:variant>
      <vt:variant>
        <vt:i4>26</vt:i4>
      </vt:variant>
      <vt:variant>
        <vt:i4>0</vt:i4>
      </vt:variant>
      <vt:variant>
        <vt:i4>5</vt:i4>
      </vt:variant>
      <vt:variant>
        <vt:lpwstr/>
      </vt:variant>
      <vt:variant>
        <vt:lpwstr>_Toc169868014</vt:lpwstr>
      </vt:variant>
      <vt:variant>
        <vt:i4>1048638</vt:i4>
      </vt:variant>
      <vt:variant>
        <vt:i4>20</vt:i4>
      </vt:variant>
      <vt:variant>
        <vt:i4>0</vt:i4>
      </vt:variant>
      <vt:variant>
        <vt:i4>5</vt:i4>
      </vt:variant>
      <vt:variant>
        <vt:lpwstr/>
      </vt:variant>
      <vt:variant>
        <vt:lpwstr>_Toc169868013</vt:lpwstr>
      </vt:variant>
      <vt:variant>
        <vt:i4>1048638</vt:i4>
      </vt:variant>
      <vt:variant>
        <vt:i4>14</vt:i4>
      </vt:variant>
      <vt:variant>
        <vt:i4>0</vt:i4>
      </vt:variant>
      <vt:variant>
        <vt:i4>5</vt:i4>
      </vt:variant>
      <vt:variant>
        <vt:lpwstr/>
      </vt:variant>
      <vt:variant>
        <vt:lpwstr>_Toc169868012</vt:lpwstr>
      </vt:variant>
      <vt:variant>
        <vt:i4>1048638</vt:i4>
      </vt:variant>
      <vt:variant>
        <vt:i4>8</vt:i4>
      </vt:variant>
      <vt:variant>
        <vt:i4>0</vt:i4>
      </vt:variant>
      <vt:variant>
        <vt:i4>5</vt:i4>
      </vt:variant>
      <vt:variant>
        <vt:lpwstr/>
      </vt:variant>
      <vt:variant>
        <vt:lpwstr>_Toc169868010</vt:lpwstr>
      </vt:variant>
      <vt:variant>
        <vt:i4>1114174</vt:i4>
      </vt:variant>
      <vt:variant>
        <vt:i4>2</vt:i4>
      </vt:variant>
      <vt:variant>
        <vt:i4>0</vt:i4>
      </vt:variant>
      <vt:variant>
        <vt:i4>5</vt:i4>
      </vt:variant>
      <vt:variant>
        <vt:lpwstr/>
      </vt:variant>
      <vt:variant>
        <vt:lpwstr>_Toc169868009</vt:lpwstr>
      </vt:variant>
      <vt:variant>
        <vt:i4>6553702</vt:i4>
      </vt:variant>
      <vt:variant>
        <vt:i4>51</vt:i4>
      </vt:variant>
      <vt:variant>
        <vt:i4>0</vt:i4>
      </vt:variant>
      <vt:variant>
        <vt:i4>5</vt:i4>
      </vt:variant>
      <vt:variant>
        <vt:lpwstr>https://doi:10.1177/070674371205700804</vt:lpwstr>
      </vt:variant>
      <vt:variant>
        <vt:lpwstr/>
      </vt:variant>
      <vt:variant>
        <vt:i4>6553659</vt:i4>
      </vt:variant>
      <vt:variant>
        <vt:i4>48</vt:i4>
      </vt:variant>
      <vt:variant>
        <vt:i4>0</vt:i4>
      </vt:variant>
      <vt:variant>
        <vt:i4>5</vt:i4>
      </vt:variant>
      <vt:variant>
        <vt:lpwstr>https://doi:10.1186/s12955-022-01946-6</vt:lpwstr>
      </vt:variant>
      <vt:variant>
        <vt:lpwstr/>
      </vt:variant>
      <vt:variant>
        <vt:i4>1704023</vt:i4>
      </vt:variant>
      <vt:variant>
        <vt:i4>45</vt:i4>
      </vt:variant>
      <vt:variant>
        <vt:i4>0</vt:i4>
      </vt:variant>
      <vt:variant>
        <vt:i4>5</vt:i4>
      </vt:variant>
      <vt:variant>
        <vt:lpwstr>https://doi.org/10.1177/1745691614568352</vt:lpwstr>
      </vt:variant>
      <vt:variant>
        <vt:lpwstr/>
      </vt:variant>
      <vt:variant>
        <vt:i4>7667831</vt:i4>
      </vt:variant>
      <vt:variant>
        <vt:i4>42</vt:i4>
      </vt:variant>
      <vt:variant>
        <vt:i4>0</vt:i4>
      </vt:variant>
      <vt:variant>
        <vt:i4>5</vt:i4>
      </vt:variant>
      <vt:variant>
        <vt:lpwstr>https://psycnet.apa.org/doi/10.1037/abn0000162</vt:lpwstr>
      </vt:variant>
      <vt:variant>
        <vt:lpwstr/>
      </vt:variant>
      <vt:variant>
        <vt:i4>6029314</vt:i4>
      </vt:variant>
      <vt:variant>
        <vt:i4>39</vt:i4>
      </vt:variant>
      <vt:variant>
        <vt:i4>0</vt:i4>
      </vt:variant>
      <vt:variant>
        <vt:i4>5</vt:i4>
      </vt:variant>
      <vt:variant>
        <vt:lpwstr>https://doi:10.1037/a0017216</vt:lpwstr>
      </vt:variant>
      <vt:variant>
        <vt:lpwstr/>
      </vt:variant>
      <vt:variant>
        <vt:i4>3866668</vt:i4>
      </vt:variant>
      <vt:variant>
        <vt:i4>36</vt:i4>
      </vt:variant>
      <vt:variant>
        <vt:i4>0</vt:i4>
      </vt:variant>
      <vt:variant>
        <vt:i4>5</vt:i4>
      </vt:variant>
      <vt:variant>
        <vt:lpwstr>https://www.gilc.global/our-position-statements</vt:lpwstr>
      </vt:variant>
      <vt:variant>
        <vt:lpwstr/>
      </vt:variant>
      <vt:variant>
        <vt:i4>6619192</vt:i4>
      </vt:variant>
      <vt:variant>
        <vt:i4>33</vt:i4>
      </vt:variant>
      <vt:variant>
        <vt:i4>0</vt:i4>
      </vt:variant>
      <vt:variant>
        <vt:i4>5</vt:i4>
      </vt:variant>
      <vt:variant>
        <vt:lpwstr>https://doi:10.1007/s00127-021-02212-8</vt:lpwstr>
      </vt:variant>
      <vt:variant>
        <vt:lpwstr/>
      </vt:variant>
      <vt:variant>
        <vt:i4>6029383</vt:i4>
      </vt:variant>
      <vt:variant>
        <vt:i4>30</vt:i4>
      </vt:variant>
      <vt:variant>
        <vt:i4>0</vt:i4>
      </vt:variant>
      <vt:variant>
        <vt:i4>5</vt:i4>
      </vt:variant>
      <vt:variant>
        <vt:lpwstr>https://www.aihw.gov.au/reports/children-youth/engagement-in-education-or-employment</vt:lpwstr>
      </vt:variant>
      <vt:variant>
        <vt:lpwstr/>
      </vt:variant>
      <vt:variant>
        <vt:i4>6160403</vt:i4>
      </vt:variant>
      <vt:variant>
        <vt:i4>27</vt:i4>
      </vt:variant>
      <vt:variant>
        <vt:i4>0</vt:i4>
      </vt:variant>
      <vt:variant>
        <vt:i4>5</vt:i4>
      </vt:variant>
      <vt:variant>
        <vt:lpwstr>https://doi:10.1017/S2045796020000906</vt:lpwstr>
      </vt:variant>
      <vt:variant>
        <vt:lpwstr/>
      </vt:variant>
      <vt:variant>
        <vt:i4>7929979</vt:i4>
      </vt:variant>
      <vt:variant>
        <vt:i4>24</vt:i4>
      </vt:variant>
      <vt:variant>
        <vt:i4>0</vt:i4>
      </vt:variant>
      <vt:variant>
        <vt:i4>5</vt:i4>
      </vt:variant>
      <vt:variant>
        <vt:lpwstr>https://doi.org/10.25115/EEA.V39I4.4590</vt:lpwstr>
      </vt:variant>
      <vt:variant>
        <vt:lpwstr/>
      </vt:variant>
      <vt:variant>
        <vt:i4>131151</vt:i4>
      </vt:variant>
      <vt:variant>
        <vt:i4>21</vt:i4>
      </vt:variant>
      <vt:variant>
        <vt:i4>0</vt:i4>
      </vt:variant>
      <vt:variant>
        <vt:i4>5</vt:i4>
      </vt:variant>
      <vt:variant>
        <vt:lpwstr>https://doi:10.1371/journal.pone.0264041</vt:lpwstr>
      </vt:variant>
      <vt:variant>
        <vt:lpwstr/>
      </vt:variant>
      <vt:variant>
        <vt:i4>327760</vt:i4>
      </vt:variant>
      <vt:variant>
        <vt:i4>18</vt:i4>
      </vt:variant>
      <vt:variant>
        <vt:i4>0</vt:i4>
      </vt:variant>
      <vt:variant>
        <vt:i4>5</vt:i4>
      </vt:variant>
      <vt:variant>
        <vt:lpwstr>https://doi:10.1353/hpu.2021.0153</vt:lpwstr>
      </vt:variant>
      <vt:variant>
        <vt:lpwstr/>
      </vt:variant>
      <vt:variant>
        <vt:i4>2555951</vt:i4>
      </vt:variant>
      <vt:variant>
        <vt:i4>15</vt:i4>
      </vt:variant>
      <vt:variant>
        <vt:i4>0</vt:i4>
      </vt:variant>
      <vt:variant>
        <vt:i4>5</vt:i4>
      </vt:variant>
      <vt:variant>
        <vt:lpwstr>https://doi:10.3390/ijerph14121535</vt:lpwstr>
      </vt:variant>
      <vt:variant>
        <vt:lpwstr/>
      </vt:variant>
      <vt:variant>
        <vt:i4>3407910</vt:i4>
      </vt:variant>
      <vt:variant>
        <vt:i4>12</vt:i4>
      </vt:variant>
      <vt:variant>
        <vt:i4>0</vt:i4>
      </vt:variant>
      <vt:variant>
        <vt:i4>5</vt:i4>
      </vt:variant>
      <vt:variant>
        <vt:lpwstr>http://www.aedc.gov.au/</vt:lpwstr>
      </vt:variant>
      <vt:variant>
        <vt:lpwstr/>
      </vt:variant>
      <vt:variant>
        <vt:i4>2490476</vt:i4>
      </vt:variant>
      <vt:variant>
        <vt:i4>9</vt:i4>
      </vt:variant>
      <vt:variant>
        <vt:i4>0</vt:i4>
      </vt:variant>
      <vt:variant>
        <vt:i4>5</vt:i4>
      </vt:variant>
      <vt:variant>
        <vt:lpwstr>https://doi.org/10.2307/2136319</vt:lpwstr>
      </vt:variant>
      <vt:variant>
        <vt:lpwstr/>
      </vt:variant>
      <vt:variant>
        <vt:i4>4259866</vt:i4>
      </vt:variant>
      <vt:variant>
        <vt:i4>6</vt:i4>
      </vt:variant>
      <vt:variant>
        <vt:i4>0</vt:i4>
      </vt:variant>
      <vt:variant>
        <vt:i4>5</vt:i4>
      </vt:variant>
      <vt:variant>
        <vt:lpwstr>https://doi:10.1186/s12889-018-5235-x</vt:lpwstr>
      </vt:variant>
      <vt:variant>
        <vt:lpwstr/>
      </vt:variant>
      <vt:variant>
        <vt:i4>5898265</vt:i4>
      </vt:variant>
      <vt:variant>
        <vt:i4>3</vt:i4>
      </vt:variant>
      <vt:variant>
        <vt:i4>0</vt:i4>
      </vt:variant>
      <vt:variant>
        <vt:i4>5</vt:i4>
      </vt:variant>
      <vt:variant>
        <vt:lpwstr>https://doi:10.1017/s0033291702006074</vt:lpwstr>
      </vt:variant>
      <vt:variant>
        <vt:lpwstr/>
      </vt:variant>
      <vt:variant>
        <vt:i4>5505054</vt:i4>
      </vt:variant>
      <vt:variant>
        <vt:i4>0</vt:i4>
      </vt:variant>
      <vt:variant>
        <vt:i4>0</vt:i4>
      </vt:variant>
      <vt:variant>
        <vt:i4>5</vt:i4>
      </vt:variant>
      <vt:variant>
        <vt:lpwstr>https://www.abs.gov.au/methodologies/national-study-mental-health-and-wellbeing-methodology/2020-2022</vt:lpwstr>
      </vt:variant>
      <vt:variant>
        <vt:lpwstr/>
      </vt:variant>
      <vt:variant>
        <vt:i4>7274579</vt:i4>
      </vt:variant>
      <vt:variant>
        <vt:i4>0</vt:i4>
      </vt:variant>
      <vt:variant>
        <vt:i4>0</vt:i4>
      </vt:variant>
      <vt:variant>
        <vt:i4>5</vt:i4>
      </vt:variant>
      <vt:variant>
        <vt:lpwstr>mailto:Lachlan.VIALI@MentalHealthCommission.gov.au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2024-07-03T01:22:00Z</cp:lastPrinted>
  <dcterms:created xsi:type="dcterms:W3CDTF">2024-06-27T05:29:00Z</dcterms:created>
  <dcterms:modified xsi:type="dcterms:W3CDTF">2024-07-03T01:22:00Z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0x010100FE783B77A7341C45B359022C6130335E</vt:lpwstr>
  </property>
</Properties>
</file>